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Times New Roman" w:cs="Times New Roman"/>
          <w:b/>
        </w:rPr>
      </w:pPr>
      <w:r>
        <w:rPr>
          <w:rFonts w:hint="eastAsia" w:ascii="Times New Roman" w:cs="Times New Roman"/>
          <w:b/>
        </w:rPr>
        <w:t xml:space="preserve"> </w:t>
      </w: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sz w:val="52"/>
          <w:szCs w:val="52"/>
        </w:rPr>
      </w:pPr>
      <w:r>
        <w:rPr>
          <w:rFonts w:ascii="Times New Roman" w:cs="Times New Roman"/>
          <w:b/>
          <w:sz w:val="52"/>
          <w:szCs w:val="52"/>
        </w:rPr>
        <w:t>普光气田普陆4-1H井产能建设项目</w:t>
      </w:r>
    </w:p>
    <w:p>
      <w:pPr>
        <w:ind w:firstLine="0" w:firstLineChars="0"/>
        <w:jc w:val="center"/>
        <w:rPr>
          <w:rFonts w:ascii="Times New Roman" w:cs="Times New Roman"/>
          <w:b/>
          <w:sz w:val="52"/>
          <w:szCs w:val="52"/>
        </w:rPr>
      </w:pPr>
      <w:r>
        <w:rPr>
          <w:rFonts w:ascii="Times New Roman" w:cs="Times New Roman"/>
          <w:b/>
          <w:sz w:val="52"/>
          <w:szCs w:val="52"/>
        </w:rPr>
        <w:t>环境影响报告书</w:t>
      </w:r>
    </w:p>
    <w:p>
      <w:pPr>
        <w:ind w:firstLine="0" w:firstLineChars="0"/>
        <w:jc w:val="center"/>
        <w:rPr>
          <w:rFonts w:ascii="Times New Roman" w:cs="Times New Roman"/>
          <w:sz w:val="36"/>
          <w:szCs w:val="36"/>
        </w:rPr>
      </w:pPr>
      <w:r>
        <w:rPr>
          <w:rFonts w:ascii="Times New Roman" w:cs="Times New Roman"/>
          <w:sz w:val="36"/>
          <w:szCs w:val="36"/>
        </w:rPr>
        <w:t>（</w:t>
      </w:r>
      <w:r>
        <w:rPr>
          <w:rFonts w:hint="eastAsia" w:ascii="Times New Roman" w:cs="Times New Roman"/>
          <w:sz w:val="36"/>
          <w:szCs w:val="36"/>
        </w:rPr>
        <w:t>报审版</w:t>
      </w:r>
      <w:r>
        <w:rPr>
          <w:rFonts w:ascii="Times New Roman" w:cs="Times New Roman"/>
          <w:sz w:val="36"/>
          <w:szCs w:val="36"/>
        </w:rPr>
        <w:t>）</w:t>
      </w: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rPr>
      </w:pPr>
    </w:p>
    <w:p>
      <w:pPr>
        <w:ind w:firstLine="0" w:firstLineChars="0"/>
        <w:jc w:val="center"/>
        <w:rPr>
          <w:rFonts w:ascii="Times New Roman" w:cs="Times New Roman"/>
          <w:b/>
          <w:bCs/>
          <w:sz w:val="32"/>
          <w:szCs w:val="32"/>
        </w:rPr>
      </w:pPr>
      <w:r>
        <w:rPr>
          <w:rFonts w:ascii="Times New Roman" w:cs="Times New Roman"/>
          <w:b/>
          <w:bCs/>
          <w:sz w:val="32"/>
          <w:szCs w:val="32"/>
        </w:rPr>
        <w:t>建设单位：中国石油化工股份有限公司中原油田普光分公司</w:t>
      </w:r>
    </w:p>
    <w:p>
      <w:pPr>
        <w:ind w:firstLine="199" w:firstLineChars="62"/>
        <w:jc w:val="center"/>
        <w:rPr>
          <w:rFonts w:ascii="Times New Roman" w:cs="Times New Roman"/>
          <w:b/>
          <w:bCs/>
          <w:sz w:val="32"/>
          <w:szCs w:val="32"/>
        </w:rPr>
      </w:pPr>
      <w:r>
        <w:rPr>
          <w:rFonts w:ascii="Times New Roman" w:cs="Times New Roman"/>
          <w:b/>
          <w:bCs/>
          <w:sz w:val="32"/>
          <w:szCs w:val="32"/>
        </w:rPr>
        <w:t>评价单位：</w:t>
      </w:r>
      <w:r>
        <w:rPr>
          <w:rFonts w:hint="eastAsia" w:ascii="Times New Roman" w:cs="Times New Roman"/>
          <w:b/>
          <w:bCs/>
          <w:sz w:val="32"/>
          <w:szCs w:val="32"/>
        </w:rPr>
        <w:t>重庆后科环保有限责任公司</w:t>
      </w:r>
    </w:p>
    <w:p>
      <w:pPr>
        <w:ind w:firstLine="0" w:firstLineChars="0"/>
        <w:jc w:val="center"/>
        <w:rPr>
          <w:rFonts w:ascii="Times New Roman" w:cs="Times New Roman"/>
          <w:b/>
          <w:bCs/>
          <w:sz w:val="32"/>
          <w:szCs w:val="32"/>
        </w:rPr>
      </w:pPr>
      <w:r>
        <w:rPr>
          <w:rFonts w:ascii="Times New Roman" w:cs="Times New Roman"/>
          <w:b/>
          <w:bCs/>
          <w:sz w:val="32"/>
          <w:szCs w:val="32"/>
        </w:rPr>
        <w:t>二〇二</w:t>
      </w:r>
      <w:r>
        <w:rPr>
          <w:rFonts w:hint="eastAsia" w:ascii="Times New Roman" w:cs="Times New Roman"/>
          <w:b/>
          <w:bCs/>
          <w:sz w:val="32"/>
          <w:szCs w:val="32"/>
        </w:rPr>
        <w:t>四</w:t>
      </w:r>
      <w:r>
        <w:rPr>
          <w:rFonts w:ascii="Times New Roman" w:cs="Times New Roman"/>
          <w:b/>
          <w:bCs/>
          <w:sz w:val="32"/>
          <w:szCs w:val="32"/>
        </w:rPr>
        <w:t>年</w:t>
      </w:r>
      <w:r>
        <w:rPr>
          <w:rFonts w:hint="eastAsia" w:ascii="Times New Roman" w:cs="Times New Roman"/>
          <w:b/>
          <w:bCs/>
          <w:sz w:val="32"/>
          <w:szCs w:val="32"/>
        </w:rPr>
        <w:t>三</w:t>
      </w:r>
      <w:r>
        <w:rPr>
          <w:rFonts w:ascii="Times New Roman" w:cs="Times New Roman"/>
          <w:b/>
          <w:bCs/>
          <w:sz w:val="32"/>
          <w:szCs w:val="32"/>
        </w:rPr>
        <w:t>月</w:t>
      </w:r>
    </w:p>
    <w:p>
      <w:pPr>
        <w:ind w:firstLine="0" w:firstLineChars="0"/>
        <w:jc w:val="center"/>
        <w:rPr>
          <w:rFonts w:ascii="Times New Roman" w:cs="Times New Roman"/>
          <w:sz w:val="32"/>
          <w:szCs w:val="32"/>
        </w:rPr>
      </w:pPr>
    </w:p>
    <w:p>
      <w:pPr>
        <w:widowControl/>
        <w:topLinePunct w:val="0"/>
        <w:adjustRightInd/>
        <w:ind w:firstLine="0" w:firstLineChars="0"/>
        <w:jc w:val="left"/>
        <w:rPr>
          <w:rFonts w:ascii="Times New Roman" w:cs="Times New Roman"/>
          <w:sz w:val="32"/>
          <w:szCs w:val="32"/>
        </w:rPr>
        <w:sectPr>
          <w:headerReference r:id="rId7" w:type="first"/>
          <w:footerReference r:id="rId10" w:type="first"/>
          <w:headerReference r:id="rId5" w:type="default"/>
          <w:footerReference r:id="rId8" w:type="default"/>
          <w:headerReference r:id="rId6" w:type="even"/>
          <w:footerReference r:id="rId9" w:type="even"/>
          <w:pgSz w:w="11910" w:h="16840"/>
          <w:pgMar w:top="1400" w:right="1680" w:bottom="280" w:left="1340" w:header="720" w:footer="720" w:gutter="0"/>
          <w:pgNumType w:fmt="upperRoman" w:start="1"/>
          <w:cols w:space="720" w:num="1"/>
        </w:sectPr>
      </w:pPr>
    </w:p>
    <w:p>
      <w:pPr>
        <w:pStyle w:val="97"/>
        <w:spacing w:before="0" w:line="360" w:lineRule="auto"/>
        <w:jc w:val="center"/>
        <w:rPr>
          <w:rFonts w:ascii="Times New Roman" w:hAnsi="Times New Roman"/>
          <w:b/>
          <w:bCs w:val="0"/>
          <w:color w:val="auto"/>
          <w:sz w:val="24"/>
          <w:szCs w:val="24"/>
        </w:rPr>
      </w:pPr>
      <w:bookmarkStart w:id="0" w:name="_Toc19815912"/>
      <w:r>
        <w:rPr>
          <w:rFonts w:ascii="Times New Roman" w:hAnsi="Times New Roman"/>
          <w:b/>
          <w:bCs w:val="0"/>
          <w:color w:val="auto"/>
          <w:sz w:val="36"/>
          <w:szCs w:val="36"/>
          <w:lang w:val="zh-CN"/>
        </w:rPr>
        <w:t>目  录</w:t>
      </w:r>
    </w:p>
    <w:p>
      <w:pPr>
        <w:pStyle w:val="37"/>
        <w:tabs>
          <w:tab w:val="right" w:leader="dot" w:pos="9340"/>
        </w:tabs>
        <w:rPr>
          <w:rFonts w:cs="Times New Roman"/>
          <w:b w:val="0"/>
          <w:kern w:val="2"/>
          <w:sz w:val="24"/>
        </w:rPr>
      </w:pPr>
      <w:r>
        <w:rPr>
          <w:rFonts w:cs="Times New Roman"/>
          <w:b w:val="0"/>
          <w:sz w:val="24"/>
        </w:rPr>
        <w:fldChar w:fldCharType="begin"/>
      </w:r>
      <w:r>
        <w:rPr>
          <w:rFonts w:cs="Times New Roman"/>
          <w:b w:val="0"/>
          <w:sz w:val="24"/>
        </w:rPr>
        <w:instrText xml:space="preserve"> TOC \o "1-2" \h \z \u </w:instrText>
      </w:r>
      <w:r>
        <w:rPr>
          <w:rFonts w:cs="Times New Roman"/>
          <w:b w:val="0"/>
          <w:sz w:val="24"/>
        </w:rPr>
        <w:fldChar w:fldCharType="separate"/>
      </w:r>
      <w:r>
        <w:fldChar w:fldCharType="begin"/>
      </w:r>
      <w:r>
        <w:instrText xml:space="preserve"> HYPERLINK \l "_Toc81515242" </w:instrText>
      </w:r>
      <w:r>
        <w:fldChar w:fldCharType="separate"/>
      </w:r>
      <w:r>
        <w:rPr>
          <w:rStyle w:val="66"/>
          <w:rFonts w:cs="Times New Roman"/>
          <w:b w:val="0"/>
          <w:color w:val="auto"/>
          <w:kern w:val="44"/>
          <w:sz w:val="24"/>
        </w:rPr>
        <w:t>概述</w:t>
      </w:r>
      <w:r>
        <w:rPr>
          <w:rFonts w:cs="Times New Roman"/>
          <w:b w:val="0"/>
          <w:sz w:val="24"/>
        </w:rPr>
        <w:tab/>
      </w:r>
      <w:r>
        <w:rPr>
          <w:rFonts w:cs="Times New Roman"/>
          <w:b w:val="0"/>
          <w:sz w:val="24"/>
        </w:rPr>
        <w:fldChar w:fldCharType="begin"/>
      </w:r>
      <w:r>
        <w:rPr>
          <w:rFonts w:cs="Times New Roman"/>
          <w:b w:val="0"/>
          <w:sz w:val="24"/>
        </w:rPr>
        <w:instrText xml:space="preserve"> PAGEREF _Toc81515242 \h </w:instrText>
      </w:r>
      <w:r>
        <w:rPr>
          <w:rFonts w:cs="Times New Roman"/>
          <w:b w:val="0"/>
          <w:sz w:val="24"/>
        </w:rPr>
        <w:fldChar w:fldCharType="separate"/>
      </w:r>
      <w:r>
        <w:rPr>
          <w:rFonts w:cs="Times New Roman"/>
          <w:b w:val="0"/>
          <w:sz w:val="24"/>
        </w:rPr>
        <w:t>1</w:t>
      </w:r>
      <w:r>
        <w:rPr>
          <w:rFonts w:cs="Times New Roman"/>
          <w:b w:val="0"/>
          <w:sz w:val="24"/>
        </w:rPr>
        <w:fldChar w:fldCharType="end"/>
      </w:r>
      <w:r>
        <w:rPr>
          <w:rFonts w:cs="Times New Roman"/>
          <w:b w:val="0"/>
          <w:sz w:val="24"/>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"_Toc81515243" </w:instrText>
      </w:r>
      <w:r>
        <w:fldChar w:fldCharType="separate"/>
      </w:r>
      <w:r>
        <w:rPr>
          <w:rStyle w:val="66"/>
          <w:rFonts w:ascii="Times New Roman" w:cs="Times New Roman"/>
          <w:color w:val="auto"/>
        </w:rPr>
        <w:t>一、项目由来</w:t>
      </w:r>
      <w:r>
        <w:rPr>
          <w:rFonts w:ascii="Times New Roman" w:cs="Times New Roman"/>
        </w:rPr>
        <w:tab/>
      </w:r>
      <w:r>
        <w:rPr>
          <w:rFonts w:ascii="Times New Roman" w:cs="Times New Roman"/>
        </w:rPr>
        <w:fldChar w:fldCharType="begin"/>
      </w:r>
      <w:r>
        <w:rPr>
          <w:rFonts w:ascii="Times New Roman" w:cs="Times New Roman"/>
        </w:rPr>
        <w:instrText xml:space="preserve"> PAGEREF _Toc81515243 \h </w:instrText>
      </w:r>
      <w:r>
        <w:rPr>
          <w:rFonts w:ascii="Times New Roman" w:cs="Times New Roman"/>
        </w:rPr>
        <w:fldChar w:fldCharType="separate"/>
      </w:r>
      <w:r>
        <w:rPr>
          <w:rFonts w:ascii="Times New Roman" w:cs="Times New Roman"/>
        </w:rPr>
        <w:t>1</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"_Toc81515244" </w:instrText>
      </w:r>
      <w:r>
        <w:fldChar w:fldCharType="separate"/>
      </w:r>
      <w:r>
        <w:rPr>
          <w:rStyle w:val="66"/>
          <w:rFonts w:ascii="Times New Roman" w:cs="Times New Roman"/>
          <w:color w:val="auto"/>
        </w:rPr>
        <w:t>二、项目特点</w:t>
      </w:r>
      <w:r>
        <w:rPr>
          <w:rFonts w:ascii="Times New Roman" w:cs="Times New Roman"/>
        </w:rPr>
        <w:tab/>
      </w:r>
      <w:r>
        <w:rPr>
          <w:rFonts w:ascii="Times New Roman" w:cs="Times New Roman"/>
        </w:rPr>
        <w:fldChar w:fldCharType="begin"/>
      </w:r>
      <w:r>
        <w:rPr>
          <w:rFonts w:ascii="Times New Roman" w:cs="Times New Roman"/>
        </w:rPr>
        <w:instrText xml:space="preserve"> PAGEREF _Toc81515244 \h </w:instrText>
      </w:r>
      <w:r>
        <w:rPr>
          <w:rFonts w:ascii="Times New Roman" w:cs="Times New Roman"/>
        </w:rPr>
        <w:fldChar w:fldCharType="separate"/>
      </w:r>
      <w:r>
        <w:rPr>
          <w:rFonts w:ascii="Times New Roman" w:cs="Times New Roman"/>
        </w:rPr>
        <w:t>3</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"_Toc81515245" </w:instrText>
      </w:r>
      <w:r>
        <w:fldChar w:fldCharType="separate"/>
      </w:r>
      <w:r>
        <w:rPr>
          <w:rStyle w:val="66"/>
          <w:rFonts w:ascii="Times New Roman" w:cs="Times New Roman"/>
          <w:color w:val="auto"/>
        </w:rPr>
        <w:t>三、环境影响评价工作过程</w:t>
      </w:r>
      <w:r>
        <w:rPr>
          <w:rFonts w:ascii="Times New Roman" w:cs="Times New Roman"/>
        </w:rPr>
        <w:tab/>
      </w:r>
      <w:r>
        <w:rPr>
          <w:rFonts w:ascii="Times New Roman" w:cs="Times New Roman"/>
        </w:rPr>
        <w:fldChar w:fldCharType="begin"/>
      </w:r>
      <w:r>
        <w:rPr>
          <w:rFonts w:ascii="Times New Roman" w:cs="Times New Roman"/>
        </w:rPr>
        <w:instrText xml:space="preserve"> PAGEREF _Toc81515245 \h </w:instrText>
      </w:r>
      <w:r>
        <w:rPr>
          <w:rFonts w:ascii="Times New Roman" w:cs="Times New Roman"/>
        </w:rPr>
        <w:fldChar w:fldCharType="separate"/>
      </w:r>
      <w:r>
        <w:rPr>
          <w:rFonts w:ascii="Times New Roman" w:cs="Times New Roman"/>
        </w:rPr>
        <w:t>3</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"_Toc81515246" </w:instrText>
      </w:r>
      <w:r>
        <w:fldChar w:fldCharType="separate"/>
      </w:r>
      <w:r>
        <w:rPr>
          <w:rStyle w:val="66"/>
          <w:rFonts w:ascii="Times New Roman" w:cs="Times New Roman"/>
          <w:color w:val="auto"/>
        </w:rPr>
        <w:t>四、分析判定相关情况</w:t>
      </w:r>
      <w:r>
        <w:rPr>
          <w:rFonts w:ascii="Times New Roman" w:cs="Times New Roman"/>
        </w:rPr>
        <w:tab/>
      </w:r>
      <w:r>
        <w:rPr>
          <w:rFonts w:ascii="Times New Roman" w:cs="Times New Roman"/>
        </w:rPr>
        <w:fldChar w:fldCharType="begin"/>
      </w:r>
      <w:r>
        <w:rPr>
          <w:rFonts w:ascii="Times New Roman" w:cs="Times New Roman"/>
        </w:rPr>
        <w:instrText xml:space="preserve"> PAGEREF _Toc81515246 \h </w:instrText>
      </w:r>
      <w:r>
        <w:rPr>
          <w:rFonts w:ascii="Times New Roman" w:cs="Times New Roman"/>
        </w:rPr>
        <w:fldChar w:fldCharType="separate"/>
      </w:r>
      <w:r>
        <w:rPr>
          <w:rFonts w:ascii="Times New Roman" w:cs="Times New Roman"/>
        </w:rPr>
        <w:t>4</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"_Toc81515247" </w:instrText>
      </w:r>
      <w:r>
        <w:fldChar w:fldCharType="separate"/>
      </w:r>
      <w:r>
        <w:rPr>
          <w:rStyle w:val="66"/>
          <w:rFonts w:ascii="Times New Roman" w:cs="Times New Roman"/>
          <w:color w:val="auto"/>
        </w:rPr>
        <w:t>五、项目关注的主要环境问题及环境影响</w:t>
      </w:r>
      <w:r>
        <w:rPr>
          <w:rFonts w:ascii="Times New Roman" w:cs="Times New Roman"/>
        </w:rPr>
        <w:tab/>
      </w:r>
      <w:r>
        <w:rPr>
          <w:rFonts w:ascii="Times New Roman" w:cs="Times New Roman"/>
        </w:rPr>
        <w:fldChar w:fldCharType="begin"/>
      </w:r>
      <w:r>
        <w:rPr>
          <w:rFonts w:ascii="Times New Roman" w:cs="Times New Roman"/>
        </w:rPr>
        <w:instrText xml:space="preserve"> PAGEREF _Toc81515247 \h </w:instrText>
      </w:r>
      <w:r>
        <w:rPr>
          <w:rFonts w:ascii="Times New Roman" w:cs="Times New Roman"/>
        </w:rPr>
        <w:fldChar w:fldCharType="separate"/>
      </w:r>
      <w:r>
        <w:rPr>
          <w:rFonts w:ascii="Times New Roman" w:cs="Times New Roman"/>
        </w:rPr>
        <w:t>4</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"_Toc81515248" </w:instrText>
      </w:r>
      <w:r>
        <w:fldChar w:fldCharType="separate"/>
      </w:r>
      <w:r>
        <w:rPr>
          <w:rStyle w:val="66"/>
          <w:rFonts w:ascii="Times New Roman" w:cs="Times New Roman"/>
          <w:color w:val="auto"/>
        </w:rPr>
        <w:t>六、主要环境影响结论</w:t>
      </w:r>
      <w:r>
        <w:rPr>
          <w:rFonts w:ascii="Times New Roman" w:cs="Times New Roman"/>
        </w:rPr>
        <w:tab/>
      </w:r>
      <w:r>
        <w:rPr>
          <w:rFonts w:ascii="Times New Roman" w:cs="Times New Roman"/>
        </w:rPr>
        <w:fldChar w:fldCharType="begin"/>
      </w:r>
      <w:r>
        <w:rPr>
          <w:rFonts w:ascii="Times New Roman" w:cs="Times New Roman"/>
        </w:rPr>
        <w:instrText xml:space="preserve"> PAGEREF _Toc81515248 \h </w:instrText>
      </w:r>
      <w:r>
        <w:rPr>
          <w:rFonts w:ascii="Times New Roman" w:cs="Times New Roman"/>
        </w:rPr>
        <w:fldChar w:fldCharType="separate"/>
      </w:r>
      <w:r>
        <w:rPr>
          <w:rFonts w:ascii="Times New Roman" w:cs="Times New Roman"/>
        </w:rPr>
        <w:t>5</w:t>
      </w:r>
      <w:r>
        <w:rPr>
          <w:rFonts w:ascii="Times New Roman" w:cs="Times New Roman"/>
        </w:rPr>
        <w:fldChar w:fldCharType="end"/>
      </w:r>
      <w:r>
        <w:rPr>
          <w:rFonts w:ascii="Times New Roman" w:cs="Times New Roman"/>
        </w:rPr>
        <w:fldChar w:fldCharType="end"/>
      </w:r>
    </w:p>
    <w:p>
      <w:pPr>
        <w:pStyle w:val="37"/>
        <w:tabs>
          <w:tab w:val="right" w:leader="dot" w:pos="9340"/>
        </w:tabs>
        <w:rPr>
          <w:rFonts w:cs="Times New Roman"/>
          <w:b w:val="0"/>
          <w:kern w:val="2"/>
          <w:sz w:val="24"/>
        </w:rPr>
      </w:pPr>
      <w:r>
        <w:fldChar w:fldCharType="begin"/>
      </w:r>
      <w:r>
        <w:instrText xml:space="preserve"> HYPERLINK \l "_Toc81515249" </w:instrText>
      </w:r>
      <w:r>
        <w:fldChar w:fldCharType="separate"/>
      </w:r>
      <w:r>
        <w:rPr>
          <w:rStyle w:val="66"/>
          <w:rFonts w:cs="Times New Roman"/>
          <w:b w:val="0"/>
          <w:color w:val="auto"/>
          <w:kern w:val="44"/>
          <w:sz w:val="24"/>
        </w:rPr>
        <w:t>1 总则</w:t>
      </w:r>
      <w:r>
        <w:rPr>
          <w:rFonts w:cs="Times New Roman"/>
          <w:b w:val="0"/>
          <w:sz w:val="24"/>
        </w:rPr>
        <w:tab/>
      </w:r>
      <w:r>
        <w:rPr>
          <w:rFonts w:cs="Times New Roman"/>
          <w:b w:val="0"/>
          <w:sz w:val="24"/>
        </w:rPr>
        <w:fldChar w:fldCharType="begin"/>
      </w:r>
      <w:r>
        <w:rPr>
          <w:rFonts w:cs="Times New Roman"/>
          <w:b w:val="0"/>
          <w:sz w:val="24"/>
        </w:rPr>
        <w:instrText xml:space="preserve"> PAGEREF _Toc81515249 \h </w:instrText>
      </w:r>
      <w:r>
        <w:rPr>
          <w:rFonts w:cs="Times New Roman"/>
          <w:b w:val="0"/>
          <w:sz w:val="24"/>
        </w:rPr>
        <w:fldChar w:fldCharType="separate"/>
      </w:r>
      <w:r>
        <w:rPr>
          <w:rFonts w:cs="Times New Roman"/>
          <w:b w:val="0"/>
          <w:sz w:val="24"/>
        </w:rPr>
        <w:t>6</w:t>
      </w:r>
      <w:r>
        <w:rPr>
          <w:rFonts w:cs="Times New Roman"/>
          <w:b w:val="0"/>
          <w:sz w:val="24"/>
        </w:rPr>
        <w:fldChar w:fldCharType="end"/>
      </w:r>
      <w:r>
        <w:rPr>
          <w:rFonts w:cs="Times New Roman"/>
          <w:b w:val="0"/>
          <w:sz w:val="24"/>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"_Toc81515250" </w:instrText>
      </w:r>
      <w:r>
        <w:fldChar w:fldCharType="separate"/>
      </w:r>
      <w:r>
        <w:rPr>
          <w:rStyle w:val="66"/>
          <w:rFonts w:ascii="Times New Roman" w:cs="Times New Roman"/>
          <w:color w:val="auto"/>
        </w:rPr>
        <w:t>1.1 编制依据</w:t>
      </w:r>
      <w:r>
        <w:rPr>
          <w:rFonts w:ascii="Times New Roman" w:cs="Times New Roman"/>
        </w:rPr>
        <w:tab/>
      </w:r>
      <w:r>
        <w:rPr>
          <w:rFonts w:ascii="Times New Roman" w:cs="Times New Roman"/>
        </w:rPr>
        <w:fldChar w:fldCharType="begin"/>
      </w:r>
      <w:r>
        <w:rPr>
          <w:rFonts w:ascii="Times New Roman" w:cs="Times New Roman"/>
        </w:rPr>
        <w:instrText xml:space="preserve"> PAGEREF _Toc81515250 \h </w:instrText>
      </w:r>
      <w:r>
        <w:rPr>
          <w:rFonts w:ascii="Times New Roman" w:cs="Times New Roman"/>
        </w:rPr>
        <w:fldChar w:fldCharType="separate"/>
      </w:r>
      <w:r>
        <w:rPr>
          <w:rFonts w:ascii="Times New Roman" w:cs="Times New Roman"/>
        </w:rPr>
        <w:t>6</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"_Toc81515251" </w:instrText>
      </w:r>
      <w:r>
        <w:fldChar w:fldCharType="separate"/>
      </w:r>
      <w:r>
        <w:rPr>
          <w:rStyle w:val="66"/>
          <w:rFonts w:ascii="Times New Roman" w:cs="Times New Roman"/>
          <w:color w:val="auto"/>
        </w:rPr>
        <w:t>1.2 评价目的、原则与评价重点</w:t>
      </w:r>
      <w:r>
        <w:rPr>
          <w:rFonts w:ascii="Times New Roman" w:cs="Times New Roman"/>
        </w:rPr>
        <w:tab/>
      </w:r>
      <w:r>
        <w:rPr>
          <w:rFonts w:ascii="Times New Roman" w:cs="Times New Roman"/>
        </w:rPr>
        <w:fldChar w:fldCharType="begin"/>
      </w:r>
      <w:r>
        <w:rPr>
          <w:rFonts w:ascii="Times New Roman" w:cs="Times New Roman"/>
        </w:rPr>
        <w:instrText xml:space="preserve"> PAGEREF _Toc81515251 \h </w:instrText>
      </w:r>
      <w:r>
        <w:rPr>
          <w:rFonts w:ascii="Times New Roman" w:cs="Times New Roman"/>
        </w:rPr>
        <w:fldChar w:fldCharType="separate"/>
      </w:r>
      <w:r>
        <w:rPr>
          <w:rFonts w:ascii="Times New Roman" w:cs="Times New Roman"/>
        </w:rPr>
        <w:t>11</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"_Toc81515252" </w:instrText>
      </w:r>
      <w:r>
        <w:fldChar w:fldCharType="separate"/>
      </w:r>
      <w:r>
        <w:rPr>
          <w:rStyle w:val="66"/>
          <w:rFonts w:ascii="Times New Roman" w:cs="Times New Roman"/>
          <w:color w:val="auto"/>
        </w:rPr>
        <w:t>1.3 环境影响要素识别和评价因子筛选</w:t>
      </w:r>
      <w:r>
        <w:rPr>
          <w:rFonts w:ascii="Times New Roman" w:cs="Times New Roman"/>
        </w:rPr>
        <w:tab/>
      </w:r>
      <w:r>
        <w:rPr>
          <w:rFonts w:ascii="Times New Roman" w:cs="Times New Roman"/>
        </w:rPr>
        <w:fldChar w:fldCharType="begin"/>
      </w:r>
      <w:r>
        <w:rPr>
          <w:rFonts w:ascii="Times New Roman" w:cs="Times New Roman"/>
        </w:rPr>
        <w:instrText xml:space="preserve"> PAGEREF _Toc81515252 \h </w:instrText>
      </w:r>
      <w:r>
        <w:rPr>
          <w:rFonts w:ascii="Times New Roman" w:cs="Times New Roman"/>
        </w:rPr>
        <w:fldChar w:fldCharType="separate"/>
      </w:r>
      <w:r>
        <w:rPr>
          <w:rFonts w:ascii="Times New Roman" w:cs="Times New Roman"/>
        </w:rPr>
        <w:t>13</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"_Toc81515253" </w:instrText>
      </w:r>
      <w:r>
        <w:fldChar w:fldCharType="separate"/>
      </w:r>
      <w:r>
        <w:rPr>
          <w:rStyle w:val="66"/>
          <w:rFonts w:ascii="Times New Roman" w:cs="Times New Roman"/>
          <w:color w:val="auto"/>
        </w:rPr>
        <w:t>1.4 环境功能区划</w:t>
      </w:r>
      <w:r>
        <w:rPr>
          <w:rFonts w:ascii="Times New Roman" w:cs="Times New Roman"/>
        </w:rPr>
        <w:tab/>
      </w:r>
      <w:r>
        <w:rPr>
          <w:rFonts w:ascii="Times New Roman" w:cs="Times New Roman"/>
        </w:rPr>
        <w:fldChar w:fldCharType="begin"/>
      </w:r>
      <w:r>
        <w:rPr>
          <w:rFonts w:ascii="Times New Roman" w:cs="Times New Roman"/>
        </w:rPr>
        <w:instrText xml:space="preserve"> PAGEREF _Toc81515253 \h </w:instrText>
      </w:r>
      <w:r>
        <w:rPr>
          <w:rFonts w:ascii="Times New Roman" w:cs="Times New Roman"/>
        </w:rPr>
        <w:fldChar w:fldCharType="separate"/>
      </w:r>
      <w:r>
        <w:rPr>
          <w:rFonts w:ascii="Times New Roman" w:cs="Times New Roman"/>
        </w:rPr>
        <w:t>17</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"_Toc81515254" </w:instrText>
      </w:r>
      <w:r>
        <w:fldChar w:fldCharType="separate"/>
      </w:r>
      <w:r>
        <w:rPr>
          <w:rStyle w:val="66"/>
          <w:rFonts w:ascii="Times New Roman" w:cs="Times New Roman"/>
          <w:color w:val="auto"/>
        </w:rPr>
        <w:t>1.5 评价标准</w:t>
      </w:r>
      <w:r>
        <w:rPr>
          <w:rFonts w:ascii="Times New Roman" w:cs="Times New Roman"/>
        </w:rPr>
        <w:tab/>
      </w:r>
      <w:r>
        <w:rPr>
          <w:rFonts w:ascii="Times New Roman" w:cs="Times New Roman"/>
        </w:rPr>
        <w:fldChar w:fldCharType="begin"/>
      </w:r>
      <w:r>
        <w:rPr>
          <w:rFonts w:ascii="Times New Roman" w:cs="Times New Roman"/>
        </w:rPr>
        <w:instrText xml:space="preserve"> PAGEREF _Toc81515254 \h </w:instrText>
      </w:r>
      <w:r>
        <w:rPr>
          <w:rFonts w:ascii="Times New Roman" w:cs="Times New Roman"/>
        </w:rPr>
        <w:fldChar w:fldCharType="separate"/>
      </w:r>
      <w:r>
        <w:rPr>
          <w:rFonts w:ascii="Times New Roman" w:cs="Times New Roman"/>
        </w:rPr>
        <w:t>18</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"_Toc81515255" </w:instrText>
      </w:r>
      <w:r>
        <w:fldChar w:fldCharType="separate"/>
      </w:r>
      <w:r>
        <w:rPr>
          <w:rStyle w:val="66"/>
          <w:rFonts w:ascii="Times New Roman" w:cs="Times New Roman"/>
          <w:color w:val="auto"/>
        </w:rPr>
        <w:t>1.6 评价等级及评价范围</w:t>
      </w:r>
      <w:r>
        <w:rPr>
          <w:rFonts w:ascii="Times New Roman" w:cs="Times New Roman"/>
        </w:rPr>
        <w:tab/>
      </w:r>
      <w:r>
        <w:rPr>
          <w:rFonts w:ascii="Times New Roman" w:cs="Times New Roman"/>
        </w:rPr>
        <w:fldChar w:fldCharType="begin"/>
      </w:r>
      <w:r>
        <w:rPr>
          <w:rFonts w:ascii="Times New Roman" w:cs="Times New Roman"/>
        </w:rPr>
        <w:instrText xml:space="preserve"> PAGEREF _Toc81515255 \h </w:instrText>
      </w:r>
      <w:r>
        <w:rPr>
          <w:rFonts w:ascii="Times New Roman" w:cs="Times New Roman"/>
        </w:rPr>
        <w:fldChar w:fldCharType="separate"/>
      </w:r>
      <w:r>
        <w:rPr>
          <w:rFonts w:ascii="Times New Roman" w:cs="Times New Roman"/>
        </w:rPr>
        <w:t>23</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"_Toc81515256" </w:instrText>
      </w:r>
      <w:r>
        <w:fldChar w:fldCharType="separate"/>
      </w:r>
      <w:r>
        <w:rPr>
          <w:rStyle w:val="66"/>
          <w:rFonts w:ascii="Times New Roman" w:cs="Times New Roman"/>
          <w:color w:val="auto"/>
        </w:rPr>
        <w:t>1.7 选址符合性分析</w:t>
      </w:r>
      <w:r>
        <w:rPr>
          <w:rFonts w:ascii="Times New Roman" w:cs="Times New Roman"/>
        </w:rPr>
        <w:tab/>
      </w:r>
      <w:r>
        <w:rPr>
          <w:rFonts w:ascii="Times New Roman" w:cs="Times New Roman"/>
        </w:rPr>
        <w:fldChar w:fldCharType="begin"/>
      </w:r>
      <w:r>
        <w:rPr>
          <w:rFonts w:ascii="Times New Roman" w:cs="Times New Roman"/>
        </w:rPr>
        <w:instrText xml:space="preserve"> PAGEREF _Toc81515256 \h </w:instrText>
      </w:r>
      <w:r>
        <w:rPr>
          <w:rFonts w:ascii="Times New Roman" w:cs="Times New Roman"/>
        </w:rPr>
        <w:fldChar w:fldCharType="separate"/>
      </w:r>
      <w:r>
        <w:rPr>
          <w:rFonts w:ascii="Times New Roman" w:cs="Times New Roman"/>
        </w:rPr>
        <w:t>32</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"_Toc81515257" </w:instrText>
      </w:r>
      <w:r>
        <w:fldChar w:fldCharType="separate"/>
      </w:r>
      <w:r>
        <w:rPr>
          <w:rStyle w:val="66"/>
          <w:rFonts w:ascii="Times New Roman" w:cs="Times New Roman"/>
          <w:color w:val="auto"/>
        </w:rPr>
        <w:t>1.8 项目与相关符合性分析</w:t>
      </w:r>
      <w:r>
        <w:rPr>
          <w:rFonts w:ascii="Times New Roman" w:cs="Times New Roman"/>
        </w:rPr>
        <w:tab/>
      </w:r>
      <w:r>
        <w:rPr>
          <w:rFonts w:ascii="Times New Roman" w:cs="Times New Roman"/>
        </w:rPr>
        <w:fldChar w:fldCharType="begin"/>
      </w:r>
      <w:r>
        <w:rPr>
          <w:rFonts w:ascii="Times New Roman" w:cs="Times New Roman"/>
        </w:rPr>
        <w:instrText xml:space="preserve"> PAGEREF _Toc81515257 \h </w:instrText>
      </w:r>
      <w:r>
        <w:rPr>
          <w:rFonts w:ascii="Times New Roman" w:cs="Times New Roman"/>
        </w:rPr>
        <w:fldChar w:fldCharType="separate"/>
      </w:r>
      <w:r>
        <w:rPr>
          <w:rFonts w:ascii="Times New Roman" w:cs="Times New Roman"/>
        </w:rPr>
        <w:t>37</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"_Toc81515258" </w:instrText>
      </w:r>
      <w:r>
        <w:fldChar w:fldCharType="separate"/>
      </w:r>
      <w:r>
        <w:rPr>
          <w:rStyle w:val="66"/>
          <w:rFonts w:ascii="Times New Roman" w:cs="Times New Roman"/>
          <w:color w:val="auto"/>
        </w:rPr>
        <w:t>1.9 污染控制与环境保护目标</w:t>
      </w:r>
      <w:r>
        <w:rPr>
          <w:rFonts w:ascii="Times New Roman" w:cs="Times New Roman"/>
        </w:rPr>
        <w:tab/>
      </w:r>
      <w:r>
        <w:rPr>
          <w:rFonts w:ascii="Times New Roman" w:cs="Times New Roman"/>
        </w:rPr>
        <w:fldChar w:fldCharType="begin"/>
      </w:r>
      <w:r>
        <w:rPr>
          <w:rFonts w:ascii="Times New Roman" w:cs="Times New Roman"/>
        </w:rPr>
        <w:instrText xml:space="preserve"> PAGEREF _Toc81515258 \h </w:instrText>
      </w:r>
      <w:r>
        <w:rPr>
          <w:rFonts w:ascii="Times New Roman" w:cs="Times New Roman"/>
        </w:rPr>
        <w:fldChar w:fldCharType="separate"/>
      </w:r>
      <w:r>
        <w:rPr>
          <w:rFonts w:ascii="Times New Roman" w:cs="Times New Roman"/>
        </w:rPr>
        <w:t>61</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"_Toc81515259" </w:instrText>
      </w:r>
      <w:r>
        <w:fldChar w:fldCharType="separate"/>
      </w:r>
      <w:r>
        <w:rPr>
          <w:rStyle w:val="66"/>
          <w:rFonts w:ascii="Times New Roman" w:cs="Times New Roman"/>
          <w:color w:val="auto"/>
        </w:rPr>
        <w:t>1.10 评价方法和工作程序</w:t>
      </w:r>
      <w:r>
        <w:rPr>
          <w:rFonts w:ascii="Times New Roman" w:cs="Times New Roman"/>
        </w:rPr>
        <w:tab/>
      </w:r>
      <w:r>
        <w:rPr>
          <w:rFonts w:ascii="Times New Roman" w:cs="Times New Roman"/>
        </w:rPr>
        <w:fldChar w:fldCharType="begin"/>
      </w:r>
      <w:r>
        <w:rPr>
          <w:rFonts w:ascii="Times New Roman" w:cs="Times New Roman"/>
        </w:rPr>
        <w:instrText xml:space="preserve"> PAGEREF _Toc81515259 \h </w:instrText>
      </w:r>
      <w:r>
        <w:rPr>
          <w:rFonts w:ascii="Times New Roman" w:cs="Times New Roman"/>
        </w:rPr>
        <w:fldChar w:fldCharType="separate"/>
      </w:r>
      <w:r>
        <w:rPr>
          <w:rFonts w:ascii="Times New Roman" w:cs="Times New Roman"/>
        </w:rPr>
        <w:t>69</w:t>
      </w:r>
      <w:r>
        <w:rPr>
          <w:rFonts w:ascii="Times New Roman" w:cs="Times New Roman"/>
        </w:rPr>
        <w:fldChar w:fldCharType="end"/>
      </w:r>
      <w:r>
        <w:rPr>
          <w:rFonts w:ascii="Times New Roman" w:cs="Times New Roman"/>
        </w:rPr>
        <w:fldChar w:fldCharType="end"/>
      </w:r>
    </w:p>
    <w:p>
      <w:pPr>
        <w:pStyle w:val="37"/>
        <w:tabs>
          <w:tab w:val="right" w:leader="dot" w:pos="9340"/>
        </w:tabs>
      </w:pPr>
      <w:r>
        <w:fldChar w:fldCharType="begin"/>
      </w:r>
      <w:r>
        <w:instrText xml:space="preserve"> HYPERLINK \l "_Toc81515260" </w:instrText>
      </w:r>
      <w:r>
        <w:fldChar w:fldCharType="separate"/>
      </w:r>
      <w:r>
        <w:rPr>
          <w:rStyle w:val="66"/>
          <w:rFonts w:cs="Times New Roman"/>
          <w:b w:val="0"/>
          <w:color w:val="auto"/>
          <w:kern w:val="44"/>
          <w:sz w:val="24"/>
        </w:rPr>
        <w:t xml:space="preserve">2 </w:t>
      </w:r>
      <w:r>
        <w:rPr>
          <w:rStyle w:val="66"/>
          <w:rFonts w:hint="eastAsia" w:cs="Times New Roman"/>
          <w:b w:val="0"/>
          <w:color w:val="auto"/>
          <w:kern w:val="44"/>
          <w:sz w:val="24"/>
        </w:rPr>
        <w:t>现有工程情况</w:t>
      </w:r>
      <w:r>
        <w:rPr>
          <w:rFonts w:cs="Times New Roman"/>
          <w:b w:val="0"/>
          <w:sz w:val="24"/>
        </w:rPr>
        <w:tab/>
      </w:r>
      <w:r>
        <w:rPr>
          <w:rFonts w:cs="Times New Roman"/>
          <w:b w:val="0"/>
          <w:sz w:val="24"/>
        </w:rPr>
        <w:fldChar w:fldCharType="begin"/>
      </w:r>
      <w:r>
        <w:rPr>
          <w:rFonts w:cs="Times New Roman"/>
          <w:b w:val="0"/>
          <w:sz w:val="24"/>
        </w:rPr>
        <w:instrText xml:space="preserve"> PAGEREF _Toc81515260 \h </w:instrText>
      </w:r>
      <w:r>
        <w:rPr>
          <w:rFonts w:cs="Times New Roman"/>
          <w:b w:val="0"/>
          <w:sz w:val="24"/>
        </w:rPr>
        <w:fldChar w:fldCharType="separate"/>
      </w:r>
      <w:r>
        <w:rPr>
          <w:rFonts w:cs="Times New Roman"/>
          <w:b w:val="0"/>
          <w:sz w:val="24"/>
        </w:rPr>
        <w:t>71</w:t>
      </w:r>
      <w:r>
        <w:rPr>
          <w:rFonts w:cs="Times New Roman"/>
          <w:b w:val="0"/>
          <w:sz w:val="24"/>
        </w:rPr>
        <w:fldChar w:fldCharType="end"/>
      </w:r>
      <w:r>
        <w:rPr>
          <w:rFonts w:cs="Times New Roman"/>
          <w:b w:val="0"/>
          <w:sz w:val="24"/>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"_Toc81515265" </w:instrText>
      </w:r>
      <w:r>
        <w:fldChar w:fldCharType="separate"/>
      </w:r>
      <w:r>
        <w:rPr>
          <w:rStyle w:val="66"/>
          <w:rFonts w:hint="eastAsia" w:ascii="Times New Roman" w:cs="Times New Roman"/>
          <w:color w:val="auto"/>
        </w:rPr>
        <w:t>2</w:t>
      </w:r>
      <w:r>
        <w:rPr>
          <w:rStyle w:val="66"/>
          <w:rFonts w:ascii="Times New Roman" w:cs="Times New Roman"/>
          <w:color w:val="auto"/>
        </w:rPr>
        <w:t xml:space="preserve">.1 </w:t>
      </w:r>
      <w:r>
        <w:rPr>
          <w:rStyle w:val="66"/>
          <w:rFonts w:hint="eastAsia" w:ascii="Times New Roman" w:cs="Times New Roman"/>
          <w:color w:val="auto"/>
        </w:rPr>
        <w:t>普陆4井建设情况</w:t>
      </w:r>
      <w:r>
        <w:rPr>
          <w:rFonts w:ascii="Times New Roman" w:cs="Times New Roman"/>
        </w:rPr>
        <w:tab/>
      </w:r>
      <w:r>
        <w:rPr>
          <w:rFonts w:ascii="Times New Roman" w:cs="Times New Roman"/>
        </w:rPr>
        <w:fldChar w:fldCharType="begin"/>
      </w:r>
      <w:r>
        <w:rPr>
          <w:rFonts w:ascii="Times New Roman" w:cs="Times New Roman"/>
        </w:rPr>
        <w:instrText xml:space="preserve"> PAGEREF _Toc81515265 \h </w:instrText>
      </w:r>
      <w:r>
        <w:rPr>
          <w:rFonts w:ascii="Times New Roman" w:cs="Times New Roman"/>
        </w:rPr>
        <w:fldChar w:fldCharType="separate"/>
      </w:r>
      <w:r>
        <w:rPr>
          <w:rFonts w:ascii="Times New Roman" w:cs="Times New Roman"/>
        </w:rPr>
        <w:t>76</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"_Toc81515265" </w:instrText>
      </w:r>
      <w:r>
        <w:fldChar w:fldCharType="separate"/>
      </w:r>
      <w:r>
        <w:rPr>
          <w:rStyle w:val="66"/>
          <w:rFonts w:hint="eastAsia" w:ascii="Times New Roman" w:cs="Times New Roman"/>
          <w:color w:val="auto"/>
        </w:rPr>
        <w:t>2</w:t>
      </w:r>
      <w:r>
        <w:rPr>
          <w:rStyle w:val="66"/>
          <w:rFonts w:ascii="Times New Roman" w:cs="Times New Roman"/>
          <w:color w:val="auto"/>
        </w:rPr>
        <w:t>.</w:t>
      </w:r>
      <w:r>
        <w:rPr>
          <w:rStyle w:val="66"/>
          <w:rFonts w:hint="eastAsia" w:ascii="Times New Roman" w:cs="Times New Roman"/>
          <w:color w:val="auto"/>
        </w:rPr>
        <w:t>2</w:t>
      </w:r>
      <w:r>
        <w:rPr>
          <w:rStyle w:val="66"/>
          <w:rFonts w:ascii="Times New Roman" w:cs="Times New Roman"/>
          <w:color w:val="auto"/>
        </w:rPr>
        <w:t xml:space="preserve"> </w:t>
      </w:r>
      <w:r>
        <w:rPr>
          <w:rStyle w:val="66"/>
          <w:rFonts w:hint="eastAsia" w:ascii="Times New Roman" w:cs="Times New Roman"/>
          <w:color w:val="auto"/>
        </w:rPr>
        <w:t>P107集气站建设情况</w:t>
      </w:r>
      <w:r>
        <w:rPr>
          <w:rFonts w:ascii="Times New Roman" w:cs="Times New Roman"/>
        </w:rPr>
        <w:tab/>
      </w:r>
      <w:r>
        <w:rPr>
          <w:rFonts w:ascii="Times New Roman" w:cs="Times New Roman"/>
        </w:rPr>
        <w:fldChar w:fldCharType="begin"/>
      </w:r>
      <w:r>
        <w:rPr>
          <w:rFonts w:ascii="Times New Roman" w:cs="Times New Roman"/>
        </w:rPr>
        <w:instrText xml:space="preserve"> PAGEREF _Toc81515265 \h </w:instrText>
      </w:r>
      <w:r>
        <w:rPr>
          <w:rFonts w:ascii="Times New Roman" w:cs="Times New Roman"/>
        </w:rPr>
        <w:fldChar w:fldCharType="separate"/>
      </w:r>
      <w:r>
        <w:rPr>
          <w:rFonts w:ascii="Times New Roman" w:cs="Times New Roman"/>
        </w:rPr>
        <w:t>76</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"_Toc81515265" </w:instrText>
      </w:r>
      <w:r>
        <w:fldChar w:fldCharType="separate"/>
      </w:r>
      <w:r>
        <w:rPr>
          <w:rStyle w:val="66"/>
          <w:rFonts w:hint="eastAsia" w:ascii="Times New Roman" w:cs="Times New Roman"/>
          <w:color w:val="auto"/>
        </w:rPr>
        <w:t>2</w:t>
      </w:r>
      <w:r>
        <w:rPr>
          <w:rStyle w:val="66"/>
          <w:rFonts w:ascii="Times New Roman" w:cs="Times New Roman"/>
          <w:color w:val="auto"/>
        </w:rPr>
        <w:t>.</w:t>
      </w:r>
      <w:r>
        <w:rPr>
          <w:rStyle w:val="66"/>
          <w:rFonts w:hint="eastAsia" w:ascii="Times New Roman" w:cs="Times New Roman"/>
          <w:color w:val="auto"/>
        </w:rPr>
        <w:t>3现有环保工程依托可行性</w:t>
      </w:r>
      <w:r>
        <w:rPr>
          <w:rFonts w:ascii="Times New Roman" w:cs="Times New Roman"/>
        </w:rPr>
        <w:tab/>
      </w:r>
      <w:r>
        <w:rPr>
          <w:rFonts w:ascii="Times New Roman" w:cs="Times New Roman"/>
        </w:rPr>
        <w:fldChar w:fldCharType="begin"/>
      </w:r>
      <w:r>
        <w:rPr>
          <w:rFonts w:ascii="Times New Roman" w:cs="Times New Roman"/>
        </w:rPr>
        <w:instrText xml:space="preserve"> PAGEREF _Toc81515265 \h </w:instrText>
      </w:r>
      <w:r>
        <w:rPr>
          <w:rFonts w:ascii="Times New Roman" w:cs="Times New Roman"/>
        </w:rPr>
        <w:fldChar w:fldCharType="separate"/>
      </w:r>
      <w:r>
        <w:rPr>
          <w:rFonts w:ascii="Times New Roman" w:cs="Times New Roman"/>
        </w:rPr>
        <w:t>76</w:t>
      </w:r>
      <w:r>
        <w:rPr>
          <w:rFonts w:ascii="Times New Roman" w:cs="Times New Roman"/>
        </w:rPr>
        <w:fldChar w:fldCharType="end"/>
      </w:r>
      <w:r>
        <w:rPr>
          <w:rFonts w:ascii="Times New Roman" w:cs="Times New Roman"/>
        </w:rPr>
        <w:fldChar w:fldCharType="end"/>
      </w:r>
    </w:p>
    <w:p>
      <w:pPr>
        <w:pStyle w:val="37"/>
        <w:tabs>
          <w:tab w:val="right" w:leader="dot" w:pos="9340"/>
        </w:tabs>
        <w:rPr>
          <w:rFonts w:cs="Times New Roman"/>
          <w:b w:val="0"/>
          <w:kern w:val="2"/>
          <w:sz w:val="24"/>
        </w:rPr>
      </w:pPr>
      <w:r>
        <w:fldChar w:fldCharType="begin"/>
      </w:r>
      <w:r>
        <w:instrText xml:space="preserve"> HYPERLINK \l "_Toc81515264" </w:instrText>
      </w:r>
      <w:r>
        <w:fldChar w:fldCharType="separate"/>
      </w:r>
      <w:r>
        <w:rPr>
          <w:rStyle w:val="66"/>
          <w:rFonts w:cs="Times New Roman"/>
          <w:b w:val="0"/>
          <w:color w:val="auto"/>
          <w:sz w:val="24"/>
        </w:rPr>
        <w:t>3 项目概况</w:t>
      </w:r>
      <w:r>
        <w:rPr>
          <w:rFonts w:cs="Times New Roman"/>
          <w:b w:val="0"/>
          <w:sz w:val="24"/>
        </w:rPr>
        <w:tab/>
      </w:r>
      <w:r>
        <w:rPr>
          <w:rFonts w:cs="Times New Roman"/>
          <w:b w:val="0"/>
          <w:sz w:val="24"/>
        </w:rPr>
        <w:fldChar w:fldCharType="begin"/>
      </w:r>
      <w:r>
        <w:rPr>
          <w:rFonts w:cs="Times New Roman"/>
          <w:b w:val="0"/>
          <w:sz w:val="24"/>
        </w:rPr>
        <w:instrText xml:space="preserve"> PAGEREF _Toc81515264 \h </w:instrText>
      </w:r>
      <w:r>
        <w:rPr>
          <w:rFonts w:cs="Times New Roman"/>
          <w:b w:val="0"/>
          <w:sz w:val="24"/>
        </w:rPr>
        <w:fldChar w:fldCharType="separate"/>
      </w:r>
      <w:r>
        <w:rPr>
          <w:rFonts w:cs="Times New Roman"/>
          <w:b w:val="0"/>
          <w:sz w:val="24"/>
        </w:rPr>
        <w:t>76</w:t>
      </w:r>
      <w:r>
        <w:rPr>
          <w:rFonts w:cs="Times New Roman"/>
          <w:b w:val="0"/>
          <w:sz w:val="24"/>
        </w:rPr>
        <w:fldChar w:fldCharType="end"/>
      </w:r>
      <w:r>
        <w:rPr>
          <w:rFonts w:cs="Times New Roman"/>
          <w:b w:val="0"/>
          <w:sz w:val="24"/>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"_Toc81515265" </w:instrText>
      </w:r>
      <w:r>
        <w:fldChar w:fldCharType="separate"/>
      </w:r>
      <w:r>
        <w:rPr>
          <w:rStyle w:val="66"/>
          <w:rFonts w:ascii="Times New Roman" w:cs="Times New Roman"/>
          <w:color w:val="auto"/>
        </w:rPr>
        <w:t>3.1 基本情况</w:t>
      </w:r>
      <w:r>
        <w:rPr>
          <w:rFonts w:ascii="Times New Roman" w:cs="Times New Roman"/>
        </w:rPr>
        <w:tab/>
      </w:r>
      <w:r>
        <w:rPr>
          <w:rFonts w:ascii="Times New Roman" w:cs="Times New Roman"/>
        </w:rPr>
        <w:fldChar w:fldCharType="begin"/>
      </w:r>
      <w:r>
        <w:rPr>
          <w:rFonts w:ascii="Times New Roman" w:cs="Times New Roman"/>
        </w:rPr>
        <w:instrText xml:space="preserve"> PAGEREF _Toc81515265 \h </w:instrText>
      </w:r>
      <w:r>
        <w:rPr>
          <w:rFonts w:ascii="Times New Roman" w:cs="Times New Roman"/>
        </w:rPr>
        <w:fldChar w:fldCharType="separate"/>
      </w:r>
      <w:r>
        <w:rPr>
          <w:rFonts w:ascii="Times New Roman" w:cs="Times New Roman"/>
        </w:rPr>
        <w:t>76</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"_Toc81515266" </w:instrText>
      </w:r>
      <w:r>
        <w:fldChar w:fldCharType="separate"/>
      </w:r>
      <w:r>
        <w:rPr>
          <w:rStyle w:val="66"/>
          <w:rFonts w:ascii="Times New Roman" w:cs="Times New Roman"/>
          <w:color w:val="auto"/>
        </w:rPr>
        <w:t>3.2 工程规模及项目组成</w:t>
      </w:r>
      <w:r>
        <w:rPr>
          <w:rFonts w:ascii="Times New Roman" w:cs="Times New Roman"/>
        </w:rPr>
        <w:tab/>
      </w:r>
      <w:r>
        <w:rPr>
          <w:rFonts w:ascii="Times New Roman" w:cs="Times New Roman"/>
        </w:rPr>
        <w:fldChar w:fldCharType="begin"/>
      </w:r>
      <w:r>
        <w:rPr>
          <w:rFonts w:ascii="Times New Roman" w:cs="Times New Roman"/>
        </w:rPr>
        <w:instrText xml:space="preserve"> PAGEREF _Toc81515266 \h </w:instrText>
      </w:r>
      <w:r>
        <w:rPr>
          <w:rFonts w:ascii="Times New Roman" w:cs="Times New Roman"/>
        </w:rPr>
        <w:fldChar w:fldCharType="separate"/>
      </w:r>
      <w:r>
        <w:rPr>
          <w:rFonts w:ascii="Times New Roman" w:cs="Times New Roman"/>
        </w:rPr>
        <w:t>77</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"_Toc81515267" </w:instrText>
      </w:r>
      <w:r>
        <w:fldChar w:fldCharType="separate"/>
      </w:r>
      <w:r>
        <w:rPr>
          <w:rStyle w:val="66"/>
          <w:rFonts w:ascii="Times New Roman" w:cs="Times New Roman"/>
          <w:color w:val="auto"/>
        </w:rPr>
        <w:t>3.3 输送介质情况</w:t>
      </w:r>
      <w:r>
        <w:rPr>
          <w:rFonts w:ascii="Times New Roman" w:cs="Times New Roman"/>
        </w:rPr>
        <w:tab/>
      </w:r>
      <w:r>
        <w:rPr>
          <w:rFonts w:ascii="Times New Roman" w:cs="Times New Roman"/>
        </w:rPr>
        <w:fldChar w:fldCharType="begin"/>
      </w:r>
      <w:r>
        <w:rPr>
          <w:rFonts w:ascii="Times New Roman" w:cs="Times New Roman"/>
        </w:rPr>
        <w:instrText xml:space="preserve"> PAGEREF _Toc81515267 \h </w:instrText>
      </w:r>
      <w:r>
        <w:rPr>
          <w:rFonts w:ascii="Times New Roman" w:cs="Times New Roman"/>
        </w:rPr>
        <w:fldChar w:fldCharType="separate"/>
      </w:r>
      <w:r>
        <w:rPr>
          <w:rFonts w:ascii="Times New Roman" w:cs="Times New Roman"/>
        </w:rPr>
        <w:t>82</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"_Toc81515268" </w:instrText>
      </w:r>
      <w:r>
        <w:fldChar w:fldCharType="separate"/>
      </w:r>
      <w:r>
        <w:rPr>
          <w:rStyle w:val="66"/>
          <w:rFonts w:ascii="Times New Roman" w:cs="Times New Roman"/>
          <w:color w:val="auto"/>
        </w:rPr>
        <w:t>3.4 场站工程</w:t>
      </w:r>
      <w:r>
        <w:rPr>
          <w:rFonts w:ascii="Times New Roman" w:cs="Times New Roman"/>
        </w:rPr>
        <w:tab/>
      </w:r>
      <w:r>
        <w:rPr>
          <w:rFonts w:ascii="Times New Roman" w:cs="Times New Roman"/>
        </w:rPr>
        <w:fldChar w:fldCharType="begin"/>
      </w:r>
      <w:r>
        <w:rPr>
          <w:rFonts w:ascii="Times New Roman" w:cs="Times New Roman"/>
        </w:rPr>
        <w:instrText xml:space="preserve"> PAGEREF _Toc81515268 \h </w:instrText>
      </w:r>
      <w:r>
        <w:rPr>
          <w:rFonts w:ascii="Times New Roman" w:cs="Times New Roman"/>
        </w:rPr>
        <w:fldChar w:fldCharType="separate"/>
      </w:r>
      <w:r>
        <w:rPr>
          <w:rFonts w:ascii="Times New Roman" w:cs="Times New Roman"/>
        </w:rPr>
        <w:t>84</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"_Toc81515269" </w:instrText>
      </w:r>
      <w:r>
        <w:fldChar w:fldCharType="separate"/>
      </w:r>
      <w:r>
        <w:rPr>
          <w:rStyle w:val="66"/>
          <w:rFonts w:ascii="Times New Roman" w:cs="Times New Roman"/>
          <w:color w:val="auto"/>
        </w:rPr>
        <w:t>3.5 线路工程</w:t>
      </w:r>
      <w:r>
        <w:rPr>
          <w:rFonts w:ascii="Times New Roman" w:cs="Times New Roman"/>
        </w:rPr>
        <w:tab/>
      </w:r>
      <w:r>
        <w:rPr>
          <w:rFonts w:ascii="Times New Roman" w:cs="Times New Roman"/>
        </w:rPr>
        <w:fldChar w:fldCharType="begin"/>
      </w:r>
      <w:r>
        <w:rPr>
          <w:rFonts w:ascii="Times New Roman" w:cs="Times New Roman"/>
        </w:rPr>
        <w:instrText xml:space="preserve"> PAGEREF _Toc81515269 \h </w:instrText>
      </w:r>
      <w:r>
        <w:rPr>
          <w:rFonts w:ascii="Times New Roman" w:cs="Times New Roman"/>
        </w:rPr>
        <w:fldChar w:fldCharType="separate"/>
      </w:r>
      <w:r>
        <w:rPr>
          <w:rFonts w:ascii="Times New Roman" w:cs="Times New Roman"/>
        </w:rPr>
        <w:t>94</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"_Toc81515270" </w:instrText>
      </w:r>
      <w:r>
        <w:fldChar w:fldCharType="separate"/>
      </w:r>
      <w:r>
        <w:rPr>
          <w:rStyle w:val="66"/>
          <w:rFonts w:ascii="Times New Roman" w:cs="Times New Roman"/>
          <w:color w:val="auto"/>
        </w:rPr>
        <w:t>3.6 辅助工程</w:t>
      </w:r>
      <w:r>
        <w:rPr>
          <w:rFonts w:ascii="Times New Roman" w:cs="Times New Roman"/>
        </w:rPr>
        <w:tab/>
      </w:r>
      <w:r>
        <w:rPr>
          <w:rFonts w:ascii="Times New Roman" w:cs="Times New Roman"/>
        </w:rPr>
        <w:fldChar w:fldCharType="begin"/>
      </w:r>
      <w:r>
        <w:rPr>
          <w:rFonts w:ascii="Times New Roman" w:cs="Times New Roman"/>
        </w:rPr>
        <w:instrText xml:space="preserve"> PAGEREF _Toc81515270 \h </w:instrText>
      </w:r>
      <w:r>
        <w:rPr>
          <w:rFonts w:ascii="Times New Roman" w:cs="Times New Roman"/>
        </w:rPr>
        <w:fldChar w:fldCharType="separate"/>
      </w:r>
      <w:r>
        <w:rPr>
          <w:rFonts w:ascii="Times New Roman" w:cs="Times New Roman"/>
        </w:rPr>
        <w:t>95</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"_Toc81515271" </w:instrText>
      </w:r>
      <w:r>
        <w:fldChar w:fldCharType="separate"/>
      </w:r>
      <w:r>
        <w:rPr>
          <w:rStyle w:val="66"/>
          <w:rFonts w:ascii="Times New Roman" w:cs="Times New Roman"/>
          <w:color w:val="auto"/>
        </w:rPr>
        <w:t>3.7 公用工程</w:t>
      </w:r>
      <w:r>
        <w:rPr>
          <w:rFonts w:ascii="Times New Roman" w:cs="Times New Roman"/>
        </w:rPr>
        <w:tab/>
      </w:r>
      <w:r>
        <w:rPr>
          <w:rFonts w:ascii="Times New Roman" w:cs="Times New Roman"/>
        </w:rPr>
        <w:fldChar w:fldCharType="begin"/>
      </w:r>
      <w:r>
        <w:rPr>
          <w:rFonts w:ascii="Times New Roman" w:cs="Times New Roman"/>
        </w:rPr>
        <w:instrText xml:space="preserve"> PAGEREF _Toc81515271 \h </w:instrText>
      </w:r>
      <w:r>
        <w:rPr>
          <w:rFonts w:ascii="Times New Roman" w:cs="Times New Roman"/>
        </w:rPr>
        <w:fldChar w:fldCharType="separate"/>
      </w:r>
      <w:r>
        <w:rPr>
          <w:rFonts w:ascii="Times New Roman" w:cs="Times New Roman"/>
        </w:rPr>
        <w:t>97</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"_Toc81515272" </w:instrText>
      </w:r>
      <w:r>
        <w:fldChar w:fldCharType="separate"/>
      </w:r>
      <w:r>
        <w:rPr>
          <w:rStyle w:val="66"/>
          <w:rFonts w:ascii="Times New Roman" w:cs="Times New Roman"/>
          <w:color w:val="auto"/>
        </w:rPr>
        <w:t>3.8 其他工程</w:t>
      </w:r>
      <w:r>
        <w:rPr>
          <w:rFonts w:ascii="Times New Roman" w:cs="Times New Roman"/>
        </w:rPr>
        <w:tab/>
      </w:r>
      <w:r>
        <w:rPr>
          <w:rFonts w:ascii="Times New Roman" w:cs="Times New Roman"/>
        </w:rPr>
        <w:fldChar w:fldCharType="begin"/>
      </w:r>
      <w:r>
        <w:rPr>
          <w:rFonts w:ascii="Times New Roman" w:cs="Times New Roman"/>
        </w:rPr>
        <w:instrText xml:space="preserve"> PAGEREF _Toc81515272 \h </w:instrText>
      </w:r>
      <w:r>
        <w:rPr>
          <w:rFonts w:ascii="Times New Roman" w:cs="Times New Roman"/>
        </w:rPr>
        <w:fldChar w:fldCharType="separate"/>
      </w:r>
      <w:r>
        <w:rPr>
          <w:rFonts w:ascii="Times New Roman" w:cs="Times New Roman"/>
        </w:rPr>
        <w:t>98</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"_Toc81515273" </w:instrText>
      </w:r>
      <w:r>
        <w:fldChar w:fldCharType="separate"/>
      </w:r>
      <w:r>
        <w:rPr>
          <w:rStyle w:val="66"/>
          <w:rFonts w:ascii="Times New Roman" w:cs="Times New Roman"/>
          <w:color w:val="auto"/>
        </w:rPr>
        <w:t>3.9 劳动定员、建设进度</w:t>
      </w:r>
      <w:r>
        <w:rPr>
          <w:rFonts w:ascii="Times New Roman" w:cs="Times New Roman"/>
        </w:rPr>
        <w:tab/>
      </w:r>
      <w:r>
        <w:rPr>
          <w:rFonts w:ascii="Times New Roman" w:cs="Times New Roman"/>
        </w:rPr>
        <w:fldChar w:fldCharType="begin"/>
      </w:r>
      <w:r>
        <w:rPr>
          <w:rFonts w:ascii="Times New Roman" w:cs="Times New Roman"/>
        </w:rPr>
        <w:instrText xml:space="preserve"> PAGEREF _Toc81515273 \h </w:instrText>
      </w:r>
      <w:r>
        <w:rPr>
          <w:rFonts w:ascii="Times New Roman" w:cs="Times New Roman"/>
        </w:rPr>
        <w:fldChar w:fldCharType="separate"/>
      </w:r>
      <w:r>
        <w:rPr>
          <w:rFonts w:ascii="Times New Roman" w:cs="Times New Roman"/>
        </w:rPr>
        <w:t>99</w:t>
      </w:r>
      <w:r>
        <w:rPr>
          <w:rFonts w:ascii="Times New Roman" w:cs="Times New Roman"/>
        </w:rPr>
        <w:fldChar w:fldCharType="end"/>
      </w:r>
      <w:r>
        <w:rPr>
          <w:rFonts w:ascii="Times New Roman" w:cs="Times New Roman"/>
        </w:rPr>
        <w:fldChar w:fldCharType="end"/>
      </w:r>
    </w:p>
    <w:p>
      <w:pPr>
        <w:pStyle w:val="37"/>
        <w:tabs>
          <w:tab w:val="right" w:leader="dot" w:pos="9340"/>
        </w:tabs>
        <w:rPr>
          <w:rFonts w:cs="Times New Roman"/>
          <w:b w:val="0"/>
          <w:kern w:val="2"/>
          <w:sz w:val="24"/>
        </w:rPr>
      </w:pPr>
      <w:r>
        <w:fldChar w:fldCharType="begin"/>
      </w:r>
      <w:r>
        <w:instrText xml:space="preserve"> HYPERLINK \l "_Toc81515274" </w:instrText>
      </w:r>
      <w:r>
        <w:fldChar w:fldCharType="separate"/>
      </w:r>
      <w:r>
        <w:rPr>
          <w:rStyle w:val="66"/>
          <w:rFonts w:cs="Times New Roman"/>
          <w:b w:val="0"/>
          <w:color w:val="auto"/>
          <w:sz w:val="24"/>
        </w:rPr>
        <w:t>4 工程分析</w:t>
      </w:r>
      <w:r>
        <w:rPr>
          <w:rFonts w:cs="Times New Roman"/>
          <w:b w:val="0"/>
          <w:sz w:val="24"/>
        </w:rPr>
        <w:tab/>
      </w:r>
      <w:r>
        <w:rPr>
          <w:rFonts w:cs="Times New Roman"/>
          <w:b w:val="0"/>
          <w:sz w:val="24"/>
        </w:rPr>
        <w:fldChar w:fldCharType="begin"/>
      </w:r>
      <w:r>
        <w:rPr>
          <w:rFonts w:cs="Times New Roman"/>
          <w:b w:val="0"/>
          <w:sz w:val="24"/>
        </w:rPr>
        <w:instrText xml:space="preserve"> PAGEREF _Toc81515274 \h </w:instrText>
      </w:r>
      <w:r>
        <w:rPr>
          <w:rFonts w:cs="Times New Roman"/>
          <w:b w:val="0"/>
          <w:sz w:val="24"/>
        </w:rPr>
        <w:fldChar w:fldCharType="separate"/>
      </w:r>
      <w:r>
        <w:rPr>
          <w:rFonts w:cs="Times New Roman"/>
          <w:b w:val="0"/>
          <w:sz w:val="24"/>
        </w:rPr>
        <w:t>100</w:t>
      </w:r>
      <w:r>
        <w:rPr>
          <w:rFonts w:cs="Times New Roman"/>
          <w:b w:val="0"/>
          <w:sz w:val="24"/>
        </w:rPr>
        <w:fldChar w:fldCharType="end"/>
      </w:r>
      <w:r>
        <w:rPr>
          <w:rFonts w:cs="Times New Roman"/>
          <w:b w:val="0"/>
          <w:sz w:val="24"/>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"_Toc81515275" </w:instrText>
      </w:r>
      <w:r>
        <w:fldChar w:fldCharType="separate"/>
      </w:r>
      <w:r>
        <w:rPr>
          <w:rStyle w:val="66"/>
          <w:rFonts w:ascii="Times New Roman" w:cs="Times New Roman"/>
          <w:color w:val="auto"/>
        </w:rPr>
        <w:t>4.1 施工期工程分析</w:t>
      </w:r>
      <w:r>
        <w:rPr>
          <w:rFonts w:ascii="Times New Roman" w:cs="Times New Roman"/>
        </w:rPr>
        <w:tab/>
      </w:r>
      <w:r>
        <w:rPr>
          <w:rFonts w:ascii="Times New Roman" w:cs="Times New Roman"/>
        </w:rPr>
        <w:fldChar w:fldCharType="begin"/>
      </w:r>
      <w:r>
        <w:rPr>
          <w:rFonts w:ascii="Times New Roman" w:cs="Times New Roman"/>
        </w:rPr>
        <w:instrText xml:space="preserve"> PAGEREF _Toc81515275 \h </w:instrText>
      </w:r>
      <w:r>
        <w:rPr>
          <w:rFonts w:ascii="Times New Roman" w:cs="Times New Roman"/>
        </w:rPr>
        <w:fldChar w:fldCharType="separate"/>
      </w:r>
      <w:r>
        <w:rPr>
          <w:rFonts w:ascii="Times New Roman" w:cs="Times New Roman"/>
        </w:rPr>
        <w:t>100</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pPr>
      <w:r>
        <w:fldChar w:fldCharType="begin"/>
      </w:r>
      <w:r>
        <w:instrText xml:space="preserve"> HYPERLINK \l "_Toc81515276" </w:instrText>
      </w:r>
      <w:r>
        <w:fldChar w:fldCharType="separate"/>
      </w:r>
      <w:r>
        <w:rPr>
          <w:rStyle w:val="66"/>
          <w:rFonts w:ascii="Times New Roman" w:cs="Times New Roman"/>
          <w:color w:val="auto"/>
        </w:rPr>
        <w:t>4.2 运营期工程分析</w:t>
      </w:r>
      <w:r>
        <w:rPr>
          <w:rFonts w:ascii="Times New Roman" w:cs="Times New Roman"/>
        </w:rPr>
        <w:tab/>
      </w:r>
      <w:r>
        <w:rPr>
          <w:rFonts w:ascii="Times New Roman" w:cs="Times New Roman"/>
        </w:rPr>
        <w:fldChar w:fldCharType="begin"/>
      </w:r>
      <w:r>
        <w:rPr>
          <w:rFonts w:ascii="Times New Roman" w:cs="Times New Roman"/>
        </w:rPr>
        <w:instrText xml:space="preserve"> PAGEREF _Toc81515276 \h </w:instrText>
      </w:r>
      <w:r>
        <w:rPr>
          <w:rFonts w:ascii="Times New Roman" w:cs="Times New Roman"/>
        </w:rPr>
        <w:fldChar w:fldCharType="separate"/>
      </w:r>
      <w:r>
        <w:rPr>
          <w:rFonts w:ascii="Times New Roman" w:cs="Times New Roman"/>
        </w:rPr>
        <w:t>127</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"_Toc81515277" </w:instrText>
      </w:r>
      <w:r>
        <w:fldChar w:fldCharType="separate"/>
      </w:r>
      <w:r>
        <w:rPr>
          <w:rStyle w:val="66"/>
          <w:rFonts w:ascii="Times New Roman" w:cs="Times New Roman"/>
          <w:color w:val="auto"/>
        </w:rPr>
        <w:t>4.3</w:t>
      </w:r>
      <w:r>
        <w:rPr>
          <w:rStyle w:val="66"/>
          <w:rFonts w:hint="eastAsia" w:ascii="Times New Roman" w:cs="Times New Roman"/>
          <w:color w:val="auto"/>
        </w:rPr>
        <w:t>退役</w:t>
      </w:r>
      <w:r>
        <w:rPr>
          <w:rStyle w:val="66"/>
          <w:rFonts w:ascii="Times New Roman" w:cs="Times New Roman"/>
          <w:color w:val="auto"/>
        </w:rPr>
        <w:t>期工程分析</w:t>
      </w:r>
      <w:r>
        <w:rPr>
          <w:rFonts w:ascii="Times New Roman" w:cs="Times New Roman"/>
        </w:rPr>
        <w:tab/>
      </w:r>
      <w:r>
        <w:rPr>
          <w:rFonts w:ascii="Times New Roman" w:cs="Times New Roman"/>
        </w:rPr>
        <w:fldChar w:fldCharType="begin"/>
      </w:r>
      <w:r>
        <w:rPr>
          <w:rFonts w:ascii="Times New Roman" w:cs="Times New Roman"/>
        </w:rPr>
        <w:instrText xml:space="preserve"> PAGEREF _Toc81515277 \h </w:instrText>
      </w:r>
      <w:r>
        <w:rPr>
          <w:rFonts w:ascii="Times New Roman" w:cs="Times New Roman"/>
        </w:rPr>
        <w:fldChar w:fldCharType="separate"/>
      </w:r>
      <w:r>
        <w:rPr>
          <w:rFonts w:ascii="Times New Roman" w:cs="Times New Roman"/>
        </w:rPr>
        <w:t>131</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"_Toc81515277" </w:instrText>
      </w:r>
      <w:r>
        <w:fldChar w:fldCharType="separate"/>
      </w:r>
      <w:r>
        <w:rPr>
          <w:rStyle w:val="66"/>
          <w:rFonts w:ascii="Times New Roman" w:cs="Times New Roman"/>
          <w:color w:val="auto"/>
        </w:rPr>
        <w:t>4.</w:t>
      </w:r>
      <w:r>
        <w:rPr>
          <w:rStyle w:val="66"/>
          <w:rFonts w:hint="eastAsia" w:ascii="Times New Roman" w:cs="Times New Roman"/>
          <w:color w:val="auto"/>
        </w:rPr>
        <w:t>4</w:t>
      </w:r>
      <w:r>
        <w:rPr>
          <w:rStyle w:val="66"/>
          <w:rFonts w:ascii="Times New Roman" w:cs="Times New Roman"/>
          <w:color w:val="auto"/>
        </w:rPr>
        <w:t xml:space="preserve"> 项目清洁性分析</w:t>
      </w:r>
      <w:r>
        <w:rPr>
          <w:rFonts w:ascii="Times New Roman" w:cs="Times New Roman"/>
        </w:rPr>
        <w:tab/>
      </w:r>
      <w:r>
        <w:rPr>
          <w:rFonts w:ascii="Times New Roman" w:cs="Times New Roman"/>
        </w:rPr>
        <w:fldChar w:fldCharType="begin"/>
      </w:r>
      <w:r>
        <w:rPr>
          <w:rFonts w:ascii="Times New Roman" w:cs="Times New Roman"/>
        </w:rPr>
        <w:instrText xml:space="preserve"> PAGEREF _Toc81515277 \h </w:instrText>
      </w:r>
      <w:r>
        <w:rPr>
          <w:rFonts w:ascii="Times New Roman" w:cs="Times New Roman"/>
        </w:rPr>
        <w:fldChar w:fldCharType="separate"/>
      </w:r>
      <w:r>
        <w:rPr>
          <w:rFonts w:ascii="Times New Roman" w:cs="Times New Roman"/>
        </w:rPr>
        <w:t>131</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"_Toc81515278" </w:instrText>
      </w:r>
      <w:r>
        <w:fldChar w:fldCharType="separate"/>
      </w:r>
      <w:r>
        <w:rPr>
          <w:rStyle w:val="66"/>
          <w:rFonts w:ascii="Times New Roman" w:cs="Times New Roman"/>
          <w:color w:val="auto"/>
        </w:rPr>
        <w:t>4.</w:t>
      </w:r>
      <w:r>
        <w:rPr>
          <w:rStyle w:val="66"/>
          <w:rFonts w:hint="eastAsia" w:ascii="Times New Roman" w:cs="Times New Roman"/>
          <w:color w:val="auto"/>
        </w:rPr>
        <w:t>5</w:t>
      </w:r>
      <w:r>
        <w:rPr>
          <w:rStyle w:val="66"/>
          <w:rFonts w:ascii="Times New Roman" w:cs="Times New Roman"/>
          <w:color w:val="auto"/>
        </w:rPr>
        <w:t xml:space="preserve"> 总量控制</w:t>
      </w:r>
      <w:r>
        <w:rPr>
          <w:rFonts w:ascii="Times New Roman" w:cs="Times New Roman"/>
        </w:rPr>
        <w:tab/>
      </w:r>
      <w:r>
        <w:rPr>
          <w:rFonts w:ascii="Times New Roman" w:cs="Times New Roman"/>
        </w:rPr>
        <w:fldChar w:fldCharType="begin"/>
      </w:r>
      <w:r>
        <w:rPr>
          <w:rFonts w:ascii="Times New Roman" w:cs="Times New Roman"/>
        </w:rPr>
        <w:instrText xml:space="preserve"> PAGEREF _Toc81515278 \h </w:instrText>
      </w:r>
      <w:r>
        <w:rPr>
          <w:rFonts w:ascii="Times New Roman" w:cs="Times New Roman"/>
        </w:rPr>
        <w:fldChar w:fldCharType="separate"/>
      </w:r>
      <w:r>
        <w:rPr>
          <w:rFonts w:ascii="Times New Roman" w:cs="Times New Roman"/>
        </w:rPr>
        <w:t>133</w:t>
      </w:r>
      <w:r>
        <w:rPr>
          <w:rFonts w:ascii="Times New Roman" w:cs="Times New Roman"/>
        </w:rPr>
        <w:fldChar w:fldCharType="end"/>
      </w:r>
      <w:r>
        <w:rPr>
          <w:rFonts w:ascii="Times New Roman" w:cs="Times New Roman"/>
        </w:rPr>
        <w:fldChar w:fldCharType="end"/>
      </w:r>
    </w:p>
    <w:p>
      <w:pPr>
        <w:pStyle w:val="37"/>
        <w:tabs>
          <w:tab w:val="right" w:leader="dot" w:pos="9340"/>
        </w:tabs>
        <w:rPr>
          <w:rFonts w:cs="Times New Roman"/>
          <w:b w:val="0"/>
          <w:kern w:val="2"/>
          <w:sz w:val="24"/>
        </w:rPr>
      </w:pPr>
      <w:r>
        <w:fldChar w:fldCharType="begin"/>
      </w:r>
      <w:r>
        <w:instrText xml:space="preserve"> HYPERLINK \l "_Toc81515280" </w:instrText>
      </w:r>
      <w:r>
        <w:fldChar w:fldCharType="separate"/>
      </w:r>
      <w:r>
        <w:rPr>
          <w:rStyle w:val="66"/>
          <w:rFonts w:cs="Times New Roman"/>
          <w:b w:val="0"/>
          <w:color w:val="auto"/>
          <w:sz w:val="24"/>
        </w:rPr>
        <w:t>5 环境质量现状调查与评价</w:t>
      </w:r>
      <w:r>
        <w:rPr>
          <w:rFonts w:cs="Times New Roman"/>
          <w:b w:val="0"/>
          <w:sz w:val="24"/>
        </w:rPr>
        <w:tab/>
      </w:r>
      <w:r>
        <w:rPr>
          <w:rFonts w:cs="Times New Roman"/>
          <w:b w:val="0"/>
          <w:sz w:val="24"/>
        </w:rPr>
        <w:fldChar w:fldCharType="begin"/>
      </w:r>
      <w:r>
        <w:rPr>
          <w:rFonts w:cs="Times New Roman"/>
          <w:b w:val="0"/>
          <w:sz w:val="24"/>
        </w:rPr>
        <w:instrText xml:space="preserve"> PAGEREF _Toc81515280 \h </w:instrText>
      </w:r>
      <w:r>
        <w:rPr>
          <w:rFonts w:cs="Times New Roman"/>
          <w:b w:val="0"/>
          <w:sz w:val="24"/>
        </w:rPr>
        <w:fldChar w:fldCharType="separate"/>
      </w:r>
      <w:r>
        <w:rPr>
          <w:rFonts w:cs="Times New Roman"/>
          <w:b w:val="0"/>
          <w:sz w:val="24"/>
        </w:rPr>
        <w:t>134</w:t>
      </w:r>
      <w:r>
        <w:rPr>
          <w:rFonts w:cs="Times New Roman"/>
          <w:b w:val="0"/>
          <w:sz w:val="24"/>
        </w:rPr>
        <w:fldChar w:fldCharType="end"/>
      </w:r>
      <w:r>
        <w:rPr>
          <w:rFonts w:cs="Times New Roman"/>
          <w:b w:val="0"/>
          <w:sz w:val="24"/>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"_Toc81515281" </w:instrText>
      </w:r>
      <w:r>
        <w:fldChar w:fldCharType="separate"/>
      </w:r>
      <w:r>
        <w:rPr>
          <w:rStyle w:val="66"/>
          <w:rFonts w:ascii="Times New Roman" w:cs="Times New Roman"/>
          <w:color w:val="auto"/>
        </w:rPr>
        <w:t>5.1 自然环境概况</w:t>
      </w:r>
      <w:r>
        <w:rPr>
          <w:rFonts w:ascii="Times New Roman" w:cs="Times New Roman"/>
        </w:rPr>
        <w:tab/>
      </w:r>
      <w:r>
        <w:rPr>
          <w:rFonts w:ascii="Times New Roman" w:cs="Times New Roman"/>
        </w:rPr>
        <w:fldChar w:fldCharType="begin"/>
      </w:r>
      <w:r>
        <w:rPr>
          <w:rFonts w:ascii="Times New Roman" w:cs="Times New Roman"/>
        </w:rPr>
        <w:instrText xml:space="preserve"> PAGEREF _Toc81515281 \h </w:instrText>
      </w:r>
      <w:r>
        <w:rPr>
          <w:rFonts w:ascii="Times New Roman" w:cs="Times New Roman"/>
        </w:rPr>
        <w:fldChar w:fldCharType="separate"/>
      </w:r>
      <w:r>
        <w:rPr>
          <w:rFonts w:ascii="Times New Roman" w:cs="Times New Roman"/>
        </w:rPr>
        <w:t>134</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"_Toc81515282" </w:instrText>
      </w:r>
      <w:r>
        <w:fldChar w:fldCharType="separate"/>
      </w:r>
      <w:r>
        <w:rPr>
          <w:rStyle w:val="66"/>
          <w:rFonts w:ascii="Times New Roman" w:cs="Times New Roman"/>
          <w:color w:val="auto"/>
        </w:rPr>
        <w:t>5.2 生态环境调查与评价</w:t>
      </w:r>
      <w:r>
        <w:rPr>
          <w:rFonts w:ascii="Times New Roman" w:cs="Times New Roman"/>
        </w:rPr>
        <w:tab/>
      </w:r>
      <w:r>
        <w:rPr>
          <w:rFonts w:ascii="Times New Roman" w:cs="Times New Roman"/>
        </w:rPr>
        <w:fldChar w:fldCharType="begin"/>
      </w:r>
      <w:r>
        <w:rPr>
          <w:rFonts w:ascii="Times New Roman" w:cs="Times New Roman"/>
        </w:rPr>
        <w:instrText xml:space="preserve"> PAGEREF _Toc81515282 \h </w:instrText>
      </w:r>
      <w:r>
        <w:rPr>
          <w:rFonts w:ascii="Times New Roman" w:cs="Times New Roman"/>
        </w:rPr>
        <w:fldChar w:fldCharType="separate"/>
      </w:r>
      <w:r>
        <w:rPr>
          <w:rFonts w:ascii="Times New Roman" w:cs="Times New Roman"/>
        </w:rPr>
        <w:t>139</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"_Toc81515283" </w:instrText>
      </w:r>
      <w:r>
        <w:fldChar w:fldCharType="separate"/>
      </w:r>
      <w:r>
        <w:rPr>
          <w:rStyle w:val="66"/>
          <w:rFonts w:ascii="Times New Roman" w:cs="Times New Roman"/>
          <w:color w:val="auto"/>
        </w:rPr>
        <w:t>5.3 环境空气质量现状与评价</w:t>
      </w:r>
      <w:r>
        <w:rPr>
          <w:rFonts w:ascii="Times New Roman" w:cs="Times New Roman"/>
        </w:rPr>
        <w:tab/>
      </w:r>
      <w:r>
        <w:rPr>
          <w:rFonts w:ascii="Times New Roman" w:cs="Times New Roman"/>
        </w:rPr>
        <w:fldChar w:fldCharType="begin"/>
      </w:r>
      <w:r>
        <w:rPr>
          <w:rFonts w:ascii="Times New Roman" w:cs="Times New Roman"/>
        </w:rPr>
        <w:instrText xml:space="preserve"> PAGEREF _Toc81515283 \h </w:instrText>
      </w:r>
      <w:r>
        <w:rPr>
          <w:rFonts w:ascii="Times New Roman" w:cs="Times New Roman"/>
        </w:rPr>
        <w:fldChar w:fldCharType="separate"/>
      </w:r>
      <w:r>
        <w:rPr>
          <w:rFonts w:ascii="Times New Roman" w:cs="Times New Roman"/>
        </w:rPr>
        <w:t>177</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"_Toc81515284" </w:instrText>
      </w:r>
      <w:r>
        <w:fldChar w:fldCharType="separate"/>
      </w:r>
      <w:r>
        <w:rPr>
          <w:rStyle w:val="66"/>
          <w:rFonts w:ascii="Times New Roman" w:cs="Times New Roman"/>
          <w:color w:val="auto"/>
        </w:rPr>
        <w:t>5.4 地表水环境质量现状与评价</w:t>
      </w:r>
      <w:r>
        <w:rPr>
          <w:rFonts w:ascii="Times New Roman" w:cs="Times New Roman"/>
        </w:rPr>
        <w:tab/>
      </w:r>
      <w:r>
        <w:rPr>
          <w:rFonts w:ascii="Times New Roman" w:cs="Times New Roman"/>
        </w:rPr>
        <w:fldChar w:fldCharType="begin"/>
      </w:r>
      <w:r>
        <w:rPr>
          <w:rFonts w:ascii="Times New Roman" w:cs="Times New Roman"/>
        </w:rPr>
        <w:instrText xml:space="preserve"> PAGEREF _Toc81515284 \h </w:instrText>
      </w:r>
      <w:r>
        <w:rPr>
          <w:rFonts w:ascii="Times New Roman" w:cs="Times New Roman"/>
        </w:rPr>
        <w:fldChar w:fldCharType="separate"/>
      </w:r>
      <w:r>
        <w:rPr>
          <w:rFonts w:ascii="Times New Roman" w:cs="Times New Roman"/>
        </w:rPr>
        <w:t>180</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"_Toc81515285" </w:instrText>
      </w:r>
      <w:r>
        <w:fldChar w:fldCharType="separate"/>
      </w:r>
      <w:r>
        <w:rPr>
          <w:rStyle w:val="66"/>
          <w:rFonts w:ascii="Times New Roman" w:cs="Times New Roman"/>
          <w:color w:val="auto"/>
        </w:rPr>
        <w:t>5.5 地下水环境质量现状与评价</w:t>
      </w:r>
      <w:r>
        <w:rPr>
          <w:rFonts w:ascii="Times New Roman" w:cs="Times New Roman"/>
        </w:rPr>
        <w:tab/>
      </w:r>
      <w:r>
        <w:rPr>
          <w:rFonts w:ascii="Times New Roman" w:cs="Times New Roman"/>
        </w:rPr>
        <w:fldChar w:fldCharType="begin"/>
      </w:r>
      <w:r>
        <w:rPr>
          <w:rFonts w:ascii="Times New Roman" w:cs="Times New Roman"/>
        </w:rPr>
        <w:instrText xml:space="preserve"> PAGEREF _Toc81515285 \h </w:instrText>
      </w:r>
      <w:r>
        <w:rPr>
          <w:rFonts w:ascii="Times New Roman" w:cs="Times New Roman"/>
        </w:rPr>
        <w:fldChar w:fldCharType="separate"/>
      </w:r>
      <w:r>
        <w:rPr>
          <w:rFonts w:ascii="Times New Roman" w:cs="Times New Roman"/>
        </w:rPr>
        <w:t>180</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"_Toc81515286" </w:instrText>
      </w:r>
      <w:r>
        <w:fldChar w:fldCharType="separate"/>
      </w:r>
      <w:r>
        <w:rPr>
          <w:rStyle w:val="66"/>
          <w:rFonts w:ascii="Times New Roman" w:cs="Times New Roman"/>
          <w:color w:val="auto"/>
        </w:rPr>
        <w:t>5.6 声环境质量现状与评价</w:t>
      </w:r>
      <w:r>
        <w:rPr>
          <w:rFonts w:ascii="Times New Roman" w:cs="Times New Roman"/>
        </w:rPr>
        <w:tab/>
      </w:r>
      <w:r>
        <w:rPr>
          <w:rFonts w:ascii="Times New Roman" w:cs="Times New Roman"/>
        </w:rPr>
        <w:fldChar w:fldCharType="begin"/>
      </w:r>
      <w:r>
        <w:rPr>
          <w:rFonts w:ascii="Times New Roman" w:cs="Times New Roman"/>
        </w:rPr>
        <w:instrText xml:space="preserve"> PAGEREF _Toc81515286 \h </w:instrText>
      </w:r>
      <w:r>
        <w:rPr>
          <w:rFonts w:ascii="Times New Roman" w:cs="Times New Roman"/>
        </w:rPr>
        <w:fldChar w:fldCharType="separate"/>
      </w:r>
      <w:r>
        <w:rPr>
          <w:rFonts w:ascii="Times New Roman" w:cs="Times New Roman"/>
        </w:rPr>
        <w:t>184</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"_Toc81515287" </w:instrText>
      </w:r>
      <w:r>
        <w:fldChar w:fldCharType="separate"/>
      </w:r>
      <w:r>
        <w:rPr>
          <w:rStyle w:val="66"/>
          <w:rFonts w:ascii="Times New Roman" w:cs="Times New Roman"/>
          <w:color w:val="auto"/>
        </w:rPr>
        <w:t>5.7 土壤环境质量现状与评价</w:t>
      </w:r>
      <w:r>
        <w:rPr>
          <w:rFonts w:ascii="Times New Roman" w:cs="Times New Roman"/>
        </w:rPr>
        <w:tab/>
      </w:r>
      <w:r>
        <w:rPr>
          <w:rFonts w:ascii="Times New Roman" w:cs="Times New Roman"/>
        </w:rPr>
        <w:fldChar w:fldCharType="begin"/>
      </w:r>
      <w:r>
        <w:rPr>
          <w:rFonts w:ascii="Times New Roman" w:cs="Times New Roman"/>
        </w:rPr>
        <w:instrText xml:space="preserve"> PAGEREF _Toc81515287 \h </w:instrText>
      </w:r>
      <w:r>
        <w:rPr>
          <w:rFonts w:ascii="Times New Roman" w:cs="Times New Roman"/>
        </w:rPr>
        <w:fldChar w:fldCharType="separate"/>
      </w:r>
      <w:r>
        <w:rPr>
          <w:rFonts w:ascii="Times New Roman" w:cs="Times New Roman"/>
        </w:rPr>
        <w:t>185</w:t>
      </w:r>
      <w:r>
        <w:rPr>
          <w:rFonts w:ascii="Times New Roman" w:cs="Times New Roman"/>
        </w:rPr>
        <w:fldChar w:fldCharType="end"/>
      </w:r>
      <w:r>
        <w:rPr>
          <w:rFonts w:ascii="Times New Roman" w:cs="Times New Roman"/>
        </w:rPr>
        <w:fldChar w:fldCharType="end"/>
      </w:r>
    </w:p>
    <w:p>
      <w:pPr>
        <w:pStyle w:val="37"/>
        <w:tabs>
          <w:tab w:val="right" w:leader="dot" w:pos="9340"/>
        </w:tabs>
        <w:rPr>
          <w:rFonts w:cs="Times New Roman"/>
          <w:b w:val="0"/>
          <w:kern w:val="2"/>
          <w:sz w:val="24"/>
        </w:rPr>
      </w:pPr>
      <w:r>
        <w:fldChar w:fldCharType="begin"/>
      </w:r>
      <w:r>
        <w:instrText xml:space="preserve"> HYPERLINK \l "_Toc81515288" </w:instrText>
      </w:r>
      <w:r>
        <w:fldChar w:fldCharType="separate"/>
      </w:r>
      <w:r>
        <w:rPr>
          <w:rStyle w:val="66"/>
          <w:rFonts w:cs="Times New Roman"/>
          <w:b w:val="0"/>
          <w:color w:val="auto"/>
          <w:sz w:val="24"/>
        </w:rPr>
        <w:t>6 环境影响预测与评价</w:t>
      </w:r>
      <w:r>
        <w:rPr>
          <w:rFonts w:cs="Times New Roman"/>
          <w:b w:val="0"/>
          <w:sz w:val="24"/>
        </w:rPr>
        <w:tab/>
      </w:r>
      <w:r>
        <w:rPr>
          <w:rFonts w:cs="Times New Roman"/>
          <w:b w:val="0"/>
          <w:sz w:val="24"/>
        </w:rPr>
        <w:fldChar w:fldCharType="begin"/>
      </w:r>
      <w:r>
        <w:rPr>
          <w:rFonts w:cs="Times New Roman"/>
          <w:b w:val="0"/>
          <w:sz w:val="24"/>
        </w:rPr>
        <w:instrText xml:space="preserve"> PAGEREF _Toc81515288 \h </w:instrText>
      </w:r>
      <w:r>
        <w:rPr>
          <w:rFonts w:cs="Times New Roman"/>
          <w:b w:val="0"/>
          <w:sz w:val="24"/>
        </w:rPr>
        <w:fldChar w:fldCharType="separate"/>
      </w:r>
      <w:r>
        <w:rPr>
          <w:rFonts w:cs="Times New Roman"/>
          <w:b w:val="0"/>
          <w:sz w:val="24"/>
        </w:rPr>
        <w:t>189</w:t>
      </w:r>
      <w:r>
        <w:rPr>
          <w:rFonts w:cs="Times New Roman"/>
          <w:b w:val="0"/>
          <w:sz w:val="24"/>
        </w:rPr>
        <w:fldChar w:fldCharType="end"/>
      </w:r>
      <w:r>
        <w:rPr>
          <w:rFonts w:cs="Times New Roman"/>
          <w:b w:val="0"/>
          <w:sz w:val="24"/>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"_Toc81515289" </w:instrText>
      </w:r>
      <w:r>
        <w:fldChar w:fldCharType="separate"/>
      </w:r>
      <w:r>
        <w:rPr>
          <w:rStyle w:val="66"/>
          <w:rFonts w:ascii="Times New Roman" w:cs="Times New Roman"/>
          <w:color w:val="auto"/>
        </w:rPr>
        <w:t>6.1 施工期环境影响预测及评价</w:t>
      </w:r>
      <w:r>
        <w:rPr>
          <w:rFonts w:ascii="Times New Roman" w:cs="Times New Roman"/>
        </w:rPr>
        <w:tab/>
      </w:r>
      <w:r>
        <w:rPr>
          <w:rFonts w:ascii="Times New Roman" w:cs="Times New Roman"/>
        </w:rPr>
        <w:fldChar w:fldCharType="begin"/>
      </w:r>
      <w:r>
        <w:rPr>
          <w:rFonts w:ascii="Times New Roman" w:cs="Times New Roman"/>
        </w:rPr>
        <w:instrText xml:space="preserve"> PAGEREF _Toc81515289 \h </w:instrText>
      </w:r>
      <w:r>
        <w:rPr>
          <w:rFonts w:ascii="Times New Roman" w:cs="Times New Roman"/>
        </w:rPr>
        <w:fldChar w:fldCharType="separate"/>
      </w:r>
      <w:r>
        <w:rPr>
          <w:rFonts w:ascii="Times New Roman" w:cs="Times New Roman"/>
        </w:rPr>
        <w:t>189</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"_Toc81515290" </w:instrText>
      </w:r>
      <w:r>
        <w:fldChar w:fldCharType="separate"/>
      </w:r>
      <w:r>
        <w:rPr>
          <w:rStyle w:val="66"/>
          <w:rFonts w:ascii="Times New Roman" w:cs="Times New Roman"/>
          <w:color w:val="auto"/>
        </w:rPr>
        <w:t>6.2 运营期环境影响预测及评价</w:t>
      </w:r>
      <w:r>
        <w:rPr>
          <w:rFonts w:ascii="Times New Roman" w:cs="Times New Roman"/>
        </w:rPr>
        <w:tab/>
      </w:r>
      <w:r>
        <w:rPr>
          <w:rFonts w:ascii="Times New Roman" w:cs="Times New Roman"/>
        </w:rPr>
        <w:fldChar w:fldCharType="begin"/>
      </w:r>
      <w:r>
        <w:rPr>
          <w:rFonts w:ascii="Times New Roman" w:cs="Times New Roman"/>
        </w:rPr>
        <w:instrText xml:space="preserve"> PAGEREF _Toc81515290 \h </w:instrText>
      </w:r>
      <w:r>
        <w:rPr>
          <w:rFonts w:ascii="Times New Roman" w:cs="Times New Roman"/>
        </w:rPr>
        <w:fldChar w:fldCharType="separate"/>
      </w:r>
      <w:r>
        <w:rPr>
          <w:rFonts w:ascii="Times New Roman" w:cs="Times New Roman"/>
        </w:rPr>
        <w:t>211</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"_Toc81515290" </w:instrText>
      </w:r>
      <w:r>
        <w:fldChar w:fldCharType="separate"/>
      </w:r>
      <w:r>
        <w:rPr>
          <w:rStyle w:val="66"/>
          <w:rFonts w:ascii="Times New Roman" w:cs="Times New Roman"/>
          <w:color w:val="auto"/>
        </w:rPr>
        <w:t>6.</w:t>
      </w:r>
      <w:r>
        <w:rPr>
          <w:rStyle w:val="66"/>
          <w:rFonts w:hint="eastAsia" w:ascii="Times New Roman" w:cs="Times New Roman"/>
          <w:color w:val="auto"/>
        </w:rPr>
        <w:t>3</w:t>
      </w:r>
      <w:r>
        <w:rPr>
          <w:rStyle w:val="66"/>
          <w:rFonts w:ascii="Times New Roman" w:cs="Times New Roman"/>
          <w:color w:val="auto"/>
        </w:rPr>
        <w:t xml:space="preserve"> </w:t>
      </w:r>
      <w:r>
        <w:rPr>
          <w:rStyle w:val="66"/>
          <w:rFonts w:hint="eastAsia" w:ascii="Times New Roman" w:cs="Times New Roman"/>
          <w:color w:val="auto"/>
        </w:rPr>
        <w:t>退役</w:t>
      </w:r>
      <w:r>
        <w:rPr>
          <w:rStyle w:val="66"/>
          <w:rFonts w:ascii="Times New Roman" w:cs="Times New Roman"/>
          <w:color w:val="auto"/>
        </w:rPr>
        <w:t>期环境影响预测及评价</w:t>
      </w:r>
      <w:r>
        <w:rPr>
          <w:rFonts w:ascii="Times New Roman" w:cs="Times New Roman"/>
        </w:rPr>
        <w:tab/>
      </w:r>
      <w:r>
        <w:rPr>
          <w:rFonts w:ascii="Times New Roman" w:cs="Times New Roman"/>
        </w:rPr>
        <w:fldChar w:fldCharType="begin"/>
      </w:r>
      <w:r>
        <w:rPr>
          <w:rFonts w:ascii="Times New Roman" w:cs="Times New Roman"/>
        </w:rPr>
        <w:instrText xml:space="preserve"> PAGEREF _Toc81515290 \h </w:instrText>
      </w:r>
      <w:r>
        <w:rPr>
          <w:rFonts w:ascii="Times New Roman" w:cs="Times New Roman"/>
        </w:rPr>
        <w:fldChar w:fldCharType="separate"/>
      </w:r>
      <w:r>
        <w:rPr>
          <w:rFonts w:ascii="Times New Roman" w:cs="Times New Roman"/>
        </w:rPr>
        <w:t>211</w:t>
      </w:r>
      <w:r>
        <w:rPr>
          <w:rFonts w:ascii="Times New Roman" w:cs="Times New Roman"/>
        </w:rPr>
        <w:fldChar w:fldCharType="end"/>
      </w:r>
      <w:r>
        <w:rPr>
          <w:rFonts w:ascii="Times New Roman" w:cs="Times New Roman"/>
        </w:rPr>
        <w:fldChar w:fldCharType="end"/>
      </w:r>
    </w:p>
    <w:p>
      <w:pPr>
        <w:pStyle w:val="37"/>
        <w:tabs>
          <w:tab w:val="right" w:leader="dot" w:pos="9340"/>
        </w:tabs>
        <w:rPr>
          <w:rFonts w:cs="Times New Roman"/>
          <w:b w:val="0"/>
          <w:kern w:val="2"/>
          <w:sz w:val="24"/>
        </w:rPr>
      </w:pPr>
      <w:r>
        <w:fldChar w:fldCharType="begin"/>
      </w:r>
      <w:r>
        <w:instrText xml:space="preserve"> HYPERLINK \l "_Toc81515291" </w:instrText>
      </w:r>
      <w:r>
        <w:fldChar w:fldCharType="separate"/>
      </w:r>
      <w:r>
        <w:rPr>
          <w:rStyle w:val="66"/>
          <w:rFonts w:cs="Times New Roman"/>
          <w:b w:val="0"/>
          <w:color w:val="auto"/>
          <w:sz w:val="24"/>
        </w:rPr>
        <w:t>7 环境风险分析</w:t>
      </w:r>
      <w:r>
        <w:rPr>
          <w:rFonts w:cs="Times New Roman"/>
          <w:b w:val="0"/>
          <w:sz w:val="24"/>
        </w:rPr>
        <w:tab/>
      </w:r>
      <w:r>
        <w:rPr>
          <w:rFonts w:cs="Times New Roman"/>
          <w:b w:val="0"/>
          <w:sz w:val="24"/>
        </w:rPr>
        <w:fldChar w:fldCharType="begin"/>
      </w:r>
      <w:r>
        <w:rPr>
          <w:rFonts w:cs="Times New Roman"/>
          <w:b w:val="0"/>
          <w:sz w:val="24"/>
        </w:rPr>
        <w:instrText xml:space="preserve"> PAGEREF _Toc81515291 \h </w:instrText>
      </w:r>
      <w:r>
        <w:rPr>
          <w:rFonts w:cs="Times New Roman"/>
          <w:b w:val="0"/>
          <w:sz w:val="24"/>
        </w:rPr>
        <w:fldChar w:fldCharType="separate"/>
      </w:r>
      <w:r>
        <w:rPr>
          <w:rFonts w:cs="Times New Roman"/>
          <w:b w:val="0"/>
          <w:sz w:val="24"/>
        </w:rPr>
        <w:t>230</w:t>
      </w:r>
      <w:r>
        <w:rPr>
          <w:rFonts w:cs="Times New Roman"/>
          <w:b w:val="0"/>
          <w:sz w:val="24"/>
        </w:rPr>
        <w:fldChar w:fldCharType="end"/>
      </w:r>
      <w:r>
        <w:rPr>
          <w:rFonts w:cs="Times New Roman"/>
          <w:b w:val="0"/>
          <w:sz w:val="24"/>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"_Toc81515292" </w:instrText>
      </w:r>
      <w:r>
        <w:fldChar w:fldCharType="separate"/>
      </w:r>
      <w:r>
        <w:rPr>
          <w:rStyle w:val="66"/>
          <w:rFonts w:ascii="Times New Roman" w:cs="Times New Roman"/>
          <w:color w:val="auto"/>
        </w:rPr>
        <w:t>7.1 评价依据</w:t>
      </w:r>
      <w:r>
        <w:rPr>
          <w:rFonts w:ascii="Times New Roman" w:cs="Times New Roman"/>
        </w:rPr>
        <w:tab/>
      </w:r>
      <w:r>
        <w:rPr>
          <w:rFonts w:ascii="Times New Roman" w:cs="Times New Roman"/>
        </w:rPr>
        <w:fldChar w:fldCharType="begin"/>
      </w:r>
      <w:r>
        <w:rPr>
          <w:rFonts w:ascii="Times New Roman" w:cs="Times New Roman"/>
        </w:rPr>
        <w:instrText xml:space="preserve"> PAGEREF _Toc81515292 \h </w:instrText>
      </w:r>
      <w:r>
        <w:rPr>
          <w:rFonts w:ascii="Times New Roman" w:cs="Times New Roman"/>
        </w:rPr>
        <w:fldChar w:fldCharType="separate"/>
      </w:r>
      <w:r>
        <w:rPr>
          <w:rFonts w:ascii="Times New Roman" w:cs="Times New Roman"/>
        </w:rPr>
        <w:t>230</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"_Toc81515293" </w:instrText>
      </w:r>
      <w:r>
        <w:fldChar w:fldCharType="separate"/>
      </w:r>
      <w:r>
        <w:rPr>
          <w:rStyle w:val="66"/>
          <w:rFonts w:ascii="Times New Roman" w:cs="Times New Roman"/>
          <w:color w:val="auto"/>
        </w:rPr>
        <w:t>7.2 一般性原则</w:t>
      </w:r>
      <w:r>
        <w:rPr>
          <w:rFonts w:ascii="Times New Roman" w:cs="Times New Roman"/>
        </w:rPr>
        <w:tab/>
      </w:r>
      <w:r>
        <w:rPr>
          <w:rFonts w:ascii="Times New Roman" w:cs="Times New Roman"/>
        </w:rPr>
        <w:fldChar w:fldCharType="begin"/>
      </w:r>
      <w:r>
        <w:rPr>
          <w:rFonts w:ascii="Times New Roman" w:cs="Times New Roman"/>
        </w:rPr>
        <w:instrText xml:space="preserve"> PAGEREF _Toc81515293 \h </w:instrText>
      </w:r>
      <w:r>
        <w:rPr>
          <w:rFonts w:ascii="Times New Roman" w:cs="Times New Roman"/>
        </w:rPr>
        <w:fldChar w:fldCharType="separate"/>
      </w:r>
      <w:r>
        <w:rPr>
          <w:rFonts w:ascii="Times New Roman" w:cs="Times New Roman"/>
        </w:rPr>
        <w:t>230</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"_Toc81515294" </w:instrText>
      </w:r>
      <w:r>
        <w:fldChar w:fldCharType="separate"/>
      </w:r>
      <w:r>
        <w:rPr>
          <w:rStyle w:val="66"/>
          <w:rFonts w:ascii="Times New Roman" w:cs="Times New Roman"/>
          <w:color w:val="auto"/>
        </w:rPr>
        <w:t>7.3 评价目的及重点</w:t>
      </w:r>
      <w:r>
        <w:rPr>
          <w:rFonts w:ascii="Times New Roman" w:cs="Times New Roman"/>
        </w:rPr>
        <w:tab/>
      </w:r>
      <w:r>
        <w:rPr>
          <w:rFonts w:ascii="Times New Roman" w:cs="Times New Roman"/>
        </w:rPr>
        <w:fldChar w:fldCharType="begin"/>
      </w:r>
      <w:r>
        <w:rPr>
          <w:rFonts w:ascii="Times New Roman" w:cs="Times New Roman"/>
        </w:rPr>
        <w:instrText xml:space="preserve"> PAGEREF _Toc81515294 \h </w:instrText>
      </w:r>
      <w:r>
        <w:rPr>
          <w:rFonts w:ascii="Times New Roman" w:cs="Times New Roman"/>
        </w:rPr>
        <w:fldChar w:fldCharType="separate"/>
      </w:r>
      <w:r>
        <w:rPr>
          <w:rFonts w:ascii="Times New Roman" w:cs="Times New Roman"/>
        </w:rPr>
        <w:t>230</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"_Toc81515295" </w:instrText>
      </w:r>
      <w:r>
        <w:fldChar w:fldCharType="separate"/>
      </w:r>
      <w:r>
        <w:rPr>
          <w:rStyle w:val="66"/>
          <w:rFonts w:ascii="Times New Roman" w:cs="Times New Roman"/>
          <w:color w:val="auto"/>
        </w:rPr>
        <w:t>7.4 风险调查</w:t>
      </w:r>
      <w:r>
        <w:rPr>
          <w:rFonts w:ascii="Times New Roman" w:cs="Times New Roman"/>
        </w:rPr>
        <w:tab/>
      </w:r>
      <w:r>
        <w:rPr>
          <w:rFonts w:ascii="Times New Roman" w:cs="Times New Roman"/>
        </w:rPr>
        <w:fldChar w:fldCharType="begin"/>
      </w:r>
      <w:r>
        <w:rPr>
          <w:rFonts w:ascii="Times New Roman" w:cs="Times New Roman"/>
        </w:rPr>
        <w:instrText xml:space="preserve"> PAGEREF _Toc81515295 \h </w:instrText>
      </w:r>
      <w:r>
        <w:rPr>
          <w:rFonts w:ascii="Times New Roman" w:cs="Times New Roman"/>
        </w:rPr>
        <w:fldChar w:fldCharType="separate"/>
      </w:r>
      <w:r>
        <w:rPr>
          <w:rFonts w:ascii="Times New Roman" w:cs="Times New Roman"/>
        </w:rPr>
        <w:t>230</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"_Toc81515296" </w:instrText>
      </w:r>
      <w:r>
        <w:fldChar w:fldCharType="separate"/>
      </w:r>
      <w:r>
        <w:rPr>
          <w:rStyle w:val="66"/>
          <w:rFonts w:ascii="Times New Roman" w:cs="Times New Roman"/>
          <w:color w:val="auto"/>
        </w:rPr>
        <w:t>7.4环境风险潜势判定</w:t>
      </w:r>
      <w:r>
        <w:rPr>
          <w:rFonts w:ascii="Times New Roman" w:cs="Times New Roman"/>
        </w:rPr>
        <w:tab/>
      </w:r>
      <w:r>
        <w:rPr>
          <w:rFonts w:ascii="Times New Roman" w:cs="Times New Roman"/>
        </w:rPr>
        <w:fldChar w:fldCharType="begin"/>
      </w:r>
      <w:r>
        <w:rPr>
          <w:rFonts w:ascii="Times New Roman" w:cs="Times New Roman"/>
        </w:rPr>
        <w:instrText xml:space="preserve"> PAGEREF _Toc81515296 \h </w:instrText>
      </w:r>
      <w:r>
        <w:rPr>
          <w:rFonts w:ascii="Times New Roman" w:cs="Times New Roman"/>
        </w:rPr>
        <w:fldChar w:fldCharType="separate"/>
      </w:r>
      <w:r>
        <w:rPr>
          <w:rFonts w:ascii="Times New Roman" w:cs="Times New Roman"/>
        </w:rPr>
        <w:t>231</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"_Toc81515297" </w:instrText>
      </w:r>
      <w:r>
        <w:fldChar w:fldCharType="separate"/>
      </w:r>
      <w:r>
        <w:rPr>
          <w:rStyle w:val="66"/>
          <w:rFonts w:ascii="Times New Roman" w:cs="Times New Roman"/>
          <w:color w:val="auto"/>
        </w:rPr>
        <w:t>7.5 评价等级及评价范围</w:t>
      </w:r>
      <w:r>
        <w:rPr>
          <w:rFonts w:ascii="Times New Roman" w:cs="Times New Roman"/>
        </w:rPr>
        <w:tab/>
      </w:r>
      <w:r>
        <w:rPr>
          <w:rFonts w:ascii="Times New Roman" w:cs="Times New Roman"/>
        </w:rPr>
        <w:fldChar w:fldCharType="begin"/>
      </w:r>
      <w:r>
        <w:rPr>
          <w:rFonts w:ascii="Times New Roman" w:cs="Times New Roman"/>
        </w:rPr>
        <w:instrText xml:space="preserve"> PAGEREF _Toc81515297 \h </w:instrText>
      </w:r>
      <w:r>
        <w:rPr>
          <w:rFonts w:ascii="Times New Roman" w:cs="Times New Roman"/>
        </w:rPr>
        <w:fldChar w:fldCharType="separate"/>
      </w:r>
      <w:r>
        <w:rPr>
          <w:rFonts w:ascii="Times New Roman" w:cs="Times New Roman"/>
        </w:rPr>
        <w:t>234</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"_Toc81515298" </w:instrText>
      </w:r>
      <w:r>
        <w:fldChar w:fldCharType="separate"/>
      </w:r>
      <w:r>
        <w:rPr>
          <w:rStyle w:val="66"/>
          <w:rFonts w:ascii="Times New Roman" w:cs="Times New Roman"/>
          <w:color w:val="auto"/>
        </w:rPr>
        <w:t>7.6 风险识别</w:t>
      </w:r>
      <w:r>
        <w:rPr>
          <w:rFonts w:ascii="Times New Roman" w:cs="Times New Roman"/>
        </w:rPr>
        <w:tab/>
      </w:r>
      <w:r>
        <w:rPr>
          <w:rFonts w:ascii="Times New Roman" w:cs="Times New Roman"/>
        </w:rPr>
        <w:fldChar w:fldCharType="begin"/>
      </w:r>
      <w:r>
        <w:rPr>
          <w:rFonts w:ascii="Times New Roman" w:cs="Times New Roman"/>
        </w:rPr>
        <w:instrText xml:space="preserve"> PAGEREF _Toc81515298 \h </w:instrText>
      </w:r>
      <w:r>
        <w:rPr>
          <w:rFonts w:ascii="Times New Roman" w:cs="Times New Roman"/>
        </w:rPr>
        <w:fldChar w:fldCharType="separate"/>
      </w:r>
      <w:r>
        <w:rPr>
          <w:rFonts w:ascii="Times New Roman" w:cs="Times New Roman"/>
        </w:rPr>
        <w:t>235</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"_Toc81515299" </w:instrText>
      </w:r>
      <w:r>
        <w:fldChar w:fldCharType="separate"/>
      </w:r>
      <w:r>
        <w:rPr>
          <w:rStyle w:val="66"/>
          <w:rFonts w:ascii="Times New Roman" w:cs="Times New Roman"/>
          <w:color w:val="auto"/>
        </w:rPr>
        <w:t>7.7 风险事故情形分析</w:t>
      </w:r>
      <w:r>
        <w:rPr>
          <w:rFonts w:ascii="Times New Roman" w:cs="Times New Roman"/>
        </w:rPr>
        <w:tab/>
      </w:r>
      <w:r>
        <w:rPr>
          <w:rFonts w:ascii="Times New Roman" w:cs="Times New Roman"/>
        </w:rPr>
        <w:fldChar w:fldCharType="begin"/>
      </w:r>
      <w:r>
        <w:rPr>
          <w:rFonts w:ascii="Times New Roman" w:cs="Times New Roman"/>
        </w:rPr>
        <w:instrText xml:space="preserve"> PAGEREF _Toc81515299 \h </w:instrText>
      </w:r>
      <w:r>
        <w:rPr>
          <w:rFonts w:ascii="Times New Roman" w:cs="Times New Roman"/>
        </w:rPr>
        <w:fldChar w:fldCharType="separate"/>
      </w:r>
      <w:r>
        <w:rPr>
          <w:rFonts w:ascii="Times New Roman" w:cs="Times New Roman"/>
        </w:rPr>
        <w:t>242</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"_Toc81515300" </w:instrText>
      </w:r>
      <w:r>
        <w:fldChar w:fldCharType="separate"/>
      </w:r>
      <w:r>
        <w:rPr>
          <w:rStyle w:val="66"/>
          <w:rFonts w:ascii="Times New Roman" w:cs="Times New Roman"/>
          <w:color w:val="auto"/>
        </w:rPr>
        <w:t>7.8 环境风险分析</w:t>
      </w:r>
      <w:r>
        <w:rPr>
          <w:rFonts w:ascii="Times New Roman" w:cs="Times New Roman"/>
        </w:rPr>
        <w:tab/>
      </w:r>
      <w:r>
        <w:rPr>
          <w:rFonts w:ascii="Times New Roman" w:cs="Times New Roman"/>
        </w:rPr>
        <w:fldChar w:fldCharType="begin"/>
      </w:r>
      <w:r>
        <w:rPr>
          <w:rFonts w:ascii="Times New Roman" w:cs="Times New Roman"/>
        </w:rPr>
        <w:instrText xml:space="preserve"> PAGEREF _Toc81515300 \h </w:instrText>
      </w:r>
      <w:r>
        <w:rPr>
          <w:rFonts w:ascii="Times New Roman" w:cs="Times New Roman"/>
        </w:rPr>
        <w:fldChar w:fldCharType="separate"/>
      </w:r>
      <w:r>
        <w:rPr>
          <w:rFonts w:ascii="Times New Roman" w:cs="Times New Roman"/>
        </w:rPr>
        <w:t>249</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"_Toc81515301" </w:instrText>
      </w:r>
      <w:r>
        <w:fldChar w:fldCharType="separate"/>
      </w:r>
      <w:r>
        <w:rPr>
          <w:rStyle w:val="66"/>
          <w:rFonts w:ascii="Times New Roman" w:cs="Times New Roman"/>
          <w:color w:val="auto"/>
        </w:rPr>
        <w:t>7.9 环境风险管理</w:t>
      </w:r>
      <w:r>
        <w:rPr>
          <w:rFonts w:ascii="Times New Roman" w:cs="Times New Roman"/>
        </w:rPr>
        <w:tab/>
      </w:r>
      <w:r>
        <w:rPr>
          <w:rFonts w:ascii="Times New Roman" w:cs="Times New Roman"/>
        </w:rPr>
        <w:fldChar w:fldCharType="begin"/>
      </w:r>
      <w:r>
        <w:rPr>
          <w:rFonts w:ascii="Times New Roman" w:cs="Times New Roman"/>
        </w:rPr>
        <w:instrText xml:space="preserve"> PAGEREF _Toc81515301 \h </w:instrText>
      </w:r>
      <w:r>
        <w:rPr>
          <w:rFonts w:ascii="Times New Roman" w:cs="Times New Roman"/>
        </w:rPr>
        <w:fldChar w:fldCharType="separate"/>
      </w:r>
      <w:r>
        <w:rPr>
          <w:rFonts w:ascii="Times New Roman" w:cs="Times New Roman"/>
        </w:rPr>
        <w:t>257</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"_Toc81515302" </w:instrText>
      </w:r>
      <w:r>
        <w:fldChar w:fldCharType="separate"/>
      </w:r>
      <w:r>
        <w:rPr>
          <w:rStyle w:val="66"/>
          <w:rFonts w:ascii="Times New Roman" w:cs="Times New Roman"/>
          <w:color w:val="auto"/>
        </w:rPr>
        <w:t>7.10 事故应急预案</w:t>
      </w:r>
      <w:r>
        <w:rPr>
          <w:rFonts w:ascii="Times New Roman" w:cs="Times New Roman"/>
        </w:rPr>
        <w:tab/>
      </w:r>
      <w:r>
        <w:rPr>
          <w:rFonts w:ascii="Times New Roman" w:cs="Times New Roman"/>
        </w:rPr>
        <w:fldChar w:fldCharType="begin"/>
      </w:r>
      <w:r>
        <w:rPr>
          <w:rFonts w:ascii="Times New Roman" w:cs="Times New Roman"/>
        </w:rPr>
        <w:instrText xml:space="preserve"> PAGEREF _Toc81515302 \h </w:instrText>
      </w:r>
      <w:r>
        <w:rPr>
          <w:rFonts w:ascii="Times New Roman" w:cs="Times New Roman"/>
        </w:rPr>
        <w:fldChar w:fldCharType="separate"/>
      </w:r>
      <w:r>
        <w:rPr>
          <w:rFonts w:ascii="Times New Roman" w:cs="Times New Roman"/>
        </w:rPr>
        <w:t>268</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"_Toc81515303" </w:instrText>
      </w:r>
      <w:r>
        <w:fldChar w:fldCharType="separate"/>
      </w:r>
      <w:r>
        <w:rPr>
          <w:rStyle w:val="66"/>
          <w:rFonts w:ascii="Times New Roman" w:cs="Times New Roman"/>
          <w:color w:val="auto"/>
        </w:rPr>
        <w:t>7.11 环境风险评价结论与建议</w:t>
      </w:r>
      <w:r>
        <w:rPr>
          <w:rFonts w:ascii="Times New Roman" w:cs="Times New Roman"/>
        </w:rPr>
        <w:tab/>
      </w:r>
      <w:r>
        <w:rPr>
          <w:rFonts w:ascii="Times New Roman" w:cs="Times New Roman"/>
        </w:rPr>
        <w:fldChar w:fldCharType="begin"/>
      </w:r>
      <w:r>
        <w:rPr>
          <w:rFonts w:ascii="Times New Roman" w:cs="Times New Roman"/>
        </w:rPr>
        <w:instrText xml:space="preserve"> PAGEREF _Toc81515303 \h </w:instrText>
      </w:r>
      <w:r>
        <w:rPr>
          <w:rFonts w:ascii="Times New Roman" w:cs="Times New Roman"/>
        </w:rPr>
        <w:fldChar w:fldCharType="separate"/>
      </w:r>
      <w:r>
        <w:rPr>
          <w:rFonts w:ascii="Times New Roman" w:cs="Times New Roman"/>
        </w:rPr>
        <w:t>282</w:t>
      </w:r>
      <w:r>
        <w:rPr>
          <w:rFonts w:ascii="Times New Roman" w:cs="Times New Roman"/>
        </w:rPr>
        <w:fldChar w:fldCharType="end"/>
      </w:r>
      <w:r>
        <w:rPr>
          <w:rFonts w:ascii="Times New Roman" w:cs="Times New Roman"/>
        </w:rPr>
        <w:fldChar w:fldCharType="end"/>
      </w:r>
    </w:p>
    <w:p>
      <w:pPr>
        <w:pStyle w:val="37"/>
        <w:tabs>
          <w:tab w:val="right" w:leader="dot" w:pos="9340"/>
        </w:tabs>
        <w:rPr>
          <w:rFonts w:cs="Times New Roman"/>
          <w:b w:val="0"/>
          <w:kern w:val="2"/>
          <w:sz w:val="24"/>
        </w:rPr>
      </w:pPr>
      <w:r>
        <w:fldChar w:fldCharType="begin"/>
      </w:r>
      <w:r>
        <w:instrText xml:space="preserve"> HYPERLINK \l "_Toc81515304" </w:instrText>
      </w:r>
      <w:r>
        <w:fldChar w:fldCharType="separate"/>
      </w:r>
      <w:r>
        <w:rPr>
          <w:rStyle w:val="66"/>
          <w:rFonts w:cs="Times New Roman"/>
          <w:b w:val="0"/>
          <w:color w:val="auto"/>
          <w:sz w:val="24"/>
        </w:rPr>
        <w:t>8 环保措施及其经济技术论证</w:t>
      </w:r>
      <w:r>
        <w:rPr>
          <w:rFonts w:cs="Times New Roman"/>
          <w:b w:val="0"/>
          <w:sz w:val="24"/>
        </w:rPr>
        <w:tab/>
      </w:r>
      <w:r>
        <w:rPr>
          <w:rFonts w:cs="Times New Roman"/>
          <w:b w:val="0"/>
          <w:sz w:val="24"/>
        </w:rPr>
        <w:fldChar w:fldCharType="begin"/>
      </w:r>
      <w:r>
        <w:rPr>
          <w:rFonts w:cs="Times New Roman"/>
          <w:b w:val="0"/>
          <w:sz w:val="24"/>
        </w:rPr>
        <w:instrText xml:space="preserve"> PAGEREF _Toc81515304 \h </w:instrText>
      </w:r>
      <w:r>
        <w:rPr>
          <w:rFonts w:cs="Times New Roman"/>
          <w:b w:val="0"/>
          <w:sz w:val="24"/>
        </w:rPr>
        <w:fldChar w:fldCharType="separate"/>
      </w:r>
      <w:r>
        <w:rPr>
          <w:rFonts w:cs="Times New Roman"/>
          <w:b w:val="0"/>
          <w:sz w:val="24"/>
        </w:rPr>
        <w:t>283</w:t>
      </w:r>
      <w:r>
        <w:rPr>
          <w:rFonts w:cs="Times New Roman"/>
          <w:b w:val="0"/>
          <w:sz w:val="24"/>
        </w:rPr>
        <w:fldChar w:fldCharType="end"/>
      </w:r>
      <w:r>
        <w:rPr>
          <w:rFonts w:cs="Times New Roman"/>
          <w:b w:val="0"/>
          <w:sz w:val="24"/>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"_Toc81515305" </w:instrText>
      </w:r>
      <w:r>
        <w:fldChar w:fldCharType="separate"/>
      </w:r>
      <w:r>
        <w:rPr>
          <w:rStyle w:val="66"/>
          <w:rFonts w:ascii="Times New Roman" w:cs="Times New Roman"/>
          <w:color w:val="auto"/>
        </w:rPr>
        <w:t>8.1 施工期的环境保护措施</w:t>
      </w:r>
      <w:r>
        <w:rPr>
          <w:rFonts w:ascii="Times New Roman" w:cs="Times New Roman"/>
        </w:rPr>
        <w:tab/>
      </w:r>
      <w:r>
        <w:rPr>
          <w:rFonts w:ascii="Times New Roman" w:cs="Times New Roman"/>
        </w:rPr>
        <w:fldChar w:fldCharType="begin"/>
      </w:r>
      <w:r>
        <w:rPr>
          <w:rFonts w:ascii="Times New Roman" w:cs="Times New Roman"/>
        </w:rPr>
        <w:instrText xml:space="preserve"> PAGEREF _Toc81515305 \h </w:instrText>
      </w:r>
      <w:r>
        <w:rPr>
          <w:rFonts w:ascii="Times New Roman" w:cs="Times New Roman"/>
        </w:rPr>
        <w:fldChar w:fldCharType="separate"/>
      </w:r>
      <w:r>
        <w:rPr>
          <w:rFonts w:ascii="Times New Roman" w:cs="Times New Roman"/>
        </w:rPr>
        <w:t>283</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"_Toc81515306" </w:instrText>
      </w:r>
      <w:r>
        <w:fldChar w:fldCharType="separate"/>
      </w:r>
      <w:r>
        <w:rPr>
          <w:rStyle w:val="66"/>
          <w:rFonts w:ascii="Times New Roman" w:cs="Times New Roman"/>
          <w:color w:val="auto"/>
        </w:rPr>
        <w:t>8.2 营运期的环境保护措施</w:t>
      </w:r>
      <w:r>
        <w:rPr>
          <w:rFonts w:ascii="Times New Roman" w:cs="Times New Roman"/>
        </w:rPr>
        <w:tab/>
      </w:r>
      <w:r>
        <w:rPr>
          <w:rFonts w:ascii="Times New Roman" w:cs="Times New Roman"/>
        </w:rPr>
        <w:fldChar w:fldCharType="begin"/>
      </w:r>
      <w:r>
        <w:rPr>
          <w:rFonts w:ascii="Times New Roman" w:cs="Times New Roman"/>
        </w:rPr>
        <w:instrText xml:space="preserve"> PAGEREF _Toc81515306 \h </w:instrText>
      </w:r>
      <w:r>
        <w:rPr>
          <w:rFonts w:ascii="Times New Roman" w:cs="Times New Roman"/>
        </w:rPr>
        <w:fldChar w:fldCharType="separate"/>
      </w:r>
      <w:r>
        <w:rPr>
          <w:rFonts w:ascii="Times New Roman" w:cs="Times New Roman"/>
        </w:rPr>
        <w:t>302</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"_Toc81515306" </w:instrText>
      </w:r>
      <w:r>
        <w:fldChar w:fldCharType="separate"/>
      </w:r>
      <w:r>
        <w:rPr>
          <w:rStyle w:val="66"/>
          <w:rFonts w:ascii="Times New Roman" w:cs="Times New Roman"/>
          <w:color w:val="auto"/>
        </w:rPr>
        <w:t>8.</w:t>
      </w:r>
      <w:r>
        <w:rPr>
          <w:rStyle w:val="66"/>
          <w:rFonts w:hint="eastAsia" w:ascii="Times New Roman" w:cs="Times New Roman"/>
          <w:color w:val="auto"/>
        </w:rPr>
        <w:t>3</w:t>
      </w:r>
      <w:r>
        <w:rPr>
          <w:rStyle w:val="66"/>
          <w:rFonts w:ascii="Times New Roman" w:cs="Times New Roman"/>
          <w:color w:val="auto"/>
        </w:rPr>
        <w:t xml:space="preserve"> </w:t>
      </w:r>
      <w:r>
        <w:rPr>
          <w:rStyle w:val="66"/>
          <w:rFonts w:hint="eastAsia" w:ascii="Times New Roman" w:cs="Times New Roman"/>
          <w:color w:val="auto"/>
        </w:rPr>
        <w:t>退役</w:t>
      </w:r>
      <w:r>
        <w:rPr>
          <w:rStyle w:val="66"/>
          <w:rFonts w:ascii="Times New Roman" w:cs="Times New Roman"/>
          <w:color w:val="auto"/>
        </w:rPr>
        <w:t>期的环境保护措施</w:t>
      </w:r>
      <w:r>
        <w:rPr>
          <w:rFonts w:ascii="Times New Roman" w:cs="Times New Roman"/>
        </w:rPr>
        <w:tab/>
      </w:r>
      <w:r>
        <w:rPr>
          <w:rFonts w:ascii="Times New Roman" w:cs="Times New Roman"/>
        </w:rPr>
        <w:fldChar w:fldCharType="begin"/>
      </w:r>
      <w:r>
        <w:rPr>
          <w:rFonts w:ascii="Times New Roman" w:cs="Times New Roman"/>
        </w:rPr>
        <w:instrText xml:space="preserve"> PAGEREF _Toc81515306 \h </w:instrText>
      </w:r>
      <w:r>
        <w:rPr>
          <w:rFonts w:ascii="Times New Roman" w:cs="Times New Roman"/>
        </w:rPr>
        <w:fldChar w:fldCharType="separate"/>
      </w:r>
      <w:r>
        <w:rPr>
          <w:rFonts w:ascii="Times New Roman" w:cs="Times New Roman"/>
        </w:rPr>
        <w:t>302</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"_Toc81515308" </w:instrText>
      </w:r>
      <w:r>
        <w:fldChar w:fldCharType="separate"/>
      </w:r>
      <w:r>
        <w:rPr>
          <w:rStyle w:val="66"/>
          <w:rFonts w:ascii="Times New Roman" w:cs="Times New Roman"/>
          <w:color w:val="auto"/>
        </w:rPr>
        <w:t>8.</w:t>
      </w:r>
      <w:r>
        <w:rPr>
          <w:rStyle w:val="66"/>
          <w:rFonts w:hint="eastAsia" w:ascii="Times New Roman" w:cs="Times New Roman"/>
          <w:color w:val="auto"/>
        </w:rPr>
        <w:t>4</w:t>
      </w:r>
      <w:r>
        <w:rPr>
          <w:rStyle w:val="66"/>
          <w:rFonts w:ascii="Times New Roman" w:cs="Times New Roman"/>
          <w:color w:val="auto"/>
        </w:rPr>
        <w:t xml:space="preserve"> 环保投资估算</w:t>
      </w:r>
      <w:r>
        <w:rPr>
          <w:rFonts w:ascii="Times New Roman" w:cs="Times New Roman"/>
        </w:rPr>
        <w:tab/>
      </w:r>
      <w:r>
        <w:rPr>
          <w:rFonts w:ascii="Times New Roman" w:cs="Times New Roman"/>
        </w:rPr>
        <w:fldChar w:fldCharType="begin"/>
      </w:r>
      <w:r>
        <w:rPr>
          <w:rFonts w:ascii="Times New Roman" w:cs="Times New Roman"/>
        </w:rPr>
        <w:instrText xml:space="preserve"> PAGEREF _Toc81515308 \h </w:instrText>
      </w:r>
      <w:r>
        <w:rPr>
          <w:rFonts w:ascii="Times New Roman" w:cs="Times New Roman"/>
        </w:rPr>
        <w:fldChar w:fldCharType="separate"/>
      </w:r>
      <w:r>
        <w:rPr>
          <w:rFonts w:ascii="Times New Roman" w:cs="Times New Roman"/>
        </w:rPr>
        <w:t>305</w:t>
      </w:r>
      <w:r>
        <w:rPr>
          <w:rFonts w:ascii="Times New Roman" w:cs="Times New Roman"/>
        </w:rPr>
        <w:fldChar w:fldCharType="end"/>
      </w:r>
      <w:r>
        <w:rPr>
          <w:rFonts w:ascii="Times New Roman" w:cs="Times New Roman"/>
        </w:rPr>
        <w:fldChar w:fldCharType="end"/>
      </w:r>
    </w:p>
    <w:p>
      <w:pPr>
        <w:pStyle w:val="37"/>
        <w:tabs>
          <w:tab w:val="right" w:leader="dot" w:pos="9340"/>
        </w:tabs>
        <w:rPr>
          <w:rFonts w:cs="Times New Roman"/>
          <w:b w:val="0"/>
          <w:kern w:val="2"/>
          <w:sz w:val="24"/>
        </w:rPr>
      </w:pPr>
      <w:r>
        <w:fldChar w:fldCharType="begin"/>
      </w:r>
      <w:r>
        <w:instrText xml:space="preserve"> HYPERLINK \l "_Toc81515309" </w:instrText>
      </w:r>
      <w:r>
        <w:fldChar w:fldCharType="separate"/>
      </w:r>
      <w:r>
        <w:rPr>
          <w:rStyle w:val="66"/>
          <w:rFonts w:cs="Times New Roman"/>
          <w:b w:val="0"/>
          <w:color w:val="auto"/>
          <w:sz w:val="24"/>
        </w:rPr>
        <w:t>9 环境影响经济损益分析</w:t>
      </w:r>
      <w:r>
        <w:rPr>
          <w:rFonts w:cs="Times New Roman"/>
          <w:b w:val="0"/>
          <w:sz w:val="24"/>
        </w:rPr>
        <w:tab/>
      </w:r>
      <w:r>
        <w:rPr>
          <w:rFonts w:cs="Times New Roman"/>
          <w:b w:val="0"/>
          <w:sz w:val="24"/>
        </w:rPr>
        <w:fldChar w:fldCharType="begin"/>
      </w:r>
      <w:r>
        <w:rPr>
          <w:rFonts w:cs="Times New Roman"/>
          <w:b w:val="0"/>
          <w:sz w:val="24"/>
        </w:rPr>
        <w:instrText xml:space="preserve"> PAGEREF _Toc81515309 \h </w:instrText>
      </w:r>
      <w:r>
        <w:rPr>
          <w:rFonts w:cs="Times New Roman"/>
          <w:b w:val="0"/>
          <w:sz w:val="24"/>
        </w:rPr>
        <w:fldChar w:fldCharType="separate"/>
      </w:r>
      <w:r>
        <w:rPr>
          <w:rFonts w:cs="Times New Roman"/>
          <w:b w:val="0"/>
          <w:sz w:val="24"/>
        </w:rPr>
        <w:t>308</w:t>
      </w:r>
      <w:r>
        <w:rPr>
          <w:rFonts w:cs="Times New Roman"/>
          <w:b w:val="0"/>
          <w:sz w:val="24"/>
        </w:rPr>
        <w:fldChar w:fldCharType="end"/>
      </w:r>
      <w:r>
        <w:rPr>
          <w:rFonts w:cs="Times New Roman"/>
          <w:b w:val="0"/>
          <w:sz w:val="24"/>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"_Toc81515310" </w:instrText>
      </w:r>
      <w:r>
        <w:fldChar w:fldCharType="separate"/>
      </w:r>
      <w:r>
        <w:rPr>
          <w:rStyle w:val="66"/>
          <w:rFonts w:ascii="Times New Roman" w:cs="Times New Roman"/>
          <w:color w:val="auto"/>
        </w:rPr>
        <w:t>9.1 工程经济、社会效益分析</w:t>
      </w:r>
      <w:r>
        <w:rPr>
          <w:rFonts w:ascii="Times New Roman" w:cs="Times New Roman"/>
        </w:rPr>
        <w:tab/>
      </w:r>
      <w:r>
        <w:rPr>
          <w:rFonts w:ascii="Times New Roman" w:cs="Times New Roman"/>
        </w:rPr>
        <w:fldChar w:fldCharType="begin"/>
      </w:r>
      <w:r>
        <w:rPr>
          <w:rFonts w:ascii="Times New Roman" w:cs="Times New Roman"/>
        </w:rPr>
        <w:instrText xml:space="preserve"> PAGEREF _Toc81515310 \h </w:instrText>
      </w:r>
      <w:r>
        <w:rPr>
          <w:rFonts w:ascii="Times New Roman" w:cs="Times New Roman"/>
        </w:rPr>
        <w:fldChar w:fldCharType="separate"/>
      </w:r>
      <w:r>
        <w:rPr>
          <w:rFonts w:ascii="Times New Roman" w:cs="Times New Roman"/>
        </w:rPr>
        <w:t>308</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"_Toc81515311" </w:instrText>
      </w:r>
      <w:r>
        <w:fldChar w:fldCharType="separate"/>
      </w:r>
      <w:r>
        <w:rPr>
          <w:rStyle w:val="66"/>
          <w:rFonts w:ascii="Times New Roman" w:cs="Times New Roman"/>
          <w:color w:val="auto"/>
        </w:rPr>
        <w:t>9.2 环境损益分析</w:t>
      </w:r>
      <w:r>
        <w:rPr>
          <w:rFonts w:ascii="Times New Roman" w:cs="Times New Roman"/>
        </w:rPr>
        <w:tab/>
      </w:r>
      <w:r>
        <w:rPr>
          <w:rFonts w:ascii="Times New Roman" w:cs="Times New Roman"/>
        </w:rPr>
        <w:fldChar w:fldCharType="begin"/>
      </w:r>
      <w:r>
        <w:rPr>
          <w:rFonts w:ascii="Times New Roman" w:cs="Times New Roman"/>
        </w:rPr>
        <w:instrText xml:space="preserve"> PAGEREF _Toc81515311 \h </w:instrText>
      </w:r>
      <w:r>
        <w:rPr>
          <w:rFonts w:ascii="Times New Roman" w:cs="Times New Roman"/>
        </w:rPr>
        <w:fldChar w:fldCharType="separate"/>
      </w:r>
      <w:r>
        <w:rPr>
          <w:rFonts w:ascii="Times New Roman" w:cs="Times New Roman"/>
        </w:rPr>
        <w:t>308</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"_Toc81515312" </w:instrText>
      </w:r>
      <w:r>
        <w:fldChar w:fldCharType="separate"/>
      </w:r>
      <w:r>
        <w:rPr>
          <w:rStyle w:val="66"/>
          <w:rFonts w:ascii="Times New Roman" w:cs="Times New Roman"/>
          <w:color w:val="auto"/>
        </w:rPr>
        <w:t>9.3 结论</w:t>
      </w:r>
      <w:r>
        <w:rPr>
          <w:rFonts w:ascii="Times New Roman" w:cs="Times New Roman"/>
        </w:rPr>
        <w:tab/>
      </w:r>
      <w:r>
        <w:rPr>
          <w:rFonts w:ascii="Times New Roman" w:cs="Times New Roman"/>
        </w:rPr>
        <w:fldChar w:fldCharType="begin"/>
      </w:r>
      <w:r>
        <w:rPr>
          <w:rFonts w:ascii="Times New Roman" w:cs="Times New Roman"/>
        </w:rPr>
        <w:instrText xml:space="preserve"> PAGEREF _Toc81515312 \h </w:instrText>
      </w:r>
      <w:r>
        <w:rPr>
          <w:rFonts w:ascii="Times New Roman" w:cs="Times New Roman"/>
        </w:rPr>
        <w:fldChar w:fldCharType="separate"/>
      </w:r>
      <w:r>
        <w:rPr>
          <w:rFonts w:ascii="Times New Roman" w:cs="Times New Roman"/>
        </w:rPr>
        <w:t>309</w:t>
      </w:r>
      <w:r>
        <w:rPr>
          <w:rFonts w:ascii="Times New Roman" w:cs="Times New Roman"/>
        </w:rPr>
        <w:fldChar w:fldCharType="end"/>
      </w:r>
      <w:r>
        <w:rPr>
          <w:rFonts w:ascii="Times New Roman" w:cs="Times New Roman"/>
        </w:rPr>
        <w:fldChar w:fldCharType="end"/>
      </w:r>
    </w:p>
    <w:p>
      <w:pPr>
        <w:pStyle w:val="37"/>
        <w:tabs>
          <w:tab w:val="right" w:leader="dot" w:pos="9340"/>
        </w:tabs>
        <w:rPr>
          <w:rFonts w:cs="Times New Roman"/>
          <w:b w:val="0"/>
          <w:kern w:val="2"/>
          <w:sz w:val="24"/>
        </w:rPr>
      </w:pPr>
      <w:r>
        <w:fldChar w:fldCharType="begin"/>
      </w:r>
      <w:r>
        <w:instrText xml:space="preserve"> HYPERLINK \l "_Toc81515313" </w:instrText>
      </w:r>
      <w:r>
        <w:fldChar w:fldCharType="separate"/>
      </w:r>
      <w:r>
        <w:rPr>
          <w:rStyle w:val="66"/>
          <w:rFonts w:cs="Times New Roman"/>
          <w:b w:val="0"/>
          <w:color w:val="auto"/>
          <w:sz w:val="24"/>
        </w:rPr>
        <w:t>10 环境管理与监测计划</w:t>
      </w:r>
      <w:r>
        <w:rPr>
          <w:rFonts w:cs="Times New Roman"/>
          <w:b w:val="0"/>
          <w:sz w:val="24"/>
        </w:rPr>
        <w:tab/>
      </w:r>
      <w:r>
        <w:rPr>
          <w:rFonts w:cs="Times New Roman"/>
          <w:b w:val="0"/>
          <w:sz w:val="24"/>
        </w:rPr>
        <w:fldChar w:fldCharType="begin"/>
      </w:r>
      <w:r>
        <w:rPr>
          <w:rFonts w:cs="Times New Roman"/>
          <w:b w:val="0"/>
          <w:sz w:val="24"/>
        </w:rPr>
        <w:instrText xml:space="preserve"> PAGEREF _Toc81515313 \h </w:instrText>
      </w:r>
      <w:r>
        <w:rPr>
          <w:rFonts w:cs="Times New Roman"/>
          <w:b w:val="0"/>
          <w:sz w:val="24"/>
        </w:rPr>
        <w:fldChar w:fldCharType="separate"/>
      </w:r>
      <w:r>
        <w:rPr>
          <w:rFonts w:cs="Times New Roman"/>
          <w:b w:val="0"/>
          <w:sz w:val="24"/>
        </w:rPr>
        <w:t>310</w:t>
      </w:r>
      <w:r>
        <w:rPr>
          <w:rFonts w:cs="Times New Roman"/>
          <w:b w:val="0"/>
          <w:sz w:val="24"/>
        </w:rPr>
        <w:fldChar w:fldCharType="end"/>
      </w:r>
      <w:r>
        <w:rPr>
          <w:rFonts w:cs="Times New Roman"/>
          <w:b w:val="0"/>
          <w:sz w:val="24"/>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"_Toc81515314" </w:instrText>
      </w:r>
      <w:r>
        <w:fldChar w:fldCharType="separate"/>
      </w:r>
      <w:r>
        <w:rPr>
          <w:rStyle w:val="66"/>
          <w:rFonts w:ascii="Times New Roman" w:cs="Times New Roman"/>
          <w:color w:val="auto"/>
        </w:rPr>
        <w:t>10.1 施工期环境管理</w:t>
      </w:r>
      <w:r>
        <w:rPr>
          <w:rFonts w:ascii="Times New Roman" w:cs="Times New Roman"/>
        </w:rPr>
        <w:tab/>
      </w:r>
      <w:r>
        <w:rPr>
          <w:rFonts w:ascii="Times New Roman" w:cs="Times New Roman"/>
        </w:rPr>
        <w:fldChar w:fldCharType="begin"/>
      </w:r>
      <w:r>
        <w:rPr>
          <w:rFonts w:ascii="Times New Roman" w:cs="Times New Roman"/>
        </w:rPr>
        <w:instrText xml:space="preserve"> PAGEREF _Toc81515314 \h </w:instrText>
      </w:r>
      <w:r>
        <w:rPr>
          <w:rFonts w:ascii="Times New Roman" w:cs="Times New Roman"/>
        </w:rPr>
        <w:fldChar w:fldCharType="separate"/>
      </w:r>
      <w:r>
        <w:rPr>
          <w:rFonts w:ascii="Times New Roman" w:cs="Times New Roman"/>
        </w:rPr>
        <w:t>310</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hint="eastAsia"/>
        </w:rPr>
      </w:pPr>
      <w:r>
        <w:fldChar w:fldCharType="begin"/>
      </w:r>
      <w:r>
        <w:instrText xml:space="preserve"> HYPERLINK \l "_Toc81515315" </w:instrText>
      </w:r>
      <w:r>
        <w:fldChar w:fldCharType="separate"/>
      </w:r>
      <w:r>
        <w:rPr>
          <w:rStyle w:val="66"/>
          <w:rFonts w:ascii="Times New Roman" w:cs="Times New Roman"/>
          <w:color w:val="auto"/>
        </w:rPr>
        <w:t>10.2 运营期环境管理</w:t>
      </w:r>
      <w:r>
        <w:rPr>
          <w:rFonts w:ascii="Times New Roman" w:cs="Times New Roman"/>
        </w:rPr>
        <w:tab/>
      </w:r>
      <w:r>
        <w:rPr>
          <w:rFonts w:ascii="Times New Roman" w:cs="Times New Roman"/>
        </w:rPr>
        <w:fldChar w:fldCharType="begin"/>
      </w:r>
      <w:r>
        <w:rPr>
          <w:rFonts w:ascii="Times New Roman" w:cs="Times New Roman"/>
        </w:rPr>
        <w:instrText xml:space="preserve"> PAGEREF _Toc81515315 \h </w:instrText>
      </w:r>
      <w:r>
        <w:rPr>
          <w:rFonts w:ascii="Times New Roman" w:cs="Times New Roman"/>
        </w:rPr>
        <w:fldChar w:fldCharType="separate"/>
      </w:r>
      <w:r>
        <w:rPr>
          <w:rFonts w:ascii="Times New Roman" w:cs="Times New Roman"/>
        </w:rPr>
        <w:t>312</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"_Toc81515315" </w:instrText>
      </w:r>
      <w:r>
        <w:fldChar w:fldCharType="separate"/>
      </w:r>
      <w:r>
        <w:rPr>
          <w:rStyle w:val="66"/>
          <w:rFonts w:ascii="Times New Roman" w:cs="Times New Roman"/>
          <w:color w:val="auto"/>
        </w:rPr>
        <w:t>10.</w:t>
      </w:r>
      <w:r>
        <w:rPr>
          <w:rStyle w:val="66"/>
          <w:rFonts w:hint="eastAsia" w:ascii="Times New Roman" w:cs="Times New Roman"/>
          <w:color w:val="auto"/>
        </w:rPr>
        <w:t>3本项目</w:t>
      </w:r>
      <w:r>
        <w:rPr>
          <w:rStyle w:val="66"/>
          <w:rFonts w:ascii="Times New Roman" w:cs="Times New Roman"/>
          <w:color w:val="auto"/>
        </w:rPr>
        <w:t>“三同时”验收</w:t>
      </w:r>
      <w:r>
        <w:rPr>
          <w:rFonts w:ascii="Times New Roman" w:cs="Times New Roman"/>
        </w:rPr>
        <w:tab/>
      </w:r>
      <w:r>
        <w:rPr>
          <w:rFonts w:ascii="Times New Roman" w:cs="Times New Roman"/>
        </w:rPr>
        <w:fldChar w:fldCharType="begin"/>
      </w:r>
      <w:r>
        <w:rPr>
          <w:rFonts w:ascii="Times New Roman" w:cs="Times New Roman"/>
        </w:rPr>
        <w:instrText xml:space="preserve"> PAGEREF _Toc81515315 \h </w:instrText>
      </w:r>
      <w:r>
        <w:rPr>
          <w:rFonts w:ascii="Times New Roman" w:cs="Times New Roman"/>
        </w:rPr>
        <w:fldChar w:fldCharType="separate"/>
      </w:r>
      <w:r>
        <w:rPr>
          <w:rFonts w:ascii="Times New Roman" w:cs="Times New Roman"/>
        </w:rPr>
        <w:t>312</w:t>
      </w:r>
      <w:r>
        <w:rPr>
          <w:rFonts w:ascii="Times New Roman" w:cs="Times New Roman"/>
        </w:rPr>
        <w:fldChar w:fldCharType="end"/>
      </w:r>
      <w:r>
        <w:rPr>
          <w:rFonts w:ascii="Times New Roman" w:cs="Times New Roman"/>
        </w:rPr>
        <w:fldChar w:fldCharType="end"/>
      </w:r>
    </w:p>
    <w:p>
      <w:pPr>
        <w:pStyle w:val="37"/>
        <w:tabs>
          <w:tab w:val="right" w:leader="dot" w:pos="9340"/>
        </w:tabs>
        <w:rPr>
          <w:rFonts w:cs="Times New Roman"/>
          <w:b w:val="0"/>
          <w:kern w:val="2"/>
          <w:sz w:val="24"/>
        </w:rPr>
      </w:pPr>
      <w:r>
        <w:fldChar w:fldCharType="begin"/>
      </w:r>
      <w:r>
        <w:instrText xml:space="preserve"> HYPERLINK \l "_Toc81515316" </w:instrText>
      </w:r>
      <w:r>
        <w:fldChar w:fldCharType="separate"/>
      </w:r>
      <w:r>
        <w:rPr>
          <w:rStyle w:val="66"/>
          <w:rFonts w:cs="Times New Roman"/>
          <w:b w:val="0"/>
          <w:color w:val="auto"/>
          <w:sz w:val="24"/>
        </w:rPr>
        <w:t>11 结论与建议</w:t>
      </w:r>
      <w:r>
        <w:rPr>
          <w:rFonts w:cs="Times New Roman"/>
          <w:b w:val="0"/>
          <w:sz w:val="24"/>
        </w:rPr>
        <w:tab/>
      </w:r>
      <w:r>
        <w:rPr>
          <w:rFonts w:cs="Times New Roman"/>
          <w:b w:val="0"/>
          <w:sz w:val="24"/>
        </w:rPr>
        <w:fldChar w:fldCharType="begin"/>
      </w:r>
      <w:r>
        <w:rPr>
          <w:rFonts w:cs="Times New Roman"/>
          <w:b w:val="0"/>
          <w:sz w:val="24"/>
        </w:rPr>
        <w:instrText xml:space="preserve"> PAGEREF _Toc81515316 \h </w:instrText>
      </w:r>
      <w:r>
        <w:rPr>
          <w:rFonts w:cs="Times New Roman"/>
          <w:b w:val="0"/>
          <w:sz w:val="24"/>
        </w:rPr>
        <w:fldChar w:fldCharType="separate"/>
      </w:r>
      <w:r>
        <w:rPr>
          <w:rFonts w:cs="Times New Roman"/>
          <w:b w:val="0"/>
          <w:sz w:val="24"/>
        </w:rPr>
        <w:t>318</w:t>
      </w:r>
      <w:r>
        <w:rPr>
          <w:rFonts w:cs="Times New Roman"/>
          <w:b w:val="0"/>
          <w:sz w:val="24"/>
        </w:rPr>
        <w:fldChar w:fldCharType="end"/>
      </w:r>
      <w:r>
        <w:rPr>
          <w:rFonts w:cs="Times New Roman"/>
          <w:b w:val="0"/>
          <w:sz w:val="24"/>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"_Toc81515317" </w:instrText>
      </w:r>
      <w:r>
        <w:fldChar w:fldCharType="separate"/>
      </w:r>
      <w:r>
        <w:rPr>
          <w:rStyle w:val="66"/>
          <w:rFonts w:ascii="Times New Roman" w:cs="Times New Roman"/>
          <w:color w:val="auto"/>
        </w:rPr>
        <w:t>11.1 项目基本情况</w:t>
      </w:r>
      <w:r>
        <w:rPr>
          <w:rFonts w:ascii="Times New Roman" w:cs="Times New Roman"/>
        </w:rPr>
        <w:tab/>
      </w:r>
      <w:r>
        <w:rPr>
          <w:rFonts w:ascii="Times New Roman" w:cs="Times New Roman"/>
        </w:rPr>
        <w:fldChar w:fldCharType="begin"/>
      </w:r>
      <w:r>
        <w:rPr>
          <w:rFonts w:ascii="Times New Roman" w:cs="Times New Roman"/>
        </w:rPr>
        <w:instrText xml:space="preserve"> PAGEREF _Toc81515317 \h </w:instrText>
      </w:r>
      <w:r>
        <w:rPr>
          <w:rFonts w:ascii="Times New Roman" w:cs="Times New Roman"/>
        </w:rPr>
        <w:fldChar w:fldCharType="separate"/>
      </w:r>
      <w:r>
        <w:rPr>
          <w:rFonts w:ascii="Times New Roman" w:cs="Times New Roman"/>
        </w:rPr>
        <w:t>318</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"_Toc81515318" </w:instrText>
      </w:r>
      <w:r>
        <w:fldChar w:fldCharType="separate"/>
      </w:r>
      <w:r>
        <w:rPr>
          <w:rStyle w:val="66"/>
          <w:rFonts w:ascii="Times New Roman" w:cs="Times New Roman"/>
          <w:color w:val="auto"/>
        </w:rPr>
        <w:t>11.2 产业政策符合性分析</w:t>
      </w:r>
      <w:r>
        <w:rPr>
          <w:rFonts w:ascii="Times New Roman" w:cs="Times New Roman"/>
        </w:rPr>
        <w:tab/>
      </w:r>
      <w:r>
        <w:rPr>
          <w:rFonts w:ascii="Times New Roman" w:cs="Times New Roman"/>
        </w:rPr>
        <w:fldChar w:fldCharType="begin"/>
      </w:r>
      <w:r>
        <w:rPr>
          <w:rFonts w:ascii="Times New Roman" w:cs="Times New Roman"/>
        </w:rPr>
        <w:instrText xml:space="preserve"> PAGEREF _Toc81515318 \h </w:instrText>
      </w:r>
      <w:r>
        <w:rPr>
          <w:rFonts w:ascii="Times New Roman" w:cs="Times New Roman"/>
        </w:rPr>
        <w:fldChar w:fldCharType="separate"/>
      </w:r>
      <w:r>
        <w:rPr>
          <w:rFonts w:ascii="Times New Roman" w:cs="Times New Roman"/>
        </w:rPr>
        <w:t>319</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"_Toc81515319" </w:instrText>
      </w:r>
      <w:r>
        <w:fldChar w:fldCharType="separate"/>
      </w:r>
      <w:r>
        <w:rPr>
          <w:rStyle w:val="66"/>
          <w:rFonts w:ascii="Times New Roman" w:cs="Times New Roman"/>
          <w:color w:val="auto"/>
        </w:rPr>
        <w:t>11.3 清洁生产</w:t>
      </w:r>
      <w:r>
        <w:rPr>
          <w:rFonts w:ascii="Times New Roman" w:cs="Times New Roman"/>
        </w:rPr>
        <w:tab/>
      </w:r>
      <w:r>
        <w:rPr>
          <w:rFonts w:ascii="Times New Roman" w:cs="Times New Roman"/>
        </w:rPr>
        <w:fldChar w:fldCharType="begin"/>
      </w:r>
      <w:r>
        <w:rPr>
          <w:rFonts w:ascii="Times New Roman" w:cs="Times New Roman"/>
        </w:rPr>
        <w:instrText xml:space="preserve"> PAGEREF _Toc81515319 \h </w:instrText>
      </w:r>
      <w:r>
        <w:rPr>
          <w:rFonts w:ascii="Times New Roman" w:cs="Times New Roman"/>
        </w:rPr>
        <w:fldChar w:fldCharType="separate"/>
      </w:r>
      <w:r>
        <w:rPr>
          <w:rFonts w:ascii="Times New Roman" w:cs="Times New Roman"/>
        </w:rPr>
        <w:t>319</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"_Toc81515320" </w:instrText>
      </w:r>
      <w:r>
        <w:fldChar w:fldCharType="separate"/>
      </w:r>
      <w:r>
        <w:rPr>
          <w:rStyle w:val="66"/>
          <w:rFonts w:ascii="Times New Roman" w:cs="Times New Roman"/>
          <w:color w:val="auto"/>
        </w:rPr>
        <w:t>11.4 总量控制</w:t>
      </w:r>
      <w:r>
        <w:rPr>
          <w:rFonts w:ascii="Times New Roman" w:cs="Times New Roman"/>
        </w:rPr>
        <w:tab/>
      </w:r>
      <w:r>
        <w:rPr>
          <w:rFonts w:ascii="Times New Roman" w:cs="Times New Roman"/>
        </w:rPr>
        <w:fldChar w:fldCharType="begin"/>
      </w:r>
      <w:r>
        <w:rPr>
          <w:rFonts w:ascii="Times New Roman" w:cs="Times New Roman"/>
        </w:rPr>
        <w:instrText xml:space="preserve"> PAGEREF _Toc81515320 \h </w:instrText>
      </w:r>
      <w:r>
        <w:rPr>
          <w:rFonts w:ascii="Times New Roman" w:cs="Times New Roman"/>
        </w:rPr>
        <w:fldChar w:fldCharType="separate"/>
      </w:r>
      <w:r>
        <w:rPr>
          <w:rFonts w:ascii="Times New Roman" w:cs="Times New Roman"/>
        </w:rPr>
        <w:t>320</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"_Toc81515321" </w:instrText>
      </w:r>
      <w:r>
        <w:fldChar w:fldCharType="separate"/>
      </w:r>
      <w:r>
        <w:rPr>
          <w:rStyle w:val="66"/>
          <w:rFonts w:ascii="Times New Roman" w:cs="Times New Roman"/>
          <w:color w:val="auto"/>
        </w:rPr>
        <w:t>11.5 环境现状评价结论</w:t>
      </w:r>
      <w:r>
        <w:rPr>
          <w:rFonts w:ascii="Times New Roman" w:cs="Times New Roman"/>
        </w:rPr>
        <w:tab/>
      </w:r>
      <w:r>
        <w:rPr>
          <w:rFonts w:ascii="Times New Roman" w:cs="Times New Roman"/>
        </w:rPr>
        <w:fldChar w:fldCharType="begin"/>
      </w:r>
      <w:r>
        <w:rPr>
          <w:rFonts w:ascii="Times New Roman" w:cs="Times New Roman"/>
        </w:rPr>
        <w:instrText xml:space="preserve"> PAGEREF _Toc81515321 \h </w:instrText>
      </w:r>
      <w:r>
        <w:rPr>
          <w:rFonts w:ascii="Times New Roman" w:cs="Times New Roman"/>
        </w:rPr>
        <w:fldChar w:fldCharType="separate"/>
      </w:r>
      <w:r>
        <w:rPr>
          <w:rFonts w:ascii="Times New Roman" w:cs="Times New Roman"/>
        </w:rPr>
        <w:t>320</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"_Toc81515322" </w:instrText>
      </w:r>
      <w:r>
        <w:fldChar w:fldCharType="separate"/>
      </w:r>
      <w:r>
        <w:rPr>
          <w:rStyle w:val="66"/>
          <w:rFonts w:ascii="Times New Roman" w:cs="Times New Roman"/>
          <w:color w:val="auto"/>
        </w:rPr>
        <w:t>11.6 环境影响评价结论</w:t>
      </w:r>
      <w:r>
        <w:rPr>
          <w:rFonts w:ascii="Times New Roman" w:cs="Times New Roman"/>
        </w:rPr>
        <w:tab/>
      </w:r>
      <w:r>
        <w:rPr>
          <w:rFonts w:ascii="Times New Roman" w:cs="Times New Roman"/>
        </w:rPr>
        <w:fldChar w:fldCharType="begin"/>
      </w:r>
      <w:r>
        <w:rPr>
          <w:rFonts w:ascii="Times New Roman" w:cs="Times New Roman"/>
        </w:rPr>
        <w:instrText xml:space="preserve"> PAGEREF _Toc81515322 \h </w:instrText>
      </w:r>
      <w:r>
        <w:rPr>
          <w:rFonts w:ascii="Times New Roman" w:cs="Times New Roman"/>
        </w:rPr>
        <w:fldChar w:fldCharType="separate"/>
      </w:r>
      <w:r>
        <w:rPr>
          <w:rFonts w:ascii="Times New Roman" w:cs="Times New Roman"/>
        </w:rPr>
        <w:t>321</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"_Toc81515323" </w:instrText>
      </w:r>
      <w:r>
        <w:fldChar w:fldCharType="separate"/>
      </w:r>
      <w:r>
        <w:rPr>
          <w:rStyle w:val="66"/>
          <w:rFonts w:ascii="Times New Roman" w:cs="Times New Roman"/>
          <w:color w:val="auto"/>
        </w:rPr>
        <w:t>11.7 环保措施及经济技术论证</w:t>
      </w:r>
      <w:r>
        <w:rPr>
          <w:rFonts w:ascii="Times New Roman" w:cs="Times New Roman"/>
        </w:rPr>
        <w:tab/>
      </w:r>
      <w:r>
        <w:rPr>
          <w:rFonts w:ascii="Times New Roman" w:cs="Times New Roman"/>
        </w:rPr>
        <w:fldChar w:fldCharType="begin"/>
      </w:r>
      <w:r>
        <w:rPr>
          <w:rFonts w:ascii="Times New Roman" w:cs="Times New Roman"/>
        </w:rPr>
        <w:instrText xml:space="preserve"> PAGEREF _Toc81515323 \h </w:instrText>
      </w:r>
      <w:r>
        <w:rPr>
          <w:rFonts w:ascii="Times New Roman" w:cs="Times New Roman"/>
        </w:rPr>
        <w:fldChar w:fldCharType="separate"/>
      </w:r>
      <w:r>
        <w:rPr>
          <w:rFonts w:ascii="Times New Roman" w:cs="Times New Roman"/>
        </w:rPr>
        <w:t>323</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"_Toc81515324" </w:instrText>
      </w:r>
      <w:r>
        <w:fldChar w:fldCharType="separate"/>
      </w:r>
      <w:r>
        <w:rPr>
          <w:rStyle w:val="66"/>
          <w:rFonts w:ascii="Times New Roman" w:cs="Times New Roman"/>
          <w:color w:val="auto"/>
        </w:rPr>
        <w:t>11.8 环境风险评价结论</w:t>
      </w:r>
      <w:r>
        <w:rPr>
          <w:rFonts w:ascii="Times New Roman" w:cs="Times New Roman"/>
        </w:rPr>
        <w:tab/>
      </w:r>
      <w:r>
        <w:rPr>
          <w:rFonts w:ascii="Times New Roman" w:cs="Times New Roman"/>
        </w:rPr>
        <w:fldChar w:fldCharType="begin"/>
      </w:r>
      <w:r>
        <w:rPr>
          <w:rFonts w:ascii="Times New Roman" w:cs="Times New Roman"/>
        </w:rPr>
        <w:instrText xml:space="preserve"> PAGEREF _Toc81515324 \h </w:instrText>
      </w:r>
      <w:r>
        <w:rPr>
          <w:rFonts w:ascii="Times New Roman" w:cs="Times New Roman"/>
        </w:rPr>
        <w:fldChar w:fldCharType="separate"/>
      </w:r>
      <w:r>
        <w:rPr>
          <w:rFonts w:ascii="Times New Roman" w:cs="Times New Roman"/>
        </w:rPr>
        <w:t>323</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"_Toc81515325" </w:instrText>
      </w:r>
      <w:r>
        <w:fldChar w:fldCharType="separate"/>
      </w:r>
      <w:r>
        <w:rPr>
          <w:rStyle w:val="66"/>
          <w:rFonts w:ascii="Times New Roman" w:cs="Times New Roman"/>
          <w:color w:val="auto"/>
        </w:rPr>
        <w:t>11.9 选线、选址的环境可行性</w:t>
      </w:r>
      <w:r>
        <w:rPr>
          <w:rFonts w:ascii="Times New Roman" w:cs="Times New Roman"/>
        </w:rPr>
        <w:tab/>
      </w:r>
      <w:r>
        <w:rPr>
          <w:rFonts w:ascii="Times New Roman" w:cs="Times New Roman"/>
        </w:rPr>
        <w:fldChar w:fldCharType="begin"/>
      </w:r>
      <w:r>
        <w:rPr>
          <w:rFonts w:ascii="Times New Roman" w:cs="Times New Roman"/>
        </w:rPr>
        <w:instrText xml:space="preserve"> PAGEREF _Toc81515325 \h </w:instrText>
      </w:r>
      <w:r>
        <w:rPr>
          <w:rFonts w:ascii="Times New Roman" w:cs="Times New Roman"/>
        </w:rPr>
        <w:fldChar w:fldCharType="separate"/>
      </w:r>
      <w:r>
        <w:rPr>
          <w:rFonts w:ascii="Times New Roman" w:cs="Times New Roman"/>
        </w:rPr>
        <w:t>323</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"_Toc81515326" </w:instrText>
      </w:r>
      <w:r>
        <w:fldChar w:fldCharType="separate"/>
      </w:r>
      <w:r>
        <w:rPr>
          <w:rStyle w:val="66"/>
          <w:rFonts w:ascii="Times New Roman" w:cs="Times New Roman"/>
          <w:color w:val="auto"/>
        </w:rPr>
        <w:t>11.10 环境影响经济损益分析</w:t>
      </w:r>
      <w:r>
        <w:rPr>
          <w:rFonts w:ascii="Times New Roman" w:cs="Times New Roman"/>
        </w:rPr>
        <w:tab/>
      </w:r>
      <w:r>
        <w:rPr>
          <w:rFonts w:ascii="Times New Roman" w:cs="Times New Roman"/>
        </w:rPr>
        <w:fldChar w:fldCharType="begin"/>
      </w:r>
      <w:r>
        <w:rPr>
          <w:rFonts w:ascii="Times New Roman" w:cs="Times New Roman"/>
        </w:rPr>
        <w:instrText xml:space="preserve"> PAGEREF _Toc81515326 \h </w:instrText>
      </w:r>
      <w:r>
        <w:rPr>
          <w:rFonts w:ascii="Times New Roman" w:cs="Times New Roman"/>
        </w:rPr>
        <w:fldChar w:fldCharType="separate"/>
      </w:r>
      <w:r>
        <w:rPr>
          <w:rFonts w:ascii="Times New Roman" w:cs="Times New Roman"/>
        </w:rPr>
        <w:t>323</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"_Toc81515327" </w:instrText>
      </w:r>
      <w:r>
        <w:fldChar w:fldCharType="separate"/>
      </w:r>
      <w:r>
        <w:rPr>
          <w:rStyle w:val="66"/>
          <w:rFonts w:ascii="Times New Roman" w:cs="Times New Roman"/>
          <w:color w:val="auto"/>
        </w:rPr>
        <w:t>11.11 公众参与调查</w:t>
      </w:r>
      <w:r>
        <w:rPr>
          <w:rFonts w:ascii="Times New Roman" w:cs="Times New Roman"/>
        </w:rPr>
        <w:tab/>
      </w:r>
      <w:r>
        <w:rPr>
          <w:rFonts w:ascii="Times New Roman" w:cs="Times New Roman"/>
        </w:rPr>
        <w:fldChar w:fldCharType="begin"/>
      </w:r>
      <w:r>
        <w:rPr>
          <w:rFonts w:ascii="Times New Roman" w:cs="Times New Roman"/>
        </w:rPr>
        <w:instrText xml:space="preserve"> PAGEREF _Toc81515327 \h </w:instrText>
      </w:r>
      <w:r>
        <w:rPr>
          <w:rFonts w:ascii="Times New Roman" w:cs="Times New Roman"/>
        </w:rPr>
        <w:fldChar w:fldCharType="separate"/>
      </w:r>
      <w:r>
        <w:rPr>
          <w:rFonts w:ascii="Times New Roman" w:cs="Times New Roman"/>
        </w:rPr>
        <w:t>324</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kern w:val="2"/>
        </w:rPr>
      </w:pPr>
      <w:r>
        <w:fldChar w:fldCharType="begin"/>
      </w:r>
      <w:r>
        <w:instrText xml:space="preserve"> HYPERLINK \l "_Toc81515328" </w:instrText>
      </w:r>
      <w:r>
        <w:fldChar w:fldCharType="separate"/>
      </w:r>
      <w:r>
        <w:rPr>
          <w:rStyle w:val="66"/>
          <w:rFonts w:ascii="Times New Roman" w:cs="Times New Roman"/>
          <w:color w:val="auto"/>
        </w:rPr>
        <w:t>11.12 评价结论</w:t>
      </w:r>
      <w:r>
        <w:rPr>
          <w:rFonts w:ascii="Times New Roman" w:cs="Times New Roman"/>
        </w:rPr>
        <w:tab/>
      </w:r>
      <w:r>
        <w:rPr>
          <w:rFonts w:ascii="Times New Roman" w:cs="Times New Roman"/>
        </w:rPr>
        <w:fldChar w:fldCharType="begin"/>
      </w:r>
      <w:r>
        <w:rPr>
          <w:rFonts w:ascii="Times New Roman" w:cs="Times New Roman"/>
        </w:rPr>
        <w:instrText xml:space="preserve"> PAGEREF _Toc81515328 \h </w:instrText>
      </w:r>
      <w:r>
        <w:rPr>
          <w:rFonts w:ascii="Times New Roman" w:cs="Times New Roman"/>
        </w:rPr>
        <w:fldChar w:fldCharType="separate"/>
      </w:r>
      <w:r>
        <w:rPr>
          <w:rFonts w:ascii="Times New Roman" w:cs="Times New Roman"/>
        </w:rPr>
        <w:t>324</w:t>
      </w:r>
      <w:r>
        <w:rPr>
          <w:rFonts w:ascii="Times New Roman" w:cs="Times New Roman"/>
        </w:rPr>
        <w:fldChar w:fldCharType="end"/>
      </w:r>
      <w:r>
        <w:rPr>
          <w:rFonts w:ascii="Times New Roman" w:cs="Times New Roman"/>
        </w:rPr>
        <w:fldChar w:fldCharType="end"/>
      </w:r>
    </w:p>
    <w:p>
      <w:pPr>
        <w:pStyle w:val="47"/>
        <w:tabs>
          <w:tab w:val="right" w:leader="dot" w:pos="9340"/>
        </w:tabs>
        <w:ind w:left="0" w:leftChars="0" w:firstLine="480"/>
        <w:rPr>
          <w:rFonts w:ascii="Times New Roman" w:cs="Times New Roman"/>
        </w:rPr>
      </w:pPr>
      <w:r>
        <w:fldChar w:fldCharType="begin"/>
      </w:r>
      <w:r>
        <w:instrText xml:space="preserve"> HYPERLINK \l "_Toc81515329" </w:instrText>
      </w:r>
      <w:r>
        <w:fldChar w:fldCharType="separate"/>
      </w:r>
      <w:r>
        <w:rPr>
          <w:rStyle w:val="66"/>
          <w:rFonts w:ascii="Times New Roman" w:cs="Times New Roman"/>
          <w:color w:val="auto"/>
        </w:rPr>
        <w:t>11.13 建议</w:t>
      </w:r>
      <w:r>
        <w:rPr>
          <w:rFonts w:ascii="Times New Roman" w:cs="Times New Roman"/>
        </w:rPr>
        <w:tab/>
      </w:r>
      <w:r>
        <w:rPr>
          <w:rFonts w:ascii="Times New Roman" w:cs="Times New Roman"/>
        </w:rPr>
        <w:fldChar w:fldCharType="begin"/>
      </w:r>
      <w:r>
        <w:rPr>
          <w:rFonts w:ascii="Times New Roman" w:cs="Times New Roman"/>
        </w:rPr>
        <w:instrText xml:space="preserve"> PAGEREF _Toc81515329 \h </w:instrText>
      </w:r>
      <w:r>
        <w:rPr>
          <w:rFonts w:ascii="Times New Roman" w:cs="Times New Roman"/>
        </w:rPr>
        <w:fldChar w:fldCharType="separate"/>
      </w:r>
      <w:r>
        <w:rPr>
          <w:rFonts w:ascii="Times New Roman" w:cs="Times New Roman"/>
        </w:rPr>
        <w:t>324</w:t>
      </w:r>
      <w:r>
        <w:rPr>
          <w:rFonts w:ascii="Times New Roman" w:cs="Times New Roman"/>
        </w:rPr>
        <w:fldChar w:fldCharType="end"/>
      </w:r>
      <w:r>
        <w:rPr>
          <w:rFonts w:ascii="Times New Roman" w:cs="Times New Roman"/>
        </w:rPr>
        <w:fldChar w:fldCharType="end"/>
      </w:r>
      <w:r>
        <w:rPr>
          <w:rFonts w:ascii="Times New Roman" w:cs="Times New Roman"/>
        </w:rPr>
        <w:fldChar w:fldCharType="end"/>
      </w:r>
    </w:p>
    <w:p>
      <w:pPr>
        <w:ind w:firstLine="480"/>
      </w:pPr>
    </w:p>
    <w:p>
      <w:pPr>
        <w:ind w:firstLine="480"/>
      </w:pPr>
    </w:p>
    <w:p>
      <w:pPr>
        <w:ind w:firstLine="0" w:firstLineChars="0"/>
        <w:rPr>
          <w:rFonts w:ascii="Times New Roman" w:cs="Times New Roman"/>
          <w:b/>
          <w:bCs/>
        </w:rPr>
      </w:pPr>
      <w:r>
        <w:rPr>
          <w:rFonts w:ascii="Times New Roman" w:cs="Times New Roman"/>
          <w:b/>
          <w:bCs/>
        </w:rPr>
        <w:t>附</w:t>
      </w:r>
      <w:r>
        <w:rPr>
          <w:rFonts w:hint="eastAsia" w:ascii="Times New Roman" w:cs="Times New Roman"/>
          <w:b/>
          <w:bCs/>
        </w:rPr>
        <w:t xml:space="preserve"> </w:t>
      </w:r>
      <w:r>
        <w:rPr>
          <w:rFonts w:ascii="Times New Roman" w:cs="Times New Roman"/>
          <w:b/>
          <w:bCs/>
        </w:rPr>
        <w:t xml:space="preserve"> 图：</w:t>
      </w:r>
    </w:p>
    <w:p>
      <w:pPr>
        <w:ind w:firstLine="1080" w:firstLineChars="450"/>
        <w:rPr>
          <w:rFonts w:ascii="Times New Roman" w:cs="Times New Roman"/>
        </w:rPr>
      </w:pPr>
      <w:r>
        <w:rPr>
          <w:rFonts w:ascii="Times New Roman" w:cs="Times New Roman"/>
        </w:rPr>
        <w:t>附图1项目地理位置图</w:t>
      </w:r>
    </w:p>
    <w:p>
      <w:pPr>
        <w:ind w:firstLine="1080" w:firstLineChars="450"/>
        <w:rPr>
          <w:rFonts w:ascii="Times New Roman" w:cs="Times New Roman"/>
        </w:rPr>
      </w:pPr>
      <w:r>
        <w:rPr>
          <w:rFonts w:hint="eastAsia" w:ascii="Times New Roman" w:cs="Times New Roman"/>
        </w:rPr>
        <w:t>附图2项目所在区域水系图</w:t>
      </w:r>
    </w:p>
    <w:p>
      <w:pPr>
        <w:ind w:firstLine="1080" w:firstLineChars="450"/>
        <w:rPr>
          <w:rFonts w:ascii="Times New Roman" w:cs="Times New Roman"/>
        </w:rPr>
      </w:pPr>
      <w:r>
        <w:rPr>
          <w:rFonts w:hint="eastAsia" w:ascii="Times New Roman" w:cs="Times New Roman"/>
        </w:rPr>
        <w:t>附图3-1</w:t>
      </w:r>
      <w:bookmarkStart w:id="1" w:name="_Toc11834"/>
      <w:bookmarkStart w:id="2" w:name="_Toc524531004"/>
      <w:bookmarkStart w:id="3" w:name="_Ref495759037"/>
      <w:bookmarkStart w:id="4" w:name="_Toc500315313"/>
      <w:r>
        <w:rPr>
          <w:rFonts w:hint="eastAsia"/>
        </w:rPr>
        <w:t>地下水环境敏感点分布及地下水监测布点图</w:t>
      </w:r>
      <w:bookmarkEnd w:id="1"/>
      <w:bookmarkEnd w:id="2"/>
      <w:bookmarkEnd w:id="3"/>
      <w:bookmarkEnd w:id="4"/>
    </w:p>
    <w:p>
      <w:pPr>
        <w:ind w:firstLine="1080" w:firstLineChars="450"/>
        <w:rPr>
          <w:rFonts w:ascii="Times New Roman" w:cs="Times New Roman"/>
        </w:rPr>
      </w:pPr>
      <w:r>
        <w:rPr>
          <w:rFonts w:hint="eastAsia" w:ascii="Times New Roman" w:cs="Times New Roman"/>
        </w:rPr>
        <w:t>附图3-2监测布点图（大气、声环境、土壤、包气带）</w:t>
      </w:r>
    </w:p>
    <w:p>
      <w:pPr>
        <w:ind w:firstLine="1080" w:firstLineChars="450"/>
        <w:rPr>
          <w:rFonts w:ascii="Times New Roman" w:cs="Times New Roman"/>
        </w:rPr>
      </w:pPr>
      <w:r>
        <w:rPr>
          <w:rFonts w:hint="eastAsia" w:ascii="Times New Roman" w:cs="Times New Roman"/>
        </w:rPr>
        <w:t>附图4普陆4集气平台5000m范围内人居及外环境关系图</w:t>
      </w:r>
    </w:p>
    <w:p>
      <w:pPr>
        <w:ind w:firstLine="1080" w:firstLineChars="450"/>
        <w:rPr>
          <w:rFonts w:ascii="Times New Roman" w:cs="Times New Roman"/>
        </w:rPr>
      </w:pPr>
      <w:r>
        <w:rPr>
          <w:rFonts w:hint="eastAsia" w:ascii="Times New Roman" w:cs="Times New Roman"/>
        </w:rPr>
        <w:t>附图5</w:t>
      </w:r>
      <w:r>
        <w:rPr>
          <w:rFonts w:hint="eastAsia"/>
        </w:rPr>
        <w:t>普光气田管网图</w:t>
      </w:r>
    </w:p>
    <w:p>
      <w:pPr>
        <w:ind w:firstLine="1080" w:firstLineChars="450"/>
        <w:rPr>
          <w:rFonts w:ascii="Times New Roman" w:cs="Times New Roman"/>
        </w:rPr>
      </w:pPr>
      <w:r>
        <w:rPr>
          <w:rFonts w:hint="eastAsia" w:ascii="Times New Roman" w:cs="Times New Roman"/>
        </w:rPr>
        <w:t>附图6</w:t>
      </w:r>
      <w:r>
        <w:rPr>
          <w:rFonts w:hint="eastAsia" w:ascii="Times New Roman"/>
          <w:bCs/>
        </w:rPr>
        <w:t>普陆4集气平台与钻前相对位置图</w:t>
      </w:r>
    </w:p>
    <w:p>
      <w:pPr>
        <w:ind w:firstLine="1080" w:firstLineChars="450"/>
        <w:rPr>
          <w:rFonts w:ascii="Times New Roman" w:cs="Times New Roman"/>
        </w:rPr>
      </w:pPr>
      <w:r>
        <w:rPr>
          <w:rFonts w:hint="eastAsia" w:ascii="Times New Roman" w:cs="Times New Roman"/>
        </w:rPr>
        <w:t>附图7普陆4集气平台平面布置图</w:t>
      </w:r>
    </w:p>
    <w:p>
      <w:pPr>
        <w:ind w:firstLine="1080" w:firstLineChars="450"/>
        <w:rPr>
          <w:rFonts w:ascii="Times New Roman" w:cs="Times New Roman"/>
        </w:rPr>
      </w:pPr>
      <w:r>
        <w:rPr>
          <w:rFonts w:hint="eastAsia" w:ascii="Times New Roman" w:cs="Times New Roman"/>
        </w:rPr>
        <w:t>附图8普陆4集气平台排水沟、排污沟结构图</w:t>
      </w:r>
    </w:p>
    <w:p>
      <w:pPr>
        <w:ind w:firstLine="1080" w:firstLineChars="450"/>
        <w:rPr>
          <w:rFonts w:ascii="Times New Roman" w:cs="Times New Roman"/>
        </w:rPr>
      </w:pPr>
      <w:r>
        <w:rPr>
          <w:rFonts w:hint="eastAsia" w:ascii="Times New Roman" w:cs="Times New Roman"/>
        </w:rPr>
        <w:t>附图9本项目天然气管线图</w:t>
      </w:r>
    </w:p>
    <w:p>
      <w:pPr>
        <w:ind w:firstLine="1080" w:firstLineChars="450"/>
        <w:rPr>
          <w:rFonts w:ascii="Times New Roman" w:cs="Times New Roman"/>
        </w:rPr>
      </w:pPr>
      <w:r>
        <w:rPr>
          <w:rFonts w:hint="eastAsia" w:ascii="Times New Roman" w:cs="Times New Roman"/>
        </w:rPr>
        <w:t>附图10大湾403污水站工艺流程图</w:t>
      </w:r>
    </w:p>
    <w:p>
      <w:pPr>
        <w:ind w:firstLine="1080" w:firstLineChars="450"/>
        <w:rPr>
          <w:rFonts w:ascii="Times New Roman" w:cs="Times New Roman"/>
        </w:rPr>
      </w:pPr>
      <w:r>
        <w:rPr>
          <w:rFonts w:hint="eastAsia" w:ascii="Times New Roman" w:cs="Times New Roman"/>
        </w:rPr>
        <w:t>附图11运营期废水转运路线图</w:t>
      </w:r>
    </w:p>
    <w:p>
      <w:pPr>
        <w:ind w:firstLine="1080" w:firstLineChars="450"/>
        <w:rPr>
          <w:rFonts w:ascii="Times New Roman" w:cs="Times New Roman"/>
        </w:rPr>
      </w:pPr>
      <w:r>
        <w:rPr>
          <w:rFonts w:hint="eastAsia" w:ascii="Times New Roman" w:cs="Times New Roman"/>
        </w:rPr>
        <w:t>附图12</w:t>
      </w:r>
      <w:r>
        <w:rPr>
          <w:rFonts w:hint="eastAsia"/>
        </w:rPr>
        <w:t>运营期危险废物转运路线图</w:t>
      </w:r>
    </w:p>
    <w:p>
      <w:pPr>
        <w:ind w:firstLine="1080" w:firstLineChars="450"/>
        <w:rPr>
          <w:rFonts w:ascii="Times New Roman" w:cs="Times New Roman"/>
        </w:rPr>
      </w:pPr>
      <w:r>
        <w:rPr>
          <w:rFonts w:hint="eastAsia" w:ascii="Times New Roman" w:cs="Times New Roman"/>
        </w:rPr>
        <w:t>附图13水文地质图</w:t>
      </w:r>
    </w:p>
    <w:p>
      <w:pPr>
        <w:ind w:firstLine="1080" w:firstLineChars="450"/>
        <w:rPr>
          <w:rFonts w:ascii="Times New Roman" w:cs="Times New Roman"/>
        </w:rPr>
      </w:pPr>
      <w:r>
        <w:rPr>
          <w:rFonts w:hint="eastAsia" w:ascii="Times New Roman" w:cs="Times New Roman"/>
        </w:rPr>
        <w:t>附图14与达州市生态红线位置关系图</w:t>
      </w:r>
    </w:p>
    <w:p>
      <w:pPr>
        <w:ind w:firstLine="1080" w:firstLineChars="450"/>
        <w:rPr>
          <w:rFonts w:ascii="Times New Roman" w:cs="Times New Roman"/>
        </w:rPr>
      </w:pPr>
      <w:r>
        <w:rPr>
          <w:rFonts w:hint="eastAsia" w:ascii="Times New Roman" w:cs="Times New Roman"/>
        </w:rPr>
        <w:t>附图15项目所在地土地利用现状图</w:t>
      </w:r>
    </w:p>
    <w:p>
      <w:pPr>
        <w:ind w:firstLine="1080" w:firstLineChars="450"/>
        <w:rPr>
          <w:rFonts w:ascii="Times New Roman" w:cs="Times New Roman"/>
        </w:rPr>
      </w:pPr>
      <w:r>
        <w:rPr>
          <w:rFonts w:hint="eastAsia" w:ascii="Times New Roman" w:cs="Times New Roman"/>
        </w:rPr>
        <w:t>附图16项目所在地土壤侵蚀分布图</w:t>
      </w:r>
    </w:p>
    <w:p>
      <w:pPr>
        <w:ind w:firstLine="1080" w:firstLineChars="450"/>
        <w:rPr>
          <w:rFonts w:ascii="Times New Roman" w:cs="Times New Roman"/>
        </w:rPr>
      </w:pPr>
      <w:bookmarkStart w:id="5" w:name="OLE_LINK233"/>
      <w:bookmarkStart w:id="6" w:name="OLE_LINK234"/>
      <w:r>
        <w:rPr>
          <w:rFonts w:hint="eastAsia" w:ascii="Times New Roman" w:cs="Times New Roman"/>
        </w:rPr>
        <w:t>附图1</w:t>
      </w:r>
      <w:bookmarkEnd w:id="5"/>
      <w:bookmarkEnd w:id="6"/>
      <w:r>
        <w:rPr>
          <w:rFonts w:hint="eastAsia" w:ascii="Times New Roman" w:cs="Times New Roman"/>
        </w:rPr>
        <w:t>7宣汉县水土重点防治区分区图</w:t>
      </w:r>
    </w:p>
    <w:p>
      <w:pPr>
        <w:ind w:firstLine="1080" w:firstLineChars="450"/>
        <w:rPr>
          <w:rFonts w:ascii="Times New Roman" w:cs="Times New Roman"/>
        </w:rPr>
      </w:pPr>
      <w:r>
        <w:rPr>
          <w:rFonts w:hint="eastAsia" w:ascii="Times New Roman" w:cs="Times New Roman"/>
        </w:rPr>
        <w:t>附图18普陆4集气平台影响范围内公益林情况</w:t>
      </w:r>
    </w:p>
    <w:p>
      <w:pPr>
        <w:ind w:firstLine="1080" w:firstLineChars="450"/>
        <w:rPr>
          <w:rFonts w:ascii="Times New Roman" w:cs="Times New Roman"/>
        </w:rPr>
      </w:pPr>
      <w:r>
        <w:rPr>
          <w:rFonts w:hint="eastAsia" w:ascii="Times New Roman" w:cs="Times New Roman"/>
        </w:rPr>
        <w:t>附图19项目地下水评价范围图</w:t>
      </w:r>
    </w:p>
    <w:p>
      <w:pPr>
        <w:ind w:firstLine="1080" w:firstLineChars="450"/>
        <w:rPr>
          <w:rFonts w:ascii="Times New Roman" w:cs="Times New Roman"/>
        </w:rPr>
      </w:pPr>
      <w:r>
        <w:rPr>
          <w:rFonts w:hint="eastAsia" w:ascii="Times New Roman" w:cs="Times New Roman"/>
        </w:rPr>
        <w:t>附图20 城镇开发边界位置图</w:t>
      </w:r>
    </w:p>
    <w:p>
      <w:pPr>
        <w:ind w:firstLine="1080" w:firstLineChars="450"/>
        <w:rPr>
          <w:rFonts w:ascii="Times New Roman" w:cs="Times New Roman"/>
        </w:rPr>
      </w:pPr>
      <w:r>
        <w:rPr>
          <w:rFonts w:hint="eastAsia" w:ascii="Times New Roman" w:cs="Times New Roman"/>
        </w:rPr>
        <w:t>附图21 生态保护红线位置图</w:t>
      </w:r>
    </w:p>
    <w:p>
      <w:pPr>
        <w:ind w:firstLine="1080" w:firstLineChars="450"/>
        <w:rPr>
          <w:rFonts w:ascii="Times New Roman" w:cs="Times New Roman"/>
        </w:rPr>
      </w:pPr>
      <w:r>
        <w:rPr>
          <w:rFonts w:hint="eastAsia" w:ascii="Times New Roman" w:cs="Times New Roman"/>
        </w:rPr>
        <w:t>附图22 永久基本农田位置图</w:t>
      </w:r>
    </w:p>
    <w:p>
      <w:pPr>
        <w:ind w:firstLine="1080" w:firstLineChars="450"/>
        <w:rPr>
          <w:rFonts w:ascii="Times New Roman" w:cs="Times New Roman"/>
        </w:rPr>
      </w:pPr>
      <w:r>
        <w:rPr>
          <w:rFonts w:hint="eastAsia" w:ascii="Times New Roman" w:cs="Times New Roman"/>
        </w:rPr>
        <w:t>附图23现场影像资料图</w:t>
      </w:r>
    </w:p>
    <w:p>
      <w:pPr>
        <w:ind w:firstLine="1080" w:firstLineChars="450"/>
        <w:rPr>
          <w:rFonts w:ascii="Times New Roman" w:cs="Times New Roman"/>
        </w:rPr>
      </w:pPr>
    </w:p>
    <w:p>
      <w:pPr>
        <w:ind w:firstLine="0" w:firstLineChars="0"/>
        <w:rPr>
          <w:rFonts w:ascii="Times New Roman" w:cs="Times New Roman"/>
          <w:b/>
          <w:bCs/>
        </w:rPr>
      </w:pPr>
      <w:r>
        <w:rPr>
          <w:rFonts w:hint="eastAsia" w:ascii="Times New Roman" w:cs="Times New Roman"/>
          <w:b/>
          <w:bCs/>
        </w:rPr>
        <w:t>生态图件</w:t>
      </w:r>
      <w:r>
        <w:rPr>
          <w:rFonts w:ascii="Times New Roman" w:cs="Times New Roman"/>
          <w:b/>
          <w:bCs/>
        </w:rPr>
        <w:t>：</w:t>
      </w:r>
    </w:p>
    <w:p>
      <w:pPr>
        <w:ind w:firstLine="0" w:firstLineChars="0"/>
        <w:rPr>
          <w:rFonts w:ascii="Times New Roman" w:cs="Times New Roman"/>
        </w:rPr>
      </w:pPr>
      <w:r>
        <w:rPr>
          <w:rFonts w:hint="eastAsia" w:ascii="Times New Roman" w:cs="Times New Roman"/>
          <w:b/>
          <w:bCs/>
        </w:rPr>
        <w:t xml:space="preserve">        </w:t>
      </w:r>
      <w:r>
        <w:rPr>
          <w:rFonts w:hint="eastAsia" w:ascii="Times New Roman" w:cs="Times New Roman"/>
          <w:bCs/>
        </w:rPr>
        <w:t>生态调查图</w:t>
      </w:r>
      <w:r>
        <w:rPr>
          <w:rFonts w:hint="eastAsia" w:ascii="Times New Roman" w:cs="Times New Roman"/>
        </w:rPr>
        <w:t>1 土地利用现状图</w:t>
      </w:r>
    </w:p>
    <w:p>
      <w:pPr>
        <w:ind w:firstLine="0" w:firstLineChars="0"/>
        <w:rPr>
          <w:rFonts w:ascii="Times New Roman" w:cs="Times New Roman"/>
        </w:rPr>
      </w:pPr>
      <w:r>
        <w:rPr>
          <w:rFonts w:hint="eastAsia" w:ascii="Times New Roman" w:cs="Times New Roman"/>
        </w:rPr>
        <w:t xml:space="preserve">       </w:t>
      </w:r>
      <w:r>
        <w:rPr>
          <w:rFonts w:hint="eastAsia" w:ascii="Times New Roman" w:cs="Times New Roman"/>
          <w:b/>
          <w:bCs/>
        </w:rPr>
        <w:t xml:space="preserve"> </w:t>
      </w:r>
      <w:r>
        <w:rPr>
          <w:rFonts w:hint="eastAsia" w:ascii="Times New Roman" w:cs="Times New Roman"/>
          <w:bCs/>
        </w:rPr>
        <w:t>生态调查图</w:t>
      </w:r>
      <w:r>
        <w:rPr>
          <w:rFonts w:hint="eastAsia" w:ascii="Times New Roman" w:cs="Times New Roman"/>
        </w:rPr>
        <w:t>2 土壤侵蚀现状图</w:t>
      </w:r>
    </w:p>
    <w:p>
      <w:pPr>
        <w:ind w:firstLine="0" w:firstLineChars="0"/>
        <w:rPr>
          <w:rFonts w:ascii="Times New Roman" w:cs="Times New Roman"/>
        </w:rPr>
      </w:pPr>
      <w:r>
        <w:rPr>
          <w:rFonts w:hint="eastAsia" w:ascii="Times New Roman" w:cs="Times New Roman"/>
        </w:rPr>
        <w:t xml:space="preserve">        </w:t>
      </w:r>
      <w:r>
        <w:rPr>
          <w:rFonts w:hint="eastAsia" w:ascii="Times New Roman" w:cs="Times New Roman"/>
          <w:bCs/>
        </w:rPr>
        <w:t>生态调查图</w:t>
      </w:r>
      <w:r>
        <w:rPr>
          <w:rFonts w:hint="eastAsia" w:ascii="Times New Roman" w:cs="Times New Roman"/>
        </w:rPr>
        <w:t>3 植被类型现状图</w:t>
      </w:r>
    </w:p>
    <w:p>
      <w:pPr>
        <w:ind w:firstLine="0" w:firstLineChars="0"/>
        <w:rPr>
          <w:rFonts w:ascii="Times New Roman" w:cs="Times New Roman"/>
        </w:rPr>
      </w:pPr>
      <w:r>
        <w:rPr>
          <w:rFonts w:hint="eastAsia" w:ascii="Times New Roman" w:cs="Times New Roman"/>
          <w:b/>
          <w:bCs/>
        </w:rPr>
        <w:t xml:space="preserve">        </w:t>
      </w:r>
      <w:r>
        <w:rPr>
          <w:rFonts w:hint="eastAsia" w:ascii="Times New Roman" w:cs="Times New Roman"/>
          <w:bCs/>
        </w:rPr>
        <w:t>生态调查图</w:t>
      </w:r>
      <w:r>
        <w:rPr>
          <w:rFonts w:hint="eastAsia" w:ascii="Times New Roman" w:cs="Times New Roman"/>
        </w:rPr>
        <w:t>4 植被覆盖度现状图</w:t>
      </w:r>
    </w:p>
    <w:p>
      <w:pPr>
        <w:ind w:firstLine="0" w:firstLineChars="0"/>
        <w:rPr>
          <w:rFonts w:ascii="Times New Roman" w:cs="Times New Roman"/>
        </w:rPr>
      </w:pPr>
      <w:r>
        <w:rPr>
          <w:rFonts w:hint="eastAsia" w:ascii="Times New Roman" w:cs="Times New Roman"/>
        </w:rPr>
        <w:t xml:space="preserve">        </w:t>
      </w:r>
      <w:r>
        <w:rPr>
          <w:rFonts w:hint="eastAsia" w:ascii="Times New Roman" w:cs="Times New Roman"/>
          <w:bCs/>
        </w:rPr>
        <w:t>生态调查图</w:t>
      </w:r>
      <w:r>
        <w:rPr>
          <w:rFonts w:hint="eastAsia" w:ascii="Times New Roman" w:cs="Times New Roman"/>
        </w:rPr>
        <w:t>5 生态系统现状图</w:t>
      </w:r>
    </w:p>
    <w:p>
      <w:pPr>
        <w:ind w:firstLine="0" w:firstLineChars="0"/>
        <w:rPr>
          <w:rFonts w:ascii="Times New Roman" w:cs="Times New Roman"/>
        </w:rPr>
      </w:pPr>
      <w:r>
        <w:rPr>
          <w:rFonts w:hint="eastAsia" w:ascii="Times New Roman" w:cs="Times New Roman"/>
        </w:rPr>
        <w:t xml:space="preserve">        </w:t>
      </w:r>
      <w:r>
        <w:rPr>
          <w:rFonts w:hint="eastAsia" w:ascii="Times New Roman" w:cs="Times New Roman"/>
          <w:bCs/>
        </w:rPr>
        <w:t>生态调查图</w:t>
      </w:r>
      <w:r>
        <w:rPr>
          <w:rFonts w:hint="eastAsia" w:ascii="Times New Roman" w:cs="Times New Roman"/>
        </w:rPr>
        <w:t>6 生物量现状图</w:t>
      </w:r>
    </w:p>
    <w:p>
      <w:pPr>
        <w:ind w:firstLine="0" w:firstLineChars="0"/>
        <w:rPr>
          <w:rFonts w:ascii="Times New Roman" w:cs="Times New Roman"/>
        </w:rPr>
      </w:pPr>
      <w:r>
        <w:rPr>
          <w:rFonts w:hint="eastAsia" w:ascii="Times New Roman" w:cs="Times New Roman"/>
        </w:rPr>
        <w:t xml:space="preserve">        </w:t>
      </w:r>
      <w:r>
        <w:rPr>
          <w:rFonts w:hint="eastAsia" w:ascii="Times New Roman" w:cs="Times New Roman"/>
          <w:bCs/>
        </w:rPr>
        <w:t>生态调查图</w:t>
      </w:r>
      <w:r>
        <w:rPr>
          <w:rFonts w:hint="eastAsia" w:ascii="Times New Roman" w:cs="Times New Roman"/>
        </w:rPr>
        <w:t>7 植被样方及野生动物样线调查分布图</w:t>
      </w:r>
    </w:p>
    <w:p>
      <w:pPr>
        <w:ind w:firstLine="916" w:firstLineChars="382"/>
        <w:rPr>
          <w:rFonts w:ascii="Times New Roman" w:cs="Times New Roman"/>
        </w:rPr>
      </w:pPr>
      <w:r>
        <w:rPr>
          <w:rFonts w:hint="eastAsia" w:ascii="Times New Roman" w:cs="Times New Roman"/>
          <w:bCs/>
        </w:rPr>
        <w:t>生态调查图</w:t>
      </w:r>
      <w:r>
        <w:rPr>
          <w:rFonts w:hint="eastAsia" w:ascii="Times New Roman" w:cs="Times New Roman"/>
        </w:rPr>
        <w:t>8 重点保护野生动物分布图</w:t>
      </w:r>
    </w:p>
    <w:p>
      <w:pPr>
        <w:ind w:firstLine="1080" w:firstLineChars="450"/>
        <w:rPr>
          <w:rFonts w:ascii="Times New Roman" w:cs="Times New Roman"/>
        </w:rPr>
      </w:pPr>
    </w:p>
    <w:p>
      <w:pPr>
        <w:ind w:firstLine="1080" w:firstLineChars="450"/>
        <w:rPr>
          <w:rFonts w:ascii="Times New Roman" w:cs="Times New Roman"/>
        </w:rPr>
      </w:pPr>
    </w:p>
    <w:p>
      <w:pPr>
        <w:ind w:firstLine="0" w:firstLineChars="0"/>
        <w:rPr>
          <w:rFonts w:ascii="Times New Roman" w:cs="Times New Roman"/>
          <w:b/>
          <w:bCs/>
        </w:rPr>
      </w:pPr>
      <w:r>
        <w:rPr>
          <w:rFonts w:ascii="Times New Roman" w:cs="Times New Roman"/>
          <w:b/>
          <w:bCs/>
        </w:rPr>
        <w:t>附</w:t>
      </w:r>
      <w:r>
        <w:rPr>
          <w:rFonts w:hint="eastAsia" w:ascii="Times New Roman" w:cs="Times New Roman"/>
          <w:b/>
          <w:bCs/>
        </w:rPr>
        <w:t xml:space="preserve"> </w:t>
      </w:r>
      <w:r>
        <w:rPr>
          <w:rFonts w:ascii="Times New Roman" w:cs="Times New Roman"/>
          <w:b/>
          <w:bCs/>
        </w:rPr>
        <w:t xml:space="preserve"> 件：</w:t>
      </w:r>
    </w:p>
    <w:p>
      <w:pPr>
        <w:ind w:firstLine="1080" w:firstLineChars="450"/>
        <w:rPr>
          <w:rFonts w:ascii="Times New Roman" w:cs="Times New Roman"/>
        </w:rPr>
      </w:pPr>
      <w:r>
        <w:rPr>
          <w:rFonts w:ascii="Times New Roman" w:cs="Times New Roman"/>
        </w:rPr>
        <w:t>附件1</w:t>
      </w:r>
      <w:r>
        <w:rPr>
          <w:rFonts w:hint="eastAsia" w:ascii="Times New Roman" w:cs="Times New Roman"/>
        </w:rPr>
        <w:t>环境影响评价委托书</w:t>
      </w:r>
    </w:p>
    <w:p>
      <w:pPr>
        <w:ind w:firstLine="1080" w:firstLineChars="450"/>
        <w:rPr>
          <w:rFonts w:ascii="Times New Roman" w:cs="Times New Roman"/>
        </w:rPr>
      </w:pPr>
      <w:r>
        <w:rPr>
          <w:rFonts w:ascii="Times New Roman" w:cs="Times New Roman"/>
        </w:rPr>
        <w:t>附件</w:t>
      </w:r>
      <w:r>
        <w:rPr>
          <w:rFonts w:hint="eastAsia" w:ascii="Times New Roman" w:cs="Times New Roman"/>
        </w:rPr>
        <w:t>2</w:t>
      </w:r>
      <w:r>
        <w:rPr>
          <w:rFonts w:ascii="Times New Roman" w:cs="Times New Roman"/>
        </w:rPr>
        <w:t>可研批复</w:t>
      </w:r>
    </w:p>
    <w:p>
      <w:pPr>
        <w:ind w:firstLine="1080" w:firstLineChars="450"/>
        <w:rPr>
          <w:rFonts w:ascii="Times New Roman" w:cs="Times New Roman"/>
        </w:rPr>
      </w:pPr>
      <w:r>
        <w:rPr>
          <w:rFonts w:ascii="Times New Roman" w:cs="Times New Roman"/>
        </w:rPr>
        <w:t>附件</w:t>
      </w:r>
      <w:r>
        <w:rPr>
          <w:rFonts w:hint="eastAsia" w:ascii="Times New Roman" w:cs="Times New Roman"/>
        </w:rPr>
        <w:t>3普光气田原国家环保总局环评批复文件</w:t>
      </w:r>
    </w:p>
    <w:p>
      <w:pPr>
        <w:ind w:firstLine="1080" w:firstLineChars="450"/>
        <w:rPr>
          <w:rFonts w:ascii="Times New Roman" w:cs="Times New Roman"/>
        </w:rPr>
      </w:pPr>
      <w:r>
        <w:rPr>
          <w:rFonts w:hint="eastAsia" w:ascii="Times New Roman" w:cs="Times New Roman"/>
        </w:rPr>
        <w:t>附件4普光气田开发及川气东送环保验收意见</w:t>
      </w:r>
    </w:p>
    <w:p>
      <w:pPr>
        <w:ind w:firstLine="1080" w:firstLineChars="450"/>
        <w:rPr>
          <w:rFonts w:ascii="Times New Roman" w:cs="Times New Roman"/>
        </w:rPr>
      </w:pPr>
      <w:r>
        <w:rPr>
          <w:rFonts w:hint="eastAsia" w:ascii="Times New Roman" w:cs="Times New Roman"/>
        </w:rPr>
        <w:t>附件5大湾403污水站及回注站环评批复</w:t>
      </w:r>
    </w:p>
    <w:p>
      <w:pPr>
        <w:ind w:firstLine="1080" w:firstLineChars="450"/>
        <w:rPr>
          <w:rFonts w:ascii="Times New Roman" w:cs="Times New Roman"/>
        </w:rPr>
      </w:pPr>
      <w:r>
        <w:rPr>
          <w:rFonts w:hint="eastAsia" w:ascii="Times New Roman" w:cs="Times New Roman"/>
        </w:rPr>
        <w:t>附件6大湾403污水站及回注站验收批复</w:t>
      </w:r>
    </w:p>
    <w:p>
      <w:pPr>
        <w:ind w:firstLine="1080" w:firstLineChars="450"/>
        <w:rPr>
          <w:rFonts w:ascii="Times New Roman" w:cs="Times New Roman"/>
        </w:rPr>
      </w:pPr>
      <w:r>
        <w:rPr>
          <w:rFonts w:hint="eastAsia" w:ascii="Times New Roman" w:cs="Times New Roman"/>
        </w:rPr>
        <w:t>附件7监测报告1</w:t>
      </w:r>
    </w:p>
    <w:p>
      <w:pPr>
        <w:ind w:firstLine="1080" w:firstLineChars="450"/>
        <w:rPr>
          <w:rFonts w:ascii="Times New Roman" w:cs="Times New Roman"/>
        </w:rPr>
      </w:pPr>
      <w:r>
        <w:rPr>
          <w:rFonts w:hint="eastAsia" w:ascii="Times New Roman" w:cs="Times New Roman"/>
        </w:rPr>
        <w:t>附件8监测报告2</w:t>
      </w:r>
    </w:p>
    <w:p>
      <w:pPr>
        <w:ind w:firstLine="1080" w:firstLineChars="450"/>
        <w:rPr>
          <w:rFonts w:ascii="Times New Roman" w:cs="Times New Roman"/>
        </w:rPr>
      </w:pPr>
      <w:r>
        <w:rPr>
          <w:rFonts w:hint="eastAsia" w:ascii="Times New Roman" w:cs="Times New Roman"/>
        </w:rPr>
        <w:t>附件9危化品库及危废贮存场工程环评批复</w:t>
      </w:r>
    </w:p>
    <w:p>
      <w:pPr>
        <w:ind w:firstLine="1080" w:firstLineChars="450"/>
        <w:rPr>
          <w:rFonts w:ascii="Times New Roman" w:cs="Times New Roman"/>
        </w:rPr>
      </w:pPr>
      <w:r>
        <w:rPr>
          <w:rFonts w:hint="eastAsia" w:ascii="Times New Roman" w:cs="Times New Roman"/>
        </w:rPr>
        <w:t>附件10公司危险化学品与危险废物贮存改造工程竣工环境保护验收公示</w:t>
      </w:r>
    </w:p>
    <w:p>
      <w:pPr>
        <w:ind w:firstLine="1080" w:firstLineChars="450"/>
        <w:rPr>
          <w:rFonts w:ascii="Times New Roman" w:cs="Times New Roman"/>
        </w:rPr>
      </w:pPr>
      <w:r>
        <w:rPr>
          <w:rFonts w:hint="eastAsia" w:ascii="Times New Roman" w:cs="Times New Roman"/>
        </w:rPr>
        <w:t>附件11应急预案备案文件</w:t>
      </w:r>
    </w:p>
    <w:p>
      <w:pPr>
        <w:ind w:firstLine="1080" w:firstLineChars="450"/>
        <w:rPr>
          <w:rFonts w:ascii="Times New Roman" w:cs="Times New Roman"/>
        </w:rPr>
      </w:pPr>
      <w:r>
        <w:rPr>
          <w:rFonts w:hint="eastAsia" w:ascii="Times New Roman" w:cs="Times New Roman"/>
        </w:rPr>
        <w:t>附件12大湾污水处理站监测报告</w:t>
      </w:r>
    </w:p>
    <w:p>
      <w:pPr>
        <w:ind w:firstLine="1080" w:firstLineChars="450"/>
        <w:rPr>
          <w:rFonts w:ascii="Times New Roman" w:cs="Times New Roman"/>
        </w:rPr>
      </w:pPr>
      <w:r>
        <w:rPr>
          <w:rFonts w:hint="eastAsia" w:ascii="Times New Roman" w:cs="Times New Roman"/>
        </w:rPr>
        <w:t>附件13毛开1井回注站监测报告</w:t>
      </w:r>
    </w:p>
    <w:p>
      <w:pPr>
        <w:ind w:firstLine="1080" w:firstLineChars="450"/>
        <w:rPr>
          <w:rFonts w:ascii="Times New Roman" w:cs="Times New Roman"/>
        </w:rPr>
      </w:pPr>
      <w:r>
        <w:rPr>
          <w:rFonts w:hint="eastAsia" w:ascii="Times New Roman" w:cs="Times New Roman"/>
        </w:rPr>
        <w:t>附件14达市环办发〔2021〕24号 关于进一步加强固体废物污染防治工作的通知</w:t>
      </w:r>
    </w:p>
    <w:p>
      <w:pPr>
        <w:ind w:firstLine="1080" w:firstLineChars="450"/>
        <w:rPr>
          <w:rFonts w:ascii="Times New Roman" w:cs="Times New Roman"/>
        </w:rPr>
      </w:pPr>
      <w:r>
        <w:rPr>
          <w:rFonts w:hint="eastAsia" w:ascii="Times New Roman" w:cs="Times New Roman"/>
        </w:rPr>
        <w:t>附件15达市府发〔2021〕17号</w:t>
      </w:r>
    </w:p>
    <w:p>
      <w:pPr>
        <w:ind w:firstLine="1080" w:firstLineChars="450"/>
        <w:rPr>
          <w:rFonts w:ascii="Times New Roman" w:cs="Times New Roman"/>
        </w:rPr>
      </w:pPr>
      <w:r>
        <w:rPr>
          <w:rFonts w:hint="eastAsia" w:ascii="Times New Roman" w:cs="Times New Roman"/>
        </w:rPr>
        <w:t>附件16水土流失重点保护区川水函[2017]482号</w:t>
      </w:r>
    </w:p>
    <w:p>
      <w:pPr>
        <w:ind w:firstLine="1080" w:firstLineChars="450"/>
        <w:rPr>
          <w:rFonts w:ascii="Times New Roman" w:cs="Times New Roman"/>
        </w:rPr>
      </w:pPr>
      <w:r>
        <w:rPr>
          <w:rFonts w:ascii="Times New Roman" w:cs="Times New Roman"/>
        </w:rPr>
        <w:t xml:space="preserve"> </w:t>
      </w:r>
    </w:p>
    <w:p>
      <w:pPr>
        <w:ind w:firstLine="0" w:firstLineChars="0"/>
        <w:rPr>
          <w:rFonts w:ascii="Times New Roman" w:cs="Times New Roman"/>
          <w:b/>
          <w:bCs/>
        </w:rPr>
      </w:pPr>
      <w:r>
        <w:rPr>
          <w:rFonts w:ascii="Times New Roman" w:cs="Times New Roman"/>
          <w:b/>
          <w:bCs/>
        </w:rPr>
        <w:t>附</w:t>
      </w:r>
      <w:r>
        <w:rPr>
          <w:rFonts w:hint="eastAsia" w:ascii="Times New Roman" w:cs="Times New Roman"/>
          <w:b/>
          <w:bCs/>
        </w:rPr>
        <w:t xml:space="preserve"> </w:t>
      </w:r>
      <w:r>
        <w:rPr>
          <w:rFonts w:ascii="Times New Roman" w:cs="Times New Roman"/>
          <w:b/>
          <w:bCs/>
        </w:rPr>
        <w:t xml:space="preserve"> 表：</w:t>
      </w:r>
    </w:p>
    <w:p>
      <w:pPr>
        <w:ind w:firstLine="1080" w:firstLineChars="450"/>
        <w:rPr>
          <w:rFonts w:ascii="Times New Roman" w:cs="Times New Roman"/>
        </w:rPr>
      </w:pPr>
      <w:r>
        <w:rPr>
          <w:rFonts w:ascii="Times New Roman" w:cs="Times New Roman"/>
        </w:rPr>
        <w:t>附表 建设项目环评审批基础信息表</w:t>
      </w:r>
    </w:p>
    <w:p>
      <w:pPr>
        <w:ind w:firstLine="1080" w:firstLineChars="450"/>
        <w:rPr>
          <w:rFonts w:ascii="Times New Roman" w:cs="Times New Roman"/>
        </w:rPr>
        <w:sectPr>
          <w:headerReference r:id="rId13" w:type="first"/>
          <w:footerReference r:id="rId16" w:type="first"/>
          <w:headerReference r:id="rId11" w:type="default"/>
          <w:footerReference r:id="rId14" w:type="default"/>
          <w:headerReference r:id="rId12" w:type="even"/>
          <w:footerReference r:id="rId15" w:type="even"/>
          <w:pgSz w:w="11910" w:h="16840"/>
          <w:pgMar w:top="1280" w:right="1280" w:bottom="1300" w:left="1280" w:header="885" w:footer="1097" w:gutter="0"/>
          <w:pgNumType w:fmt="upperRoman" w:start="1"/>
          <w:cols w:space="720" w:num="1"/>
        </w:sectPr>
      </w:pPr>
    </w:p>
    <w:p>
      <w:pPr>
        <w:keepNext/>
        <w:keepLines/>
        <w:ind w:firstLine="0" w:firstLineChars="0"/>
        <w:jc w:val="left"/>
        <w:outlineLvl w:val="0"/>
        <w:rPr>
          <w:rFonts w:ascii="Times New Roman" w:cs="Times New Roman"/>
          <w:kern w:val="44"/>
          <w:sz w:val="32"/>
          <w:szCs w:val="44"/>
        </w:rPr>
      </w:pPr>
      <w:bookmarkStart w:id="7" w:name="_Toc81515242"/>
      <w:r>
        <w:rPr>
          <w:rFonts w:ascii="Times New Roman" w:cs="Times New Roman"/>
          <w:b/>
          <w:kern w:val="44"/>
          <w:sz w:val="32"/>
          <w:szCs w:val="44"/>
        </w:rPr>
        <w:t>概述</w:t>
      </w:r>
      <w:bookmarkEnd w:id="0"/>
      <w:bookmarkEnd w:id="7"/>
    </w:p>
    <w:p>
      <w:pPr>
        <w:keepNext/>
        <w:keepLines/>
        <w:spacing w:before="120"/>
        <w:ind w:firstLine="0" w:firstLineChars="0"/>
        <w:outlineLvl w:val="1"/>
        <w:rPr>
          <w:rFonts w:ascii="Times New Roman" w:cs="Times New Roman"/>
          <w:b/>
          <w:bCs/>
          <w:sz w:val="28"/>
          <w:szCs w:val="32"/>
        </w:rPr>
      </w:pPr>
      <w:bookmarkStart w:id="8" w:name="_Toc19815913"/>
      <w:bookmarkStart w:id="9" w:name="_Toc81515243"/>
      <w:r>
        <w:rPr>
          <w:rFonts w:ascii="Times New Roman" w:cs="Times New Roman"/>
          <w:b/>
          <w:bCs/>
          <w:sz w:val="28"/>
          <w:szCs w:val="32"/>
        </w:rPr>
        <w:t>一、项目由来</w:t>
      </w:r>
      <w:bookmarkEnd w:id="8"/>
      <w:bookmarkEnd w:id="9"/>
    </w:p>
    <w:p>
      <w:pPr>
        <w:pStyle w:val="112"/>
        <w:ind w:firstLine="480"/>
      </w:pPr>
      <w:bookmarkStart w:id="10" w:name="_Hlk81418990"/>
      <w:bookmarkStart w:id="11" w:name="_Hlk52829788"/>
      <w:r>
        <w:rPr>
          <w:rFonts w:hint="eastAsia"/>
        </w:rPr>
        <w:t>普光气田位于四川省达州市宣汉县境内，是国内首个成功开发的高含硫千亿方大型气田，也是川气东送工程气源主产地。气田动用普光主体、大湾、毛坝、老君等气藏。</w:t>
      </w:r>
      <w:r>
        <w:t>2005</w:t>
      </w:r>
      <w:r>
        <w:rPr>
          <w:rFonts w:hint="eastAsia"/>
        </w:rPr>
        <w:t>年开始开发，</w:t>
      </w:r>
      <w:r>
        <w:t>2009</w:t>
      </w:r>
      <w:r>
        <w:rPr>
          <w:rFonts w:hint="eastAsia"/>
        </w:rPr>
        <w:t>年普光主体投产，已安全平稳高效运行</w:t>
      </w:r>
      <w:r>
        <w:t>13</w:t>
      </w:r>
      <w:r>
        <w:rPr>
          <w:rFonts w:hint="eastAsia"/>
        </w:rPr>
        <w:t>年，截至</w:t>
      </w:r>
      <w:r>
        <w:t>2023</w:t>
      </w:r>
      <w:r>
        <w:rPr>
          <w:rFonts w:hint="eastAsia"/>
        </w:rPr>
        <w:t>年</w:t>
      </w:r>
      <w:r>
        <w:t>5</w:t>
      </w:r>
      <w:r>
        <w:rPr>
          <w:rFonts w:hint="eastAsia"/>
        </w:rPr>
        <w:t>月底气田累计生产井口气</w:t>
      </w:r>
      <w:r>
        <w:t>1118</w:t>
      </w:r>
      <w:r>
        <w:rPr>
          <w:rFonts w:hint="eastAsia"/>
        </w:rPr>
        <w:t>亿方，累计投资</w:t>
      </w:r>
      <w:r>
        <w:t>471.21</w:t>
      </w:r>
      <w:r>
        <w:rPr>
          <w:rFonts w:hint="eastAsia"/>
        </w:rPr>
        <w:t>亿元。</w:t>
      </w:r>
    </w:p>
    <w:p>
      <w:pPr>
        <w:pStyle w:val="112"/>
        <w:ind w:firstLine="480"/>
        <w:rPr>
          <w:color w:val="FF0000"/>
        </w:rPr>
      </w:pPr>
      <w:r>
        <w:rPr>
          <w:rFonts w:hint="eastAsia"/>
          <w:color w:val="FF0000"/>
        </w:rPr>
        <w:t>普光陆相千佛崖组天然气产能建设项目区域位于勘查登记名称为“四川省四川盆地普光气田”及“四川省四川盆地达县－宣汉地区油气勘查”的矿权区块内，探矿权面积分别为</w:t>
      </w:r>
      <w:r>
        <w:rPr>
          <w:color w:val="FF0000"/>
        </w:rPr>
        <w:t>301.534km</w:t>
      </w:r>
      <w:r>
        <w:rPr>
          <w:color w:val="FF0000"/>
          <w:vertAlign w:val="superscript"/>
        </w:rPr>
        <w:t>2</w:t>
      </w:r>
      <w:r>
        <w:rPr>
          <w:rFonts w:hint="eastAsia"/>
          <w:color w:val="FF0000"/>
        </w:rPr>
        <w:t>及</w:t>
      </w:r>
      <w:r>
        <w:rPr>
          <w:color w:val="FF0000"/>
        </w:rPr>
        <w:t>814.475km</w:t>
      </w:r>
      <w:r>
        <w:rPr>
          <w:color w:val="FF0000"/>
          <w:vertAlign w:val="superscript"/>
        </w:rPr>
        <w:t>2</w:t>
      </w:r>
      <w:r>
        <w:rPr>
          <w:rFonts w:hint="eastAsia"/>
          <w:color w:val="FF0000"/>
        </w:rPr>
        <w:t>。</w:t>
      </w:r>
      <w:r>
        <w:rPr>
          <w:color w:val="FF0000"/>
        </w:rPr>
        <w:t>2021</w:t>
      </w:r>
      <w:r>
        <w:rPr>
          <w:rFonts w:hint="eastAsia"/>
          <w:color w:val="FF0000"/>
        </w:rPr>
        <w:t>年</w:t>
      </w:r>
      <w:r>
        <w:rPr>
          <w:color w:val="FF0000"/>
        </w:rPr>
        <w:t>3</w:t>
      </w:r>
      <w:r>
        <w:rPr>
          <w:rFonts w:hint="eastAsia"/>
          <w:color w:val="FF0000"/>
        </w:rPr>
        <w:t>月上报普光气田陆相千佛崖组千一段探明含气面积</w:t>
      </w:r>
      <w:r>
        <w:rPr>
          <w:color w:val="FF0000"/>
        </w:rPr>
        <w:t>8.47km</w:t>
      </w:r>
      <w:r>
        <w:rPr>
          <w:color w:val="FF0000"/>
          <w:vertAlign w:val="superscript"/>
        </w:rPr>
        <w:t>2</w:t>
      </w:r>
      <w:r>
        <w:rPr>
          <w:rFonts w:hint="eastAsia"/>
          <w:color w:val="FF0000"/>
        </w:rPr>
        <w:t>，天然气探明地质储量</w:t>
      </w:r>
      <w:r>
        <w:rPr>
          <w:color w:val="FF0000"/>
        </w:rPr>
        <w:t>8.75</w:t>
      </w:r>
      <w:r>
        <w:rPr>
          <w:rFonts w:hint="eastAsia"/>
          <w:color w:val="FF0000"/>
        </w:rPr>
        <w:t>×</w:t>
      </w:r>
      <w:r>
        <w:rPr>
          <w:color w:val="FF0000"/>
        </w:rPr>
        <w:t>10</w:t>
      </w:r>
      <w:r>
        <w:rPr>
          <w:color w:val="FF0000"/>
          <w:vertAlign w:val="superscript"/>
        </w:rPr>
        <w:t>8</w:t>
      </w:r>
      <w:r>
        <w:rPr>
          <w:color w:val="FF0000"/>
        </w:rPr>
        <w:t>m</w:t>
      </w:r>
      <w:r>
        <w:rPr>
          <w:color w:val="FF0000"/>
          <w:vertAlign w:val="superscript"/>
        </w:rPr>
        <w:t>3</w:t>
      </w:r>
      <w:r>
        <w:rPr>
          <w:rFonts w:hint="eastAsia"/>
          <w:color w:val="FF0000"/>
        </w:rPr>
        <w:t>。</w:t>
      </w:r>
    </w:p>
    <w:p>
      <w:pPr>
        <w:pStyle w:val="112"/>
        <w:ind w:firstLine="480"/>
        <w:rPr>
          <w:color w:val="FF0000"/>
        </w:rPr>
      </w:pPr>
      <w:r>
        <w:rPr>
          <w:rFonts w:hint="eastAsia"/>
          <w:color w:val="FF0000"/>
        </w:rPr>
        <w:t>为了配合开发部门完成气井产量等评估工作，满足普光陆相气藏勘探评价的需求，为后续普光陆相气井的规模性开发提供现场经验，也为提高气田产能贡献，满足气田稳产和可持续发展的需要，中国石油化工股份有限公司中原油田普光分公司拟在</w:t>
      </w:r>
      <w:r>
        <w:rPr>
          <w:rFonts w:hint="eastAsia"/>
          <w:bCs/>
          <w:color w:val="FF0000"/>
        </w:rPr>
        <w:t>四川省达州市宣汉县黄金镇沙场村实施普光气田普陆4-1H井产能建设项目（</w:t>
      </w:r>
      <w:r>
        <w:rPr>
          <w:bCs/>
          <w:color w:val="FF0000"/>
        </w:rPr>
        <w:t>本项目为</w:t>
      </w:r>
      <w:r>
        <w:rPr>
          <w:rFonts w:hint="eastAsia"/>
          <w:bCs/>
          <w:color w:val="FF0000"/>
        </w:rPr>
        <w:t>天然气开采，</w:t>
      </w:r>
      <w:r>
        <w:rPr>
          <w:bCs/>
          <w:color w:val="FF0000"/>
        </w:rPr>
        <w:t>不属于区块建设项目</w:t>
      </w:r>
      <w:r>
        <w:rPr>
          <w:rFonts w:hint="eastAsia"/>
          <w:bCs/>
          <w:color w:val="FF0000"/>
        </w:rPr>
        <w:t>）</w:t>
      </w:r>
      <w:r>
        <w:rPr>
          <w:color w:val="FF0000"/>
        </w:rPr>
        <w:t>。</w:t>
      </w:r>
    </w:p>
    <w:p>
      <w:pPr>
        <w:pStyle w:val="112"/>
        <w:ind w:firstLine="480"/>
      </w:pPr>
      <w:bookmarkStart w:id="12" w:name="OLE_LINK40"/>
      <w:bookmarkStart w:id="13" w:name="_Hlk80477079"/>
      <w:r>
        <w:rPr>
          <w:rFonts w:hint="eastAsia"/>
        </w:rPr>
        <w:t>本项目</w:t>
      </w:r>
      <w:r>
        <w:t>具体建设内容为：</w:t>
      </w:r>
    </w:p>
    <w:p>
      <w:pPr>
        <w:pStyle w:val="112"/>
        <w:ind w:firstLine="480"/>
        <w:rPr>
          <w:bCs/>
        </w:rPr>
      </w:pPr>
      <w:bookmarkStart w:id="14" w:name="OLE_LINK145"/>
      <w:bookmarkStart w:id="15" w:name="OLE_LINK98"/>
      <w:bookmarkStart w:id="16" w:name="OLE_LINK281"/>
      <w:bookmarkStart w:id="17" w:name="_Hlk80437017"/>
      <w:r>
        <w:rPr>
          <w:rFonts w:hint="eastAsia"/>
          <w:bCs/>
        </w:rPr>
        <w:t>（1）气藏地质与气藏工程</w:t>
      </w:r>
    </w:p>
    <w:p>
      <w:pPr>
        <w:pStyle w:val="112"/>
        <w:ind w:firstLine="480"/>
        <w:rPr>
          <w:bCs/>
        </w:rPr>
      </w:pPr>
      <w:r>
        <w:rPr>
          <w:rFonts w:hint="eastAsia"/>
          <w:bCs/>
        </w:rPr>
        <w:t>普光东向斜构造是毛坝东断层和东岳寨断层控制下的单斜构造，为动用东部浊积砂体储量、最大限度提高储量动用程度。预计增加井控储量3.31亿立方米，凝析油地质储量2.37万吨。新增经济可采储量1.03亿立方米，新建产能0.172亿立方米。</w:t>
      </w:r>
    </w:p>
    <w:p>
      <w:pPr>
        <w:pStyle w:val="112"/>
        <w:ind w:firstLine="480"/>
        <w:rPr>
          <w:bCs/>
        </w:rPr>
      </w:pPr>
      <w:r>
        <w:rPr>
          <w:rFonts w:hint="eastAsia"/>
          <w:bCs/>
        </w:rPr>
        <w:t>普陆4-1H井配产5.27万方/天，日产油4吨/天。稳产期为2年，预计15年期末累产气1.03亿立方米，凝析油0.72万吨。</w:t>
      </w:r>
    </w:p>
    <w:p>
      <w:pPr>
        <w:pStyle w:val="112"/>
        <w:ind w:firstLine="480"/>
        <w:rPr>
          <w:bCs/>
        </w:rPr>
      </w:pPr>
      <w:r>
        <w:rPr>
          <w:rFonts w:hint="eastAsia"/>
          <w:bCs/>
        </w:rPr>
        <w:t>（2）钻前工程</w:t>
      </w:r>
    </w:p>
    <w:p>
      <w:pPr>
        <w:pStyle w:val="112"/>
        <w:ind w:firstLine="480"/>
        <w:rPr>
          <w:bCs/>
        </w:rPr>
      </w:pPr>
      <w:r>
        <w:rPr>
          <w:rFonts w:hint="eastAsia"/>
          <w:bCs/>
        </w:rPr>
        <w:t>利旧井场1座，新建方井1座、加长井架基础1座、利旧放喷池1座、清水池1座、循环罐、储备罐等设备基础，新建井场配套设施、进场道路100米等。</w:t>
      </w:r>
    </w:p>
    <w:p>
      <w:pPr>
        <w:pStyle w:val="112"/>
        <w:ind w:firstLine="480"/>
        <w:rPr>
          <w:bCs/>
        </w:rPr>
      </w:pPr>
      <w:r>
        <w:rPr>
          <w:rFonts w:hint="eastAsia"/>
          <w:bCs/>
        </w:rPr>
        <w:t>（3）钻井工程</w:t>
      </w:r>
    </w:p>
    <w:p>
      <w:pPr>
        <w:pStyle w:val="112"/>
        <w:ind w:firstLine="480"/>
        <w:rPr>
          <w:bCs/>
        </w:rPr>
      </w:pPr>
      <w:r>
        <w:rPr>
          <w:rFonts w:hint="eastAsia"/>
          <w:bCs/>
        </w:rPr>
        <w:t>设计井深5552米，井型为水平井，水平段长1851米，造斜点2730米。采用三开井身结构：一开选用φ406.4毫米钻头钻至井深351米，下φ339.7毫米套管；二开选用φ311.2毫米钻头钻至井深3088米，下入φ244.5毫米套管；三开采用旋转导向，φ215.9毫米钻头钻至完钻井深，下入139.7毫米套管。自造斜段至井底采用随钻导向系列的自然伽马和井斜方位测井。</w:t>
      </w:r>
    </w:p>
    <w:p>
      <w:pPr>
        <w:pStyle w:val="112"/>
        <w:ind w:firstLine="480"/>
        <w:rPr>
          <w:bCs/>
        </w:rPr>
      </w:pPr>
      <w:r>
        <w:rPr>
          <w:rFonts w:hint="eastAsia"/>
          <w:bCs/>
        </w:rPr>
        <w:t>（4）采气工程</w:t>
      </w:r>
    </w:p>
    <w:p>
      <w:pPr>
        <w:pStyle w:val="112"/>
        <w:ind w:firstLine="480"/>
        <w:rPr>
          <w:bCs/>
        </w:rPr>
      </w:pPr>
      <w:r>
        <w:rPr>
          <w:rFonts w:hint="eastAsia"/>
          <w:bCs/>
        </w:rPr>
        <w:t>采用桥塞分段、套管注入体积压裂工艺，开展二氧化碳前置压裂先导试验，二氧化碳注入排量2-4立方米/分钟，总量2100立方米。设计分14段压裂改造，施工压力89.6兆帕，施工排量18立方米/分钟，总液量23060立方米，总砂量1832立方米。首段采用连续油管射孔，后续采用泵送桥塞+电缆射孔联作工艺。完井采用φ60.3</w:t>
      </w:r>
      <w:r>
        <w:rPr>
          <w:bCs/>
        </w:rPr>
        <w:t>×</w:t>
      </w:r>
      <w:r>
        <w:rPr>
          <w:rFonts w:hint="eastAsia"/>
          <w:bCs/>
        </w:rPr>
        <w:t>4.83毫米N80EU扣油管，DD级70兆帕采气井口，配套70兆帕地面控制系统。设计开展地面微地震人工裂缝监测，各压裂段开展分段改造产能评价。</w:t>
      </w:r>
    </w:p>
    <w:p>
      <w:pPr>
        <w:pStyle w:val="112"/>
        <w:ind w:firstLine="480"/>
        <w:rPr>
          <w:bCs/>
        </w:rPr>
      </w:pPr>
      <w:r>
        <w:rPr>
          <w:rFonts w:hint="eastAsia"/>
          <w:bCs/>
        </w:rPr>
        <w:t>（5）地面集输工程</w:t>
      </w:r>
    </w:p>
    <w:p>
      <w:pPr>
        <w:pStyle w:val="112"/>
        <w:ind w:firstLine="480"/>
      </w:pPr>
      <w:r>
        <w:rPr>
          <w:rFonts w:hint="eastAsia"/>
          <w:bCs/>
        </w:rPr>
        <w:t>新建普陆4-1H井地面集输装置1套，采用湿气外输工艺，井口来气经除砂、加热荣流、气液分离、闪蒸分离后气、水分输进P107集气站，凝析油在站内拉运；配套地面流程及自控、电力、通讯等设施。普陆4-1H井因采用注二氧化碳采气工艺，地面采用加注缓蚀剂、站内设备采用内涂层等抗腐蚀工艺。拆除并恢复站内普陆4井已建的井口流程、水套加热炉、乙二醇加注撬、管网等设施。预计永久性征地13. 08亩</w:t>
      </w:r>
      <w:r>
        <w:rPr>
          <w:rFonts w:hint="eastAsia"/>
        </w:rPr>
        <w:t>。</w:t>
      </w:r>
    </w:p>
    <w:bookmarkEnd w:id="12"/>
    <w:bookmarkEnd w:id="14"/>
    <w:bookmarkEnd w:id="15"/>
    <w:bookmarkEnd w:id="16"/>
    <w:p>
      <w:pPr>
        <w:pStyle w:val="112"/>
        <w:ind w:firstLine="480"/>
      </w:pPr>
      <w:r>
        <w:rPr>
          <w:rFonts w:hint="eastAsia"/>
        </w:rPr>
        <w:t>本</w:t>
      </w:r>
      <w:r>
        <w:t>项目总投资为</w:t>
      </w:r>
      <w:r>
        <w:rPr>
          <w:rFonts w:hint="eastAsia"/>
        </w:rPr>
        <w:t>7765万</w:t>
      </w:r>
      <w:r>
        <w:t>元，其中环保投资</w:t>
      </w:r>
      <w:r>
        <w:rPr>
          <w:rFonts w:hint="eastAsia"/>
        </w:rPr>
        <w:t>45</w:t>
      </w:r>
      <w:r>
        <w:t>0万元，占项目总投资的</w:t>
      </w:r>
      <w:r>
        <w:rPr>
          <w:rFonts w:hint="eastAsia"/>
        </w:rPr>
        <w:t>5.8</w:t>
      </w:r>
      <w:r>
        <w:t>%</w:t>
      </w:r>
      <w:r>
        <w:rPr>
          <w:rFonts w:hint="eastAsia"/>
        </w:rPr>
        <w:t>。</w:t>
      </w:r>
    </w:p>
    <w:bookmarkEnd w:id="13"/>
    <w:bookmarkEnd w:id="17"/>
    <w:p>
      <w:pPr>
        <w:pStyle w:val="112"/>
        <w:ind w:firstLine="480"/>
      </w:pPr>
      <w:r>
        <w:t>根据《中华人民共和国环境保护法》（2015年1月1日实施）、《中华人民共和国环境影响评价法》（2018年12月29日实施）、《建设项目环境影响评价分类管理名录》（2021年版）等的有关规定，建设过程中或者建成投产后可能对环境产生影响的新建、扩建、改建、迁建项目及区域开发建设项目，必须执行环境影响评价制度。根据国家生态环境部制定的《建设项目环境影响评价分类管理名录》（2021年版）中的相关要求，本项目属于“五、石油和天然气开采业07-8、陆地天然气开采</w:t>
      </w:r>
      <w:r>
        <w:rPr>
          <w:rFonts w:hint="eastAsia"/>
        </w:rPr>
        <w:t>0721-</w:t>
      </w:r>
      <w:r>
        <w:t>涉及环境敏感区的（含内部集输管线建设）”。本项目涉及</w:t>
      </w:r>
      <w:r>
        <w:rPr>
          <w:rFonts w:hint="eastAsia"/>
        </w:rPr>
        <w:t>嘉陵江及沱江中下游国家级水土流失重点治理区（宣汉县水土保持重点防治分区图见附图17）</w:t>
      </w:r>
      <w:r>
        <w:t>，故应当编制环境影响报告书。</w:t>
      </w:r>
    </w:p>
    <w:bookmarkEnd w:id="10"/>
    <w:p>
      <w:pPr>
        <w:pStyle w:val="112"/>
        <w:ind w:firstLine="480"/>
      </w:pPr>
      <w:r>
        <w:t>中国石油化工股份有限公司中原油田普光分公司委托</w:t>
      </w:r>
      <w:r>
        <w:rPr>
          <w:rFonts w:hint="eastAsia"/>
        </w:rPr>
        <w:t>重庆后科环保有限责任公司</w:t>
      </w:r>
      <w:r>
        <w:t>承担本项目环境影响评价工作。接受委托后，我公司立即成立项目组，并随即对该项目建设沿线及其周边的自然环境进行踏勘调查，并收集了与项目有关的建设及技术资料，根据建设项目环境影响评价导则、规范及要求，编制完成了《普光气田普陆4-1H井产能建设项目环境影响报告书》。</w:t>
      </w:r>
    </w:p>
    <w:p>
      <w:pPr>
        <w:keepNext/>
        <w:keepLines/>
        <w:spacing w:before="120"/>
        <w:ind w:firstLine="0" w:firstLineChars="0"/>
        <w:outlineLvl w:val="1"/>
        <w:rPr>
          <w:rFonts w:ascii="Times New Roman" w:cs="Times New Roman"/>
          <w:b/>
          <w:bCs/>
          <w:sz w:val="28"/>
          <w:szCs w:val="32"/>
        </w:rPr>
      </w:pPr>
      <w:bookmarkStart w:id="18" w:name="_Toc81515244"/>
      <w:bookmarkStart w:id="19" w:name="_Toc19815914"/>
      <w:r>
        <w:rPr>
          <w:rFonts w:ascii="Times New Roman" w:cs="Times New Roman"/>
          <w:b/>
          <w:bCs/>
          <w:sz w:val="28"/>
          <w:szCs w:val="32"/>
        </w:rPr>
        <w:t>二、项目特点</w:t>
      </w:r>
      <w:bookmarkEnd w:id="18"/>
      <w:bookmarkEnd w:id="19"/>
    </w:p>
    <w:p>
      <w:pPr>
        <w:pStyle w:val="112"/>
        <w:ind w:firstLine="480"/>
      </w:pPr>
      <w:r>
        <w:t>本项目为天然气</w:t>
      </w:r>
      <w:r>
        <w:rPr>
          <w:rFonts w:hint="eastAsia"/>
        </w:rPr>
        <w:t>开采和</w:t>
      </w:r>
      <w:r>
        <w:t>内部集输工程，具有如下特点：</w:t>
      </w:r>
    </w:p>
    <w:p>
      <w:pPr>
        <w:pStyle w:val="112"/>
        <w:ind w:firstLine="480"/>
      </w:pPr>
      <w:r>
        <w:rPr>
          <w:rFonts w:hint="eastAsia"/>
        </w:rPr>
        <w:t>（1）本项目涉及新建1口普陆4-1H致密气井的</w:t>
      </w:r>
      <w:r>
        <w:rPr>
          <w:rFonts w:hint="eastAsia"/>
          <w:bCs/>
        </w:rPr>
        <w:t>钻井工程，施工期主要为污染影响，</w:t>
      </w:r>
      <w:bookmarkStart w:id="20" w:name="OLE_LINK140"/>
      <w:bookmarkStart w:id="21" w:name="OLE_LINK139"/>
      <w:r>
        <w:rPr>
          <w:rFonts w:hint="eastAsia"/>
          <w:bCs/>
        </w:rPr>
        <w:t>主要体现在</w:t>
      </w:r>
      <w:bookmarkStart w:id="22" w:name="OLE_LINK138"/>
      <w:r>
        <w:rPr>
          <w:bCs/>
        </w:rPr>
        <w:t>钻井、完井过程中会产生废气、废水、废泥浆、岩屑、噪声</w:t>
      </w:r>
      <w:r>
        <w:rPr>
          <w:rFonts w:hint="eastAsia"/>
          <w:bCs/>
        </w:rPr>
        <w:t>、</w:t>
      </w:r>
      <w:r>
        <w:rPr>
          <w:bCs/>
        </w:rPr>
        <w:t>环境风险等</w:t>
      </w:r>
      <w:r>
        <w:rPr>
          <w:rFonts w:hint="eastAsia"/>
          <w:bCs/>
        </w:rPr>
        <w:t>以及</w:t>
      </w:r>
      <w:r>
        <w:rPr>
          <w:bCs/>
        </w:rPr>
        <w:t>钻井过程中可能造成地下水的污染</w:t>
      </w:r>
      <w:bookmarkEnd w:id="20"/>
      <w:bookmarkEnd w:id="21"/>
      <w:bookmarkEnd w:id="22"/>
      <w:r>
        <w:rPr>
          <w:rFonts w:hint="eastAsia"/>
          <w:bCs/>
        </w:rPr>
        <w:t>。</w:t>
      </w:r>
    </w:p>
    <w:p>
      <w:pPr>
        <w:pStyle w:val="112"/>
        <w:ind w:firstLine="480"/>
      </w:pPr>
      <w:r>
        <w:t>（</w:t>
      </w:r>
      <w:r>
        <w:rPr>
          <w:rFonts w:hint="eastAsia"/>
        </w:rPr>
        <w:t>2</w:t>
      </w:r>
      <w:r>
        <w:t>）天然气</w:t>
      </w:r>
      <w:r>
        <w:rPr>
          <w:rFonts w:hint="eastAsia"/>
        </w:rPr>
        <w:t>开采</w:t>
      </w:r>
      <w:r>
        <w:t>和内部集输工程主要为生态影响，主要体现在施工期管线管沟开挖对沿线植被、土壤造成的破坏，同时会产生一定的水土流失影响。</w:t>
      </w:r>
    </w:p>
    <w:p>
      <w:pPr>
        <w:pStyle w:val="112"/>
        <w:ind w:firstLine="480"/>
        <w:rPr>
          <w:color w:val="FF0000"/>
        </w:rPr>
      </w:pPr>
      <w:r>
        <w:rPr>
          <w:color w:val="FF0000"/>
        </w:rPr>
        <w:t>（</w:t>
      </w:r>
      <w:r>
        <w:rPr>
          <w:rFonts w:hint="eastAsia"/>
          <w:color w:val="FF0000"/>
        </w:rPr>
        <w:t>3</w:t>
      </w:r>
      <w:r>
        <w:rPr>
          <w:color w:val="FF0000"/>
        </w:rPr>
        <w:t>）本项目输送介质为天然气和凝析油，运营期需考虑环境风险影响。</w:t>
      </w:r>
    </w:p>
    <w:p>
      <w:pPr>
        <w:keepNext/>
        <w:keepLines/>
        <w:spacing w:before="120"/>
        <w:ind w:firstLine="0" w:firstLineChars="0"/>
        <w:outlineLvl w:val="1"/>
        <w:rPr>
          <w:rFonts w:ascii="Times New Roman" w:cs="Times New Roman"/>
          <w:b/>
          <w:bCs/>
          <w:sz w:val="28"/>
          <w:szCs w:val="32"/>
        </w:rPr>
      </w:pPr>
      <w:bookmarkStart w:id="23" w:name="_Toc81515245"/>
      <w:r>
        <w:rPr>
          <w:rFonts w:ascii="Times New Roman" w:cs="Times New Roman"/>
          <w:b/>
          <w:bCs/>
          <w:sz w:val="28"/>
          <w:szCs w:val="32"/>
        </w:rPr>
        <w:t>三、环境影响评价工作过程</w:t>
      </w:r>
      <w:bookmarkEnd w:id="23"/>
    </w:p>
    <w:p>
      <w:pPr>
        <w:pStyle w:val="112"/>
        <w:ind w:firstLine="482"/>
        <w:rPr>
          <w:b/>
          <w:bCs/>
        </w:rPr>
      </w:pPr>
      <w:r>
        <w:rPr>
          <w:b/>
          <w:bCs/>
        </w:rPr>
        <w:t>1、准备阶段</w:t>
      </w:r>
    </w:p>
    <w:p>
      <w:pPr>
        <w:pStyle w:val="112"/>
        <w:ind w:firstLine="480"/>
      </w:pPr>
      <w:r>
        <w:t>我公司承担本项目环评工作后，根据建设单位提供的项目资料，确立了如下环评工作思路：</w:t>
      </w:r>
    </w:p>
    <w:p>
      <w:pPr>
        <w:pStyle w:val="112"/>
        <w:ind w:firstLine="436" w:firstLineChars="182"/>
      </w:pPr>
      <w:r>
        <w:rPr>
          <w:rFonts w:hint="eastAsia" w:ascii="宋体" w:hAnsi="宋体"/>
        </w:rPr>
        <w:t>①</w:t>
      </w:r>
      <w:r>
        <w:rPr>
          <w:rFonts w:hint="eastAsia"/>
        </w:rPr>
        <w:t xml:space="preserve"> </w:t>
      </w:r>
      <w:r>
        <w:t>编制环境影响评价工作方案；</w:t>
      </w:r>
    </w:p>
    <w:p>
      <w:pPr>
        <w:pStyle w:val="112"/>
        <w:ind w:firstLine="480"/>
      </w:pPr>
      <w:r>
        <w:rPr>
          <w:rFonts w:hint="eastAsia" w:ascii="宋体" w:hAnsi="宋体" w:cs="宋体"/>
        </w:rPr>
        <w:t>②</w:t>
      </w:r>
      <w:r>
        <w:t xml:space="preserve"> 根据项目设计资料，针对</w:t>
      </w:r>
      <w:bookmarkStart w:id="24" w:name="_Hlk80469903"/>
      <w:r>
        <w:t>钻井工程</w:t>
      </w:r>
      <w:r>
        <w:rPr>
          <w:rFonts w:hint="eastAsia"/>
        </w:rPr>
        <w:t>、</w:t>
      </w:r>
      <w:r>
        <w:t>天然气开采和内部集输工程</w:t>
      </w:r>
      <w:bookmarkEnd w:id="24"/>
      <w:r>
        <w:t>建设特点，进行了环境影响识别；</w:t>
      </w:r>
    </w:p>
    <w:p>
      <w:pPr>
        <w:pStyle w:val="112"/>
        <w:ind w:firstLine="480"/>
      </w:pPr>
      <w:r>
        <w:rPr>
          <w:rFonts w:hint="eastAsia" w:ascii="宋体" w:hAnsi="宋体" w:cs="宋体"/>
        </w:rPr>
        <w:t>③</w:t>
      </w:r>
      <w:r>
        <w:t xml:space="preserve"> 在影响识别的基础上，对项目可能产生的生态环境、大气环境、地表水环境、地下水环境</w:t>
      </w:r>
      <w:r>
        <w:rPr>
          <w:rFonts w:hint="eastAsia"/>
        </w:rPr>
        <w:t>、</w:t>
      </w:r>
      <w:r>
        <w:t>声环境</w:t>
      </w:r>
      <w:r>
        <w:rPr>
          <w:rFonts w:hint="eastAsia"/>
        </w:rPr>
        <w:t>、土壤</w:t>
      </w:r>
      <w:r>
        <w:t>环境</w:t>
      </w:r>
      <w:r>
        <w:rPr>
          <w:rFonts w:hint="eastAsia"/>
        </w:rPr>
        <w:t>、</w:t>
      </w:r>
      <w:r>
        <w:t>固体废物等影响和环境风险进行深入分析及预测，并论证工程的环境可行性；</w:t>
      </w:r>
    </w:p>
    <w:p>
      <w:pPr>
        <w:pStyle w:val="112"/>
        <w:ind w:firstLine="480"/>
      </w:pPr>
      <w:r>
        <w:rPr>
          <w:rFonts w:hint="eastAsia" w:ascii="宋体" w:hAnsi="宋体" w:cs="宋体"/>
        </w:rPr>
        <w:t>④</w:t>
      </w:r>
      <w:r>
        <w:t xml:space="preserve"> 对工程可能带来的环境影响，提出有针对性的环境保护措施和环境风险防控措施。</w:t>
      </w:r>
    </w:p>
    <w:p>
      <w:pPr>
        <w:pStyle w:val="112"/>
        <w:ind w:firstLine="482"/>
        <w:rPr>
          <w:b/>
          <w:bCs/>
        </w:rPr>
      </w:pPr>
      <w:r>
        <w:rPr>
          <w:b/>
          <w:bCs/>
        </w:rPr>
        <w:t>2、环境影响评价工作阶段</w:t>
      </w:r>
    </w:p>
    <w:p>
      <w:pPr>
        <w:pStyle w:val="112"/>
        <w:ind w:firstLine="480"/>
      </w:pPr>
      <w:r>
        <w:rPr>
          <w:rFonts w:hint="eastAsia" w:ascii="宋体" w:hAnsi="宋体" w:cs="宋体"/>
        </w:rPr>
        <w:t>①</w:t>
      </w:r>
      <w:r>
        <w:t xml:space="preserve"> 环境敏感区筛查</w:t>
      </w:r>
    </w:p>
    <w:p>
      <w:pPr>
        <w:pStyle w:val="112"/>
        <w:ind w:firstLine="480"/>
      </w:pPr>
      <w:r>
        <w:t>受到委托后，我单位多次对区域进行了详查，查明</w:t>
      </w:r>
      <w:r>
        <w:rPr>
          <w:rFonts w:hint="eastAsia"/>
        </w:rPr>
        <w:t>评价</w:t>
      </w:r>
      <w:r>
        <w:t>范围内饮用水源保护区、永久基本农田、风景名胜区、森林公园、自然保护区、水土流失重点预防区和重点治理区等各类环境敏感区的情况。</w:t>
      </w:r>
    </w:p>
    <w:p>
      <w:pPr>
        <w:pStyle w:val="112"/>
        <w:ind w:firstLine="480"/>
      </w:pPr>
      <w:r>
        <w:rPr>
          <w:rFonts w:hint="eastAsia" w:ascii="宋体" w:hAnsi="宋体" w:cs="宋体"/>
        </w:rPr>
        <w:t>②</w:t>
      </w:r>
      <w:r>
        <w:t xml:space="preserve"> 环境现状调查</w:t>
      </w:r>
    </w:p>
    <w:p>
      <w:pPr>
        <w:pStyle w:val="112"/>
        <w:ind w:firstLine="480"/>
      </w:pPr>
      <w:r>
        <w:t>结合项目区已有现状监测资料，本评价补充完善了项目区域地表水环境、地下水环境</w:t>
      </w:r>
      <w:r>
        <w:rPr>
          <w:rFonts w:hint="eastAsia"/>
        </w:rPr>
        <w:t>、</w:t>
      </w:r>
      <w:r>
        <w:t>声环境、土壤环境等现状监测工作。</w:t>
      </w:r>
    </w:p>
    <w:p>
      <w:pPr>
        <w:pStyle w:val="112"/>
        <w:ind w:firstLine="480"/>
      </w:pPr>
      <w:r>
        <w:rPr>
          <w:rFonts w:hint="eastAsia" w:ascii="宋体" w:hAnsi="宋体" w:cs="宋体"/>
        </w:rPr>
        <w:t>③</w:t>
      </w:r>
      <w:r>
        <w:t xml:space="preserve"> 环境影响评价工作</w:t>
      </w:r>
    </w:p>
    <w:p>
      <w:pPr>
        <w:pStyle w:val="112"/>
        <w:ind w:firstLine="480"/>
      </w:pPr>
      <w:r>
        <w:t>根据调查、收集到的有关文件、资料，在环境现状调查结果的基础上，对建设项目对各环境要素的环境影响和环境风险进行了分析、预测及评价，提出环境保护措施。</w:t>
      </w:r>
    </w:p>
    <w:p>
      <w:pPr>
        <w:pStyle w:val="112"/>
        <w:ind w:firstLine="482"/>
        <w:rPr>
          <w:b/>
          <w:bCs/>
        </w:rPr>
      </w:pPr>
      <w:r>
        <w:rPr>
          <w:b/>
          <w:bCs/>
        </w:rPr>
        <w:t>3、编制环境影响报告书</w:t>
      </w:r>
    </w:p>
    <w:p>
      <w:pPr>
        <w:pStyle w:val="112"/>
        <w:ind w:firstLine="480"/>
      </w:pPr>
      <w:r>
        <w:t>整理各环境要素的分析、预测成果，评价工程建设对各环境要素的影响，编制环境影响报告书，论证工程建设的环境可行性。</w:t>
      </w:r>
    </w:p>
    <w:p>
      <w:pPr>
        <w:pStyle w:val="112"/>
        <w:ind w:firstLine="482"/>
        <w:rPr>
          <w:b/>
          <w:bCs/>
        </w:rPr>
      </w:pPr>
      <w:r>
        <w:rPr>
          <w:b/>
          <w:bCs/>
        </w:rPr>
        <w:t>4、公众参与</w:t>
      </w:r>
    </w:p>
    <w:p>
      <w:pPr>
        <w:pStyle w:val="112"/>
        <w:ind w:firstLine="480"/>
      </w:pPr>
      <w:r>
        <w:t>评价过程中建设单位按照《环境影响评价公众参与办法》（生态环境部令 第4号）开展了公众参与调查并编制了说明，本项目将公众参与结论纳入环评结论形成环评报告。</w:t>
      </w:r>
    </w:p>
    <w:bookmarkEnd w:id="11"/>
    <w:p>
      <w:pPr>
        <w:keepNext/>
        <w:keepLines/>
        <w:spacing w:before="120"/>
        <w:ind w:firstLine="0" w:firstLineChars="0"/>
        <w:outlineLvl w:val="1"/>
        <w:rPr>
          <w:rFonts w:ascii="Times New Roman" w:cs="Times New Roman"/>
          <w:b/>
          <w:bCs/>
          <w:sz w:val="28"/>
          <w:szCs w:val="32"/>
        </w:rPr>
      </w:pPr>
      <w:bookmarkStart w:id="25" w:name="_Toc19815915"/>
      <w:bookmarkStart w:id="26" w:name="_Toc81515246"/>
      <w:r>
        <w:rPr>
          <w:rFonts w:ascii="Times New Roman" w:cs="Times New Roman"/>
          <w:b/>
          <w:bCs/>
          <w:sz w:val="28"/>
          <w:szCs w:val="32"/>
        </w:rPr>
        <w:t>四、</w:t>
      </w:r>
      <w:bookmarkEnd w:id="25"/>
      <w:r>
        <w:rPr>
          <w:rFonts w:ascii="Times New Roman" w:cs="Times New Roman"/>
          <w:b/>
          <w:bCs/>
          <w:sz w:val="28"/>
          <w:szCs w:val="32"/>
        </w:rPr>
        <w:t>分析判定相关情况</w:t>
      </w:r>
      <w:bookmarkEnd w:id="26"/>
    </w:p>
    <w:p>
      <w:pPr>
        <w:pStyle w:val="112"/>
        <w:ind w:firstLine="480"/>
      </w:pPr>
      <w:r>
        <w:t>本项目符合</w:t>
      </w:r>
      <w:r>
        <w:rPr>
          <w:color w:val="FF0000"/>
        </w:rPr>
        <w:t>《产业结构调整指导目录（20</w:t>
      </w:r>
      <w:r>
        <w:rPr>
          <w:rFonts w:hint="eastAsia"/>
          <w:color w:val="FF0000"/>
        </w:rPr>
        <w:t>24</w:t>
      </w:r>
      <w:r>
        <w:rPr>
          <w:color w:val="FF0000"/>
        </w:rPr>
        <w:t>年本）》</w:t>
      </w:r>
      <w:r>
        <w:t>及相关环保政策要求，符合</w:t>
      </w:r>
      <w:r>
        <w:rPr>
          <w:rFonts w:hint="eastAsia"/>
          <w:bCs/>
        </w:rPr>
        <w:t>《“十四五”现代能源体系规划》</w:t>
      </w:r>
      <w:r>
        <w:rPr>
          <w:rFonts w:hint="eastAsia"/>
        </w:rPr>
        <w:t>（发改能源〔2022〕210号）</w:t>
      </w:r>
      <w:r>
        <w:t>、</w:t>
      </w:r>
      <w:r>
        <w:rPr>
          <w:rFonts w:hint="eastAsia"/>
        </w:rPr>
        <w:t>《长江经济带生态环境保护规划》</w:t>
      </w:r>
      <w:r>
        <w:t>、</w:t>
      </w:r>
      <w:r>
        <w:rPr>
          <w:rFonts w:hint="eastAsia"/>
        </w:rPr>
        <w:t>《四川省主体功能区规划》（川府发〔2013〕16号文）、《四川省“十四五”能源发展规划》（川府发〔2022〕8号）</w:t>
      </w:r>
      <w:r>
        <w:t>、</w:t>
      </w:r>
      <w:r>
        <w:rPr>
          <w:rFonts w:hint="eastAsia"/>
          <w:kern w:val="2"/>
          <w:szCs w:val="22"/>
        </w:rPr>
        <w:t>《四川省、重庆市长江经济带发展负面清单实施细则（试行，2022年版）》</w:t>
      </w:r>
      <w:r>
        <w:t>的相关要求</w:t>
      </w:r>
      <w:r>
        <w:rPr>
          <w:rFonts w:hint="eastAsia"/>
        </w:rPr>
        <w:t>。</w:t>
      </w:r>
    </w:p>
    <w:p>
      <w:pPr>
        <w:pStyle w:val="112"/>
        <w:ind w:firstLine="480"/>
      </w:pPr>
      <w:r>
        <w:t>本项目不位于四川省达州市划定的生态保护红线区域内，</w:t>
      </w:r>
      <w:r>
        <w:rPr>
          <w:rFonts w:hint="eastAsia"/>
        </w:rPr>
        <w:t>符合</w:t>
      </w:r>
      <w:r>
        <w:t>四川省“三线一单”和达州市“三线一单”</w:t>
      </w:r>
      <w:r>
        <w:rPr>
          <w:rFonts w:hint="eastAsia"/>
        </w:rPr>
        <w:t>相关要求</w:t>
      </w:r>
      <w:r>
        <w:t>；本项目建设不占用永久基本农田，不位于自然保护区、森林公园、风景名胜区等生态敏感区范围内，拟建管线沿线不涉及集中式饮用水源保护区。</w:t>
      </w:r>
    </w:p>
    <w:p>
      <w:pPr>
        <w:keepNext/>
        <w:keepLines/>
        <w:spacing w:before="120"/>
        <w:ind w:firstLine="0" w:firstLineChars="0"/>
        <w:outlineLvl w:val="1"/>
        <w:rPr>
          <w:rFonts w:ascii="Times New Roman" w:cs="Times New Roman"/>
          <w:b/>
          <w:bCs/>
          <w:sz w:val="28"/>
          <w:szCs w:val="32"/>
        </w:rPr>
      </w:pPr>
      <w:bookmarkStart w:id="27" w:name="_Toc19815916"/>
      <w:bookmarkStart w:id="28" w:name="_Toc81515247"/>
      <w:r>
        <w:rPr>
          <w:rFonts w:ascii="Times New Roman" w:cs="Times New Roman"/>
          <w:b/>
          <w:bCs/>
          <w:sz w:val="28"/>
          <w:szCs w:val="32"/>
        </w:rPr>
        <w:t>五、项目关注的主要环境问题及环境影响</w:t>
      </w:r>
      <w:bookmarkEnd w:id="27"/>
      <w:bookmarkEnd w:id="28"/>
    </w:p>
    <w:p>
      <w:pPr>
        <w:pStyle w:val="112"/>
        <w:ind w:firstLine="480"/>
      </w:pPr>
      <w:r>
        <w:t>（1）废气：施工期主要是管道开挖扬尘、部分机械设备运行产生的废气（主要污染物NOx、CO）、焊接烟尘</w:t>
      </w:r>
      <w:r>
        <w:rPr>
          <w:rFonts w:hint="eastAsia"/>
        </w:rPr>
        <w:t>、</w:t>
      </w:r>
      <w:r>
        <w:t>气体钻会产生少量粉尘</w:t>
      </w:r>
      <w:r>
        <w:rPr>
          <w:rFonts w:hint="eastAsia"/>
        </w:rPr>
        <w:t>、</w:t>
      </w:r>
      <w:r>
        <w:t>测试放喷废气</w:t>
      </w:r>
      <w:r>
        <w:rPr>
          <w:rFonts w:hint="eastAsia"/>
        </w:rPr>
        <w:t>（S</w:t>
      </w:r>
      <w:r>
        <w:t>O</w:t>
      </w:r>
      <w:r>
        <w:rPr>
          <w:rFonts w:hint="eastAsia"/>
          <w:vertAlign w:val="subscript"/>
        </w:rPr>
        <w:t>2</w:t>
      </w:r>
      <w:r>
        <w:rPr>
          <w:rFonts w:hint="eastAsia"/>
        </w:rPr>
        <w:t>、</w:t>
      </w:r>
      <w:r>
        <w:t>NOx</w:t>
      </w:r>
      <w:r>
        <w:rPr>
          <w:rFonts w:hint="eastAsia"/>
        </w:rPr>
        <w:t>）</w:t>
      </w:r>
      <w:r>
        <w:t>等；营运期主要为水套炉燃烧废气、非正常工况下的检修废气和事故放空废气。环评中注重施工期废气的环境影响分析和营运期废气的达标排放及影响分析。</w:t>
      </w:r>
    </w:p>
    <w:p>
      <w:pPr>
        <w:pStyle w:val="112"/>
        <w:ind w:firstLine="480"/>
      </w:pPr>
      <w:r>
        <w:t>（2）废水：施工期主要是</w:t>
      </w:r>
      <w:r>
        <w:rPr>
          <w:rFonts w:hint="eastAsia"/>
        </w:rPr>
        <w:t>钻井废水、</w:t>
      </w:r>
      <w:r>
        <w:t>压裂废水和洗井废水</w:t>
      </w:r>
      <w:r>
        <w:rPr>
          <w:rFonts w:hint="eastAsia"/>
        </w:rPr>
        <w:t>、</w:t>
      </w:r>
      <w:r>
        <w:t>清管试压废水以及施工人员生活污水；营运期主要为</w:t>
      </w:r>
      <w:r>
        <w:rPr>
          <w:rFonts w:hint="eastAsia"/>
        </w:rPr>
        <w:t>气田水和生活污水</w:t>
      </w:r>
      <w:r>
        <w:t>。环评中注重施工期废水处理的可行性和可靠性论证，营运期</w:t>
      </w:r>
      <w:r>
        <w:rPr>
          <w:rFonts w:hint="eastAsia"/>
        </w:rPr>
        <w:t>气田水</w:t>
      </w:r>
      <w:r>
        <w:t>以及场站值班人员生活污水</w:t>
      </w:r>
      <w:r>
        <w:rPr>
          <w:rFonts w:hint="eastAsia"/>
        </w:rPr>
        <w:t>依托处置可行性分析</w:t>
      </w:r>
      <w:r>
        <w:t>。</w:t>
      </w:r>
    </w:p>
    <w:p>
      <w:pPr>
        <w:pStyle w:val="112"/>
        <w:ind w:firstLine="480"/>
      </w:pPr>
      <w:r>
        <w:t>（3）噪声：施工期为各类机械设备产生的噪声；营运期主要为站场设备运行噪声。环评中注重施工期和营运期噪声控制措施的可行性论证。</w:t>
      </w:r>
    </w:p>
    <w:p>
      <w:pPr>
        <w:pStyle w:val="112"/>
        <w:ind w:firstLine="480"/>
      </w:pPr>
      <w:r>
        <w:t>（4）固体废物：施工期主要是泥浆、岩屑</w:t>
      </w:r>
      <w:r>
        <w:rPr>
          <w:rFonts w:hint="eastAsia"/>
        </w:rPr>
        <w:t>、</w:t>
      </w:r>
      <w:r>
        <w:t>废油</w:t>
      </w:r>
      <w:r>
        <w:rPr>
          <w:rFonts w:hint="eastAsia"/>
        </w:rPr>
        <w:t>、</w:t>
      </w:r>
      <w:r>
        <w:t>废弃土石方、生活垃圾等；营运期主要为清管作业产生的少量固体粉末，凝析油</w:t>
      </w:r>
      <w:r>
        <w:rPr>
          <w:rFonts w:hint="eastAsia"/>
        </w:rPr>
        <w:t>，</w:t>
      </w:r>
      <w:r>
        <w:t>场站值班人员生活垃圾。环评中注重施工期和运营期固体废物处理的可行性进行论证。</w:t>
      </w:r>
    </w:p>
    <w:p>
      <w:pPr>
        <w:pStyle w:val="112"/>
        <w:ind w:firstLine="480"/>
      </w:pPr>
      <w:r>
        <w:t>（5）生态环境：施工期生态环境影响主要来自场地平整</w:t>
      </w:r>
      <w:r>
        <w:rPr>
          <w:rFonts w:hint="eastAsia"/>
        </w:rPr>
        <w:t>、</w:t>
      </w:r>
      <w:r>
        <w:t>管道施工过程中开挖管沟、整修施工便道、施工机械和人员的践踏等活动，以及工程临时占地、施工产生的固体废物等对土壤、生态环境的影响；营运期主要为生态恢复。环评中注意对生态环境保护措施进行论证。</w:t>
      </w:r>
    </w:p>
    <w:p>
      <w:pPr>
        <w:pStyle w:val="112"/>
        <w:ind w:firstLine="480"/>
      </w:pPr>
      <w:r>
        <w:t>（6）环境风险：主要为井喷</w:t>
      </w:r>
      <w:r>
        <w:rPr>
          <w:rFonts w:hint="eastAsia"/>
        </w:rPr>
        <w:t>、</w:t>
      </w:r>
      <w:r>
        <w:t>排污池、放喷池</w:t>
      </w:r>
      <w:r>
        <w:rPr>
          <w:rFonts w:hint="eastAsia"/>
        </w:rPr>
        <w:t>、</w:t>
      </w:r>
      <w:r>
        <w:t>泥浆循环罐及储罐区、油罐</w:t>
      </w:r>
      <w:r>
        <w:rPr>
          <w:rFonts w:hint="eastAsia"/>
        </w:rPr>
        <w:t>、</w:t>
      </w:r>
      <w:r>
        <w:t>输气管道、设备等受影响而产生泄漏、火灾、爆炸，进而影响当地环境。环评中将对风险进行论述，并对现有风险防范措施不足提出补充。</w:t>
      </w:r>
    </w:p>
    <w:p>
      <w:pPr>
        <w:keepNext/>
        <w:keepLines/>
        <w:spacing w:before="120"/>
        <w:ind w:firstLine="0" w:firstLineChars="0"/>
        <w:outlineLvl w:val="1"/>
        <w:rPr>
          <w:rFonts w:ascii="Times New Roman" w:cs="Times New Roman"/>
          <w:b/>
          <w:bCs/>
          <w:sz w:val="28"/>
          <w:szCs w:val="32"/>
        </w:rPr>
      </w:pPr>
      <w:bookmarkStart w:id="29" w:name="_Toc19815917"/>
      <w:bookmarkStart w:id="30" w:name="_Toc81515248"/>
      <w:r>
        <w:rPr>
          <w:rFonts w:ascii="Times New Roman" w:cs="Times New Roman"/>
          <w:b/>
          <w:bCs/>
          <w:sz w:val="28"/>
          <w:szCs w:val="32"/>
        </w:rPr>
        <w:t>六、主要环境影响结论</w:t>
      </w:r>
      <w:bookmarkEnd w:id="29"/>
      <w:bookmarkEnd w:id="30"/>
    </w:p>
    <w:p>
      <w:pPr>
        <w:pStyle w:val="112"/>
        <w:ind w:firstLine="480"/>
      </w:pPr>
      <w:r>
        <w:t>本项目符合国家产业政策，与当地规划相容，符合石油天然气发展规划；所在区域环境空气质量现状较好；建设期间对生态环境、地表水、地下水、大气、土壤、声环境影响小，不改变区域的环境功能；该项目达到清洁生产国内先进水平，采用的环保措施可行，社会、经济效益十分显著；建设项目环境可行，选址选线合理；该工程采取的环境风险措施可靠，制定的应急预案切实可行，在落实风险防范措施及应急预案后，环境风险达到可接受水平；所采取的废气</w:t>
      </w:r>
      <w:r>
        <w:rPr>
          <w:rFonts w:hint="eastAsia"/>
        </w:rPr>
        <w:t>、</w:t>
      </w:r>
      <w:r>
        <w:t>废水、固体废物和噪声防治措施以及水土保持措施可行有效，在建设过程认真落实报告提出的各项污染防治措施后，对周围环境不会造成污染影响。从环境角度而言，无明显制约项目建设的环境因素，本项目在拟选站址、线路建设是可行的。</w:t>
      </w:r>
    </w:p>
    <w:p>
      <w:pPr>
        <w:pStyle w:val="112"/>
        <w:ind w:firstLine="480"/>
      </w:pPr>
      <w:r>
        <w:rPr>
          <w:kern w:val="2"/>
          <w:szCs w:val="22"/>
        </w:rPr>
        <w:t>综上，项目建设无明显制约的环境因素，建设过程中认真落实报告提出的各项污染防治、生态保护措施和应急预案后，从环境保护角度而言，本项目在拟选站址、线路建设是可行的。</w:t>
      </w:r>
    </w:p>
    <w:p>
      <w:pPr>
        <w:widowControl/>
        <w:topLinePunct w:val="0"/>
        <w:adjustRightInd/>
        <w:ind w:firstLine="0" w:firstLineChars="0"/>
        <w:jc w:val="left"/>
        <w:rPr>
          <w:rFonts w:ascii="Times New Roman" w:cs="Times New Roman"/>
        </w:rPr>
        <w:sectPr>
          <w:pgSz w:w="11910" w:h="16840"/>
          <w:pgMar w:top="1280" w:right="1280" w:bottom="1300" w:left="1280" w:header="885" w:footer="1097" w:gutter="0"/>
          <w:pgNumType w:start="1"/>
          <w:cols w:space="720" w:num="1"/>
        </w:sectPr>
      </w:pPr>
    </w:p>
    <w:p>
      <w:pPr>
        <w:keepNext/>
        <w:keepLines/>
        <w:ind w:firstLine="0" w:firstLineChars="0"/>
        <w:jc w:val="left"/>
        <w:outlineLvl w:val="0"/>
        <w:rPr>
          <w:rFonts w:ascii="Times New Roman" w:cs="Times New Roman"/>
          <w:b/>
          <w:kern w:val="44"/>
          <w:sz w:val="32"/>
          <w:szCs w:val="44"/>
        </w:rPr>
      </w:pPr>
      <w:bookmarkStart w:id="31" w:name="bookmark1"/>
      <w:bookmarkEnd w:id="31"/>
      <w:bookmarkStart w:id="32" w:name="_Toc12288384"/>
      <w:bookmarkStart w:id="33" w:name="_Toc19815918"/>
      <w:bookmarkStart w:id="34" w:name="_Toc81515249"/>
      <w:r>
        <w:rPr>
          <w:rFonts w:ascii="Times New Roman" w:cs="Times New Roman"/>
          <w:b/>
          <w:kern w:val="44"/>
          <w:sz w:val="32"/>
          <w:szCs w:val="44"/>
        </w:rPr>
        <w:t>1 总则</w:t>
      </w:r>
      <w:bookmarkEnd w:id="32"/>
      <w:bookmarkEnd w:id="33"/>
      <w:bookmarkEnd w:id="34"/>
    </w:p>
    <w:p>
      <w:pPr>
        <w:keepNext/>
        <w:keepLines/>
        <w:spacing w:before="120"/>
        <w:ind w:firstLine="0" w:firstLineChars="0"/>
        <w:outlineLvl w:val="1"/>
        <w:rPr>
          <w:rFonts w:ascii="Times New Roman" w:cs="Times New Roman"/>
          <w:b/>
          <w:bCs/>
          <w:sz w:val="28"/>
          <w:szCs w:val="32"/>
        </w:rPr>
      </w:pPr>
      <w:bookmarkStart w:id="35" w:name="bookmark2"/>
      <w:bookmarkEnd w:id="35"/>
      <w:bookmarkStart w:id="36" w:name="_Toc19815919"/>
      <w:bookmarkStart w:id="37" w:name="_Toc12288385"/>
      <w:bookmarkStart w:id="38" w:name="_Toc81515250"/>
      <w:r>
        <w:rPr>
          <w:rFonts w:ascii="Times New Roman" w:cs="Times New Roman"/>
          <w:b/>
          <w:bCs/>
          <w:sz w:val="28"/>
          <w:szCs w:val="32"/>
        </w:rPr>
        <w:t>1.1 编制依据</w:t>
      </w:r>
      <w:bookmarkEnd w:id="36"/>
      <w:bookmarkEnd w:id="37"/>
      <w:bookmarkEnd w:id="38"/>
    </w:p>
    <w:p>
      <w:pPr>
        <w:keepNext/>
        <w:keepLines/>
        <w:ind w:firstLine="0" w:firstLineChars="0"/>
        <w:outlineLvl w:val="2"/>
        <w:rPr>
          <w:rFonts w:ascii="Times New Roman" w:cs="Times New Roman"/>
          <w:b/>
          <w:szCs w:val="32"/>
        </w:rPr>
      </w:pPr>
      <w:bookmarkStart w:id="39" w:name="_Toc19815920"/>
      <w:r>
        <w:rPr>
          <w:rFonts w:ascii="Times New Roman" w:cs="Times New Roman"/>
          <w:b/>
          <w:szCs w:val="32"/>
        </w:rPr>
        <w:t>1.1.1 相关法律</w:t>
      </w:r>
      <w:bookmarkEnd w:id="39"/>
    </w:p>
    <w:p>
      <w:pPr>
        <w:pStyle w:val="112"/>
        <w:ind w:firstLine="480"/>
      </w:pPr>
      <w:r>
        <w:rPr>
          <w:rFonts w:hint="eastAsia"/>
        </w:rPr>
        <w:t>（1）</w:t>
      </w:r>
      <w:r>
        <w:t>《中华人民共和国环境保护法》，2014年4月24日修订，2015年1月1日施行；</w:t>
      </w:r>
    </w:p>
    <w:p>
      <w:pPr>
        <w:pStyle w:val="112"/>
        <w:ind w:firstLine="480"/>
      </w:pPr>
      <w:r>
        <w:rPr>
          <w:rFonts w:hint="eastAsia"/>
        </w:rPr>
        <w:t>（2）</w:t>
      </w:r>
      <w:r>
        <w:t>《中华人民共和国环境影响评价法》，2018年12月29日修订并施行；</w:t>
      </w:r>
    </w:p>
    <w:p>
      <w:pPr>
        <w:pStyle w:val="112"/>
        <w:ind w:firstLine="480"/>
      </w:pPr>
      <w:r>
        <w:rPr>
          <w:rFonts w:hint="eastAsia"/>
        </w:rPr>
        <w:t>（3）</w:t>
      </w:r>
      <w:r>
        <w:t>《中华人民共和国水污染防治法》，2017年6月27日修订，2018年1月1日实施；</w:t>
      </w:r>
    </w:p>
    <w:p>
      <w:pPr>
        <w:pStyle w:val="112"/>
        <w:ind w:firstLine="480"/>
      </w:pPr>
      <w:r>
        <w:rPr>
          <w:rFonts w:hint="eastAsia"/>
        </w:rPr>
        <w:t>（4）</w:t>
      </w:r>
      <w:r>
        <w:t>《中华人民共和国大气污染防治法》，2018年10月26日修订并施行；</w:t>
      </w:r>
    </w:p>
    <w:p>
      <w:pPr>
        <w:pStyle w:val="112"/>
        <w:ind w:firstLine="480"/>
      </w:pPr>
      <w:r>
        <w:rPr>
          <w:rFonts w:hint="eastAsia"/>
        </w:rPr>
        <w:t>（5）</w:t>
      </w:r>
      <w:r>
        <w:t>《中华人民共和国环境噪声污染防治法》，20</w:t>
      </w:r>
      <w:r>
        <w:rPr>
          <w:rFonts w:hint="eastAsia"/>
        </w:rPr>
        <w:t>22</w:t>
      </w:r>
      <w:r>
        <w:t>年</w:t>
      </w:r>
      <w:r>
        <w:rPr>
          <w:rFonts w:hint="eastAsia"/>
        </w:rPr>
        <w:t>6</w:t>
      </w:r>
      <w:r>
        <w:t>月</w:t>
      </w:r>
      <w:r>
        <w:rPr>
          <w:rFonts w:hint="eastAsia"/>
        </w:rPr>
        <w:t>5</w:t>
      </w:r>
      <w:r>
        <w:t>日施行；</w:t>
      </w:r>
    </w:p>
    <w:p>
      <w:pPr>
        <w:pStyle w:val="112"/>
        <w:ind w:firstLine="480"/>
      </w:pPr>
      <w:r>
        <w:rPr>
          <w:rFonts w:hint="eastAsia"/>
        </w:rPr>
        <w:t>（6）</w:t>
      </w:r>
      <w:r>
        <w:t>《中华人民共和国</w:t>
      </w:r>
      <w:r>
        <w:rPr>
          <w:rFonts w:hint="eastAsia"/>
        </w:rPr>
        <w:t>土壤</w:t>
      </w:r>
      <w:r>
        <w:t>污染防治法》，20</w:t>
      </w:r>
      <w:r>
        <w:rPr>
          <w:rFonts w:hint="eastAsia"/>
        </w:rPr>
        <w:t>19</w:t>
      </w:r>
      <w:r>
        <w:t>年</w:t>
      </w:r>
      <w:r>
        <w:rPr>
          <w:rFonts w:hint="eastAsia"/>
        </w:rPr>
        <w:t>1</w:t>
      </w:r>
      <w:r>
        <w:t>月</w:t>
      </w:r>
      <w:r>
        <w:rPr>
          <w:rFonts w:hint="eastAsia"/>
        </w:rPr>
        <w:t>1</w:t>
      </w:r>
      <w:r>
        <w:t>日施行；</w:t>
      </w:r>
    </w:p>
    <w:p>
      <w:pPr>
        <w:pStyle w:val="112"/>
        <w:ind w:firstLine="480"/>
      </w:pPr>
      <w:r>
        <w:rPr>
          <w:rFonts w:hint="eastAsia"/>
        </w:rPr>
        <w:t>（7）</w:t>
      </w:r>
      <w:r>
        <w:t>《中华人民共和国固体废物污染环境防治法》，</w:t>
      </w:r>
      <w:r>
        <w:rPr>
          <w:kern w:val="2"/>
          <w:szCs w:val="22"/>
        </w:rPr>
        <w:t>中华人民共和国主席令第四十三号，2020年9月1日实施</w:t>
      </w:r>
      <w:r>
        <w:t>；</w:t>
      </w:r>
    </w:p>
    <w:p>
      <w:pPr>
        <w:pStyle w:val="112"/>
        <w:ind w:firstLine="480"/>
      </w:pPr>
      <w:r>
        <w:rPr>
          <w:rFonts w:hint="eastAsia"/>
        </w:rPr>
        <w:t>（8）</w:t>
      </w:r>
      <w:r>
        <w:t>《中华人民共和国清洁生产促进法》，中华人民共和国主席令第54号，2012年7月1日实施；</w:t>
      </w:r>
    </w:p>
    <w:p>
      <w:pPr>
        <w:pStyle w:val="112"/>
        <w:ind w:firstLine="480"/>
      </w:pPr>
      <w:r>
        <w:rPr>
          <w:rFonts w:hint="eastAsia"/>
        </w:rPr>
        <w:t>（9）</w:t>
      </w:r>
      <w:r>
        <w:t>《中华人民共和国土地管理法》，2020年1月1日实施；</w:t>
      </w:r>
    </w:p>
    <w:p>
      <w:pPr>
        <w:pStyle w:val="112"/>
        <w:ind w:firstLine="480"/>
      </w:pPr>
      <w:r>
        <w:rPr>
          <w:rFonts w:hint="eastAsia"/>
        </w:rPr>
        <w:t>（10）</w:t>
      </w:r>
      <w:r>
        <w:t>《中华人民共和国水土保持法》，中华人民共和国主席令第39号，2011年3月1日实施；</w:t>
      </w:r>
    </w:p>
    <w:p>
      <w:pPr>
        <w:pStyle w:val="112"/>
        <w:ind w:firstLine="480"/>
      </w:pPr>
      <w:r>
        <w:rPr>
          <w:rFonts w:hint="eastAsia"/>
        </w:rPr>
        <w:t>（11）</w:t>
      </w:r>
      <w:r>
        <w:t>《中华人民共和国水法》，2016年7月2日第十二届全国人民代表大会常务委员会第二十一次会议修订，2016年9月1日实施；</w:t>
      </w:r>
    </w:p>
    <w:p>
      <w:pPr>
        <w:pStyle w:val="112"/>
        <w:ind w:firstLine="480"/>
      </w:pPr>
      <w:r>
        <w:rPr>
          <w:rFonts w:hint="eastAsia"/>
        </w:rPr>
        <w:t>（</w:t>
      </w:r>
      <w:r>
        <w:t>1</w:t>
      </w:r>
      <w:r>
        <w:rPr>
          <w:rFonts w:hint="eastAsia"/>
        </w:rPr>
        <w:t>2）</w:t>
      </w:r>
      <w:r>
        <w:t>《中华人民共和国矿产资源法》，第十一届全国人民代表大会常务委员会第十次会议一次修正，2009年8月27日实施；</w:t>
      </w:r>
    </w:p>
    <w:p>
      <w:pPr>
        <w:pStyle w:val="112"/>
        <w:ind w:firstLine="480"/>
      </w:pPr>
      <w:r>
        <w:rPr>
          <w:rFonts w:hint="eastAsia"/>
        </w:rPr>
        <w:t>（</w:t>
      </w:r>
      <w:r>
        <w:t>1</w:t>
      </w:r>
      <w:r>
        <w:rPr>
          <w:rFonts w:hint="eastAsia"/>
        </w:rPr>
        <w:t>3）</w:t>
      </w:r>
      <w:r>
        <w:t>《中华人民共和国节约能源法》，2018年12月26日修订并施行；</w:t>
      </w:r>
    </w:p>
    <w:p>
      <w:pPr>
        <w:pStyle w:val="112"/>
        <w:ind w:firstLine="480"/>
      </w:pPr>
      <w:r>
        <w:rPr>
          <w:rFonts w:hint="eastAsia"/>
        </w:rPr>
        <w:t>（</w:t>
      </w:r>
      <w:r>
        <w:t>1</w:t>
      </w:r>
      <w:r>
        <w:rPr>
          <w:rFonts w:hint="eastAsia"/>
        </w:rPr>
        <w:t>4）</w:t>
      </w:r>
      <w:r>
        <w:t>《中华人民共和国野生动物保护法》，2022年 12 月30日修订，20</w:t>
      </w:r>
      <w:r>
        <w:rPr>
          <w:rFonts w:hint="eastAsia"/>
        </w:rPr>
        <w:t>23</w:t>
      </w:r>
      <w:r>
        <w:t>年</w:t>
      </w:r>
      <w:r>
        <w:rPr>
          <w:rFonts w:hint="eastAsia"/>
        </w:rPr>
        <w:t>5</w:t>
      </w:r>
      <w:r>
        <w:t>月1日施行；</w:t>
      </w:r>
    </w:p>
    <w:p>
      <w:pPr>
        <w:pStyle w:val="112"/>
        <w:ind w:firstLine="480"/>
      </w:pPr>
      <w:r>
        <w:rPr>
          <w:rFonts w:hint="eastAsia"/>
        </w:rPr>
        <w:t>（</w:t>
      </w:r>
      <w:r>
        <w:t>1</w:t>
      </w:r>
      <w:r>
        <w:rPr>
          <w:rFonts w:hint="eastAsia"/>
        </w:rPr>
        <w:t>5）</w:t>
      </w:r>
      <w:r>
        <w:t>《中华人民共和国农业法》，第十一届全国人民代表大会常务委员会第三十次会议于2012年12月28日通过，2013年1月1日起施行；</w:t>
      </w:r>
    </w:p>
    <w:p>
      <w:pPr>
        <w:pStyle w:val="112"/>
        <w:ind w:firstLine="480"/>
      </w:pPr>
      <w:r>
        <w:rPr>
          <w:rFonts w:hint="eastAsia"/>
        </w:rPr>
        <w:t>（</w:t>
      </w:r>
      <w:r>
        <w:t>1</w:t>
      </w:r>
      <w:r>
        <w:rPr>
          <w:rFonts w:hint="eastAsia"/>
        </w:rPr>
        <w:t>6）</w:t>
      </w:r>
      <w:r>
        <w:t>《中华人民共和国石油天然气管道保护法》，2010年10月1日起施行</w:t>
      </w:r>
      <w:r>
        <w:rPr>
          <w:rFonts w:hint="eastAsia"/>
        </w:rPr>
        <w:t>；</w:t>
      </w:r>
    </w:p>
    <w:p>
      <w:pPr>
        <w:pStyle w:val="112"/>
        <w:ind w:firstLine="480"/>
      </w:pPr>
      <w:r>
        <w:rPr>
          <w:rFonts w:hint="eastAsia"/>
        </w:rPr>
        <w:t>（17）《关于进一步加强石油天然气行业环境影响评价管理的通知》（环办环评函〔2019〕910号）；</w:t>
      </w:r>
    </w:p>
    <w:p>
      <w:pPr>
        <w:pStyle w:val="112"/>
        <w:ind w:firstLine="480"/>
      </w:pPr>
      <w:r>
        <w:rPr>
          <w:rFonts w:hint="eastAsia"/>
        </w:rPr>
        <w:t>（18）《中华人民共和国长江保护法》（主席令2020年第65号）（2021年3月1日起实施）。</w:t>
      </w:r>
    </w:p>
    <w:p>
      <w:pPr>
        <w:keepNext/>
        <w:keepLines/>
        <w:ind w:firstLine="0" w:firstLineChars="0"/>
        <w:outlineLvl w:val="2"/>
        <w:rPr>
          <w:rFonts w:ascii="Times New Roman" w:cs="Times New Roman"/>
          <w:b/>
          <w:szCs w:val="32"/>
        </w:rPr>
      </w:pPr>
      <w:bookmarkStart w:id="40" w:name="_Toc19815921"/>
      <w:r>
        <w:rPr>
          <w:rFonts w:ascii="Times New Roman" w:cs="Times New Roman"/>
          <w:b/>
          <w:szCs w:val="32"/>
        </w:rPr>
        <w:t>1.1.2 行政法规</w:t>
      </w:r>
      <w:bookmarkEnd w:id="40"/>
    </w:p>
    <w:p>
      <w:pPr>
        <w:topLinePunct w:val="0"/>
        <w:adjustRightInd/>
        <w:ind w:firstLine="480"/>
        <w:rPr>
          <w:rFonts w:ascii="Times New Roman" w:cs="Times New Roman"/>
          <w:kern w:val="2"/>
          <w:szCs w:val="22"/>
        </w:rPr>
      </w:pPr>
      <w:r>
        <w:rPr>
          <w:rFonts w:hint="eastAsia" w:ascii="Times New Roman" w:cs="Times New Roman"/>
          <w:kern w:val="2"/>
          <w:szCs w:val="22"/>
        </w:rPr>
        <w:t>（</w:t>
      </w:r>
      <w:r>
        <w:rPr>
          <w:rFonts w:ascii="Times New Roman" w:cs="Times New Roman"/>
          <w:kern w:val="2"/>
          <w:szCs w:val="22"/>
        </w:rPr>
        <w:t>1</w:t>
      </w:r>
      <w:r>
        <w:rPr>
          <w:rFonts w:hint="eastAsia" w:ascii="Times New Roman" w:cs="Times New Roman"/>
          <w:kern w:val="2"/>
          <w:szCs w:val="22"/>
        </w:rPr>
        <w:t>）</w:t>
      </w:r>
      <w:r>
        <w:rPr>
          <w:rFonts w:ascii="Times New Roman" w:cs="Times New Roman"/>
          <w:kern w:val="2"/>
          <w:szCs w:val="22"/>
        </w:rPr>
        <w:t>《中华人民共和国河道管理条例》，（根据2017年10月7日国务院令第687号《国务院关于修改部分行政法规的决定》第三次修订），2017年10月7日实施；</w:t>
      </w:r>
    </w:p>
    <w:p>
      <w:pPr>
        <w:topLinePunct w:val="0"/>
        <w:adjustRightInd/>
        <w:ind w:firstLine="480"/>
        <w:rPr>
          <w:rFonts w:ascii="Times New Roman" w:cs="Times New Roman"/>
          <w:kern w:val="2"/>
          <w:szCs w:val="22"/>
        </w:rPr>
      </w:pPr>
      <w:r>
        <w:rPr>
          <w:rFonts w:hint="eastAsia" w:ascii="Times New Roman" w:cs="Times New Roman"/>
          <w:kern w:val="2"/>
          <w:szCs w:val="22"/>
        </w:rPr>
        <w:t>（2）</w:t>
      </w:r>
      <w:r>
        <w:rPr>
          <w:rFonts w:ascii="Times New Roman" w:cs="Times New Roman"/>
          <w:kern w:val="2"/>
          <w:szCs w:val="22"/>
        </w:rPr>
        <w:t>《中华人民共和国水土保持法实施条例》，（根据2011年1月8日《国务院关于废止和修改部分行政法规的决定》修订），2011年1月8日实施；</w:t>
      </w:r>
    </w:p>
    <w:p>
      <w:pPr>
        <w:topLinePunct w:val="0"/>
        <w:adjustRightInd/>
        <w:ind w:firstLine="480"/>
        <w:rPr>
          <w:rFonts w:ascii="Times New Roman" w:cs="Times New Roman"/>
          <w:kern w:val="2"/>
          <w:szCs w:val="22"/>
        </w:rPr>
      </w:pPr>
      <w:r>
        <w:rPr>
          <w:rFonts w:hint="eastAsia" w:ascii="Times New Roman" w:cs="Times New Roman"/>
          <w:kern w:val="2"/>
          <w:szCs w:val="22"/>
        </w:rPr>
        <w:t>（3）</w:t>
      </w:r>
      <w:r>
        <w:rPr>
          <w:rFonts w:ascii="Times New Roman" w:cs="Times New Roman"/>
          <w:kern w:val="2"/>
          <w:szCs w:val="22"/>
        </w:rPr>
        <w:t>《中华人民共和国野生植物保护条例》，2017年10月7日，国务院令第687号修订；</w:t>
      </w:r>
    </w:p>
    <w:p>
      <w:pPr>
        <w:topLinePunct w:val="0"/>
        <w:adjustRightInd/>
        <w:ind w:firstLine="480"/>
        <w:rPr>
          <w:rFonts w:ascii="Times New Roman" w:cs="Times New Roman"/>
          <w:kern w:val="2"/>
          <w:szCs w:val="22"/>
        </w:rPr>
      </w:pPr>
      <w:r>
        <w:rPr>
          <w:rFonts w:hint="eastAsia" w:ascii="Times New Roman" w:cs="Times New Roman"/>
          <w:kern w:val="2"/>
          <w:szCs w:val="22"/>
        </w:rPr>
        <w:t>（4）</w:t>
      </w:r>
      <w:r>
        <w:rPr>
          <w:rFonts w:ascii="Times New Roman" w:cs="Times New Roman"/>
          <w:kern w:val="2"/>
          <w:szCs w:val="22"/>
        </w:rPr>
        <w:t>《建设项目环境保护管理条例》（国务院令第682号），2017年10月1日施行；</w:t>
      </w:r>
    </w:p>
    <w:p>
      <w:pPr>
        <w:topLinePunct w:val="0"/>
        <w:adjustRightInd/>
        <w:ind w:firstLine="480"/>
        <w:rPr>
          <w:rFonts w:ascii="Times New Roman" w:cs="Times New Roman"/>
          <w:kern w:val="2"/>
          <w:szCs w:val="22"/>
        </w:rPr>
      </w:pPr>
      <w:r>
        <w:rPr>
          <w:rFonts w:hint="eastAsia" w:ascii="Times New Roman" w:cs="Times New Roman"/>
          <w:kern w:val="2"/>
          <w:szCs w:val="22"/>
        </w:rPr>
        <w:t>（5）</w:t>
      </w:r>
      <w:r>
        <w:rPr>
          <w:rFonts w:ascii="Times New Roman" w:cs="Times New Roman"/>
          <w:kern w:val="2"/>
          <w:szCs w:val="22"/>
        </w:rPr>
        <w:t>《中华人民共和国基本农田保护条例》，2011年1月8日实施；</w:t>
      </w:r>
    </w:p>
    <w:p>
      <w:pPr>
        <w:topLinePunct w:val="0"/>
        <w:adjustRightInd/>
        <w:ind w:firstLine="480"/>
        <w:rPr>
          <w:rFonts w:ascii="Times New Roman" w:cs="Times New Roman"/>
          <w:kern w:val="2"/>
          <w:szCs w:val="22"/>
        </w:rPr>
      </w:pPr>
      <w:r>
        <w:rPr>
          <w:rFonts w:hint="eastAsia" w:ascii="Times New Roman" w:cs="Times New Roman"/>
          <w:kern w:val="2"/>
          <w:szCs w:val="22"/>
        </w:rPr>
        <w:t>（6）</w:t>
      </w:r>
      <w:r>
        <w:rPr>
          <w:rFonts w:ascii="Times New Roman" w:cs="Times New Roman"/>
          <w:kern w:val="2"/>
          <w:szCs w:val="22"/>
        </w:rPr>
        <w:t>《中华人民共和国水生野生动物保护实施条例》（林业部令第1号），1993年10月5日实施；</w:t>
      </w:r>
    </w:p>
    <w:p>
      <w:pPr>
        <w:topLinePunct w:val="0"/>
        <w:adjustRightInd/>
        <w:ind w:firstLine="480"/>
        <w:rPr>
          <w:rFonts w:ascii="Times New Roman" w:cs="Times New Roman"/>
          <w:kern w:val="2"/>
          <w:szCs w:val="22"/>
        </w:rPr>
      </w:pPr>
      <w:r>
        <w:rPr>
          <w:rFonts w:hint="eastAsia" w:ascii="Times New Roman" w:cs="Times New Roman"/>
          <w:kern w:val="2"/>
          <w:szCs w:val="22"/>
        </w:rPr>
        <w:t>（7）《地下水管理条例》（中华人民共和国国务院令第748号），2021年12月1日起施行；</w:t>
      </w:r>
    </w:p>
    <w:p>
      <w:pPr>
        <w:topLinePunct w:val="0"/>
        <w:adjustRightInd/>
        <w:ind w:firstLine="480"/>
        <w:rPr>
          <w:rFonts w:ascii="Times New Roman" w:cs="Times New Roman"/>
          <w:kern w:val="2"/>
          <w:szCs w:val="22"/>
        </w:rPr>
      </w:pPr>
      <w:r>
        <w:rPr>
          <w:rFonts w:hint="eastAsia" w:ascii="Times New Roman" w:cs="Times New Roman"/>
          <w:kern w:val="2"/>
          <w:szCs w:val="22"/>
        </w:rPr>
        <w:t>（8）</w:t>
      </w:r>
      <w:r>
        <w:rPr>
          <w:rFonts w:ascii="Times New Roman" w:cs="Times New Roman"/>
          <w:kern w:val="2"/>
          <w:szCs w:val="22"/>
        </w:rPr>
        <w:t>《危险化学品安全管理条例》（国务院令第591号），2013年12月7日修订。</w:t>
      </w:r>
    </w:p>
    <w:p>
      <w:pPr>
        <w:keepNext/>
        <w:keepLines/>
        <w:ind w:firstLine="0" w:firstLineChars="0"/>
        <w:outlineLvl w:val="2"/>
        <w:rPr>
          <w:rFonts w:ascii="Times New Roman" w:cs="Times New Roman"/>
          <w:b/>
          <w:szCs w:val="32"/>
        </w:rPr>
      </w:pPr>
      <w:bookmarkStart w:id="41" w:name="_Toc19815922"/>
      <w:r>
        <w:rPr>
          <w:rFonts w:ascii="Times New Roman" w:cs="Times New Roman"/>
          <w:b/>
          <w:szCs w:val="32"/>
        </w:rPr>
        <w:t>1.1.3 部门规章</w:t>
      </w:r>
      <w:bookmarkEnd w:id="41"/>
    </w:p>
    <w:p>
      <w:pPr>
        <w:pStyle w:val="112"/>
        <w:ind w:firstLine="480"/>
      </w:pPr>
      <w:r>
        <w:rPr>
          <w:rFonts w:hint="eastAsia"/>
        </w:rPr>
        <w:t>（</w:t>
      </w:r>
      <w:r>
        <w:t>1</w:t>
      </w:r>
      <w:r>
        <w:rPr>
          <w:rFonts w:hint="eastAsia"/>
        </w:rPr>
        <w:t>）</w:t>
      </w:r>
      <w:r>
        <w:t>《建设项目环境</w:t>
      </w:r>
      <w:r>
        <w:rPr>
          <w:rFonts w:hint="eastAsia"/>
        </w:rPr>
        <w:t>影响</w:t>
      </w:r>
      <w:r>
        <w:t>评价分类管理名录》（2021版），2021年1月1日实施；</w:t>
      </w:r>
    </w:p>
    <w:p>
      <w:pPr>
        <w:pStyle w:val="112"/>
        <w:ind w:firstLine="480"/>
      </w:pPr>
      <w:r>
        <w:rPr>
          <w:rFonts w:hint="eastAsia"/>
        </w:rPr>
        <w:t>（</w:t>
      </w:r>
      <w:r>
        <w:t>2</w:t>
      </w:r>
      <w:r>
        <w:rPr>
          <w:rFonts w:hint="eastAsia"/>
        </w:rPr>
        <w:t>）</w:t>
      </w:r>
      <w:r>
        <w:t>《关于进一步加强环境影响评价管理防范环境风险的通知》（环发〔2012〕77号）；</w:t>
      </w:r>
    </w:p>
    <w:p>
      <w:pPr>
        <w:pStyle w:val="112"/>
        <w:ind w:firstLine="480"/>
      </w:pPr>
      <w:r>
        <w:rPr>
          <w:rFonts w:hint="eastAsia"/>
        </w:rPr>
        <w:t>（</w:t>
      </w:r>
      <w:r>
        <w:t>3</w:t>
      </w:r>
      <w:r>
        <w:rPr>
          <w:rFonts w:hint="eastAsia"/>
        </w:rPr>
        <w:t>）</w:t>
      </w:r>
      <w:r>
        <w:t>《环境影响评价公众参与办法》（生态环境部部令第4号），自2019年1月1日起施行；</w:t>
      </w:r>
    </w:p>
    <w:p>
      <w:pPr>
        <w:pStyle w:val="112"/>
        <w:ind w:firstLine="480"/>
      </w:pPr>
      <w:r>
        <w:rPr>
          <w:rFonts w:hint="eastAsia"/>
        </w:rPr>
        <w:t>（</w:t>
      </w:r>
      <w:r>
        <w:t>4</w:t>
      </w:r>
      <w:r>
        <w:rPr>
          <w:rFonts w:hint="eastAsia"/>
        </w:rPr>
        <w:t>）</w:t>
      </w:r>
      <w:r>
        <w:t>《国家重点保护野生动物名录》</w:t>
      </w:r>
      <w:r>
        <w:rPr>
          <w:rFonts w:hint="eastAsia"/>
        </w:rPr>
        <w:t>（</w:t>
      </w:r>
      <w:r>
        <w:t>中华人民共和国林业部、农业部第1号令</w:t>
      </w:r>
      <w:r>
        <w:rPr>
          <w:rFonts w:hint="eastAsia"/>
        </w:rPr>
        <w:t>）</w:t>
      </w:r>
      <w:r>
        <w:t>；</w:t>
      </w:r>
    </w:p>
    <w:p>
      <w:pPr>
        <w:pStyle w:val="112"/>
        <w:ind w:firstLine="480"/>
      </w:pPr>
      <w:r>
        <w:rPr>
          <w:rFonts w:hint="eastAsia"/>
        </w:rPr>
        <w:t>（5）《国家重点保护野生植物名录》（2021年）；</w:t>
      </w:r>
    </w:p>
    <w:p>
      <w:pPr>
        <w:pStyle w:val="112"/>
        <w:ind w:firstLine="480"/>
      </w:pPr>
      <w:r>
        <w:rPr>
          <w:rFonts w:hint="eastAsia"/>
        </w:rPr>
        <w:t>（6）</w:t>
      </w:r>
      <w:r>
        <w:rPr>
          <w:kern w:val="2"/>
          <w:szCs w:val="22"/>
        </w:rPr>
        <w:t>《关于做好占用永久基本农田重大建设项目用地预审的通知》（自然资归〔2018〕3号）；</w:t>
      </w:r>
    </w:p>
    <w:p>
      <w:pPr>
        <w:pStyle w:val="112"/>
        <w:ind w:firstLine="480"/>
      </w:pPr>
      <w:r>
        <w:rPr>
          <w:rFonts w:hint="eastAsia"/>
        </w:rPr>
        <w:t>（7）</w:t>
      </w:r>
      <w:r>
        <w:t>《关于进一步做好基本农田保护有关工作的意见》（国土资发〔2005〕196号）；</w:t>
      </w:r>
    </w:p>
    <w:p>
      <w:pPr>
        <w:pStyle w:val="112"/>
        <w:ind w:firstLine="480"/>
      </w:pPr>
      <w:r>
        <w:rPr>
          <w:rFonts w:hint="eastAsia"/>
        </w:rPr>
        <w:t>（8）</w:t>
      </w:r>
      <w:r>
        <w:t>国家林业局《关于石油天然气管道建设使用林地有关问题的通知》（林资发〔2010〕105号）；</w:t>
      </w:r>
    </w:p>
    <w:p>
      <w:pPr>
        <w:pStyle w:val="112"/>
        <w:ind w:firstLine="480"/>
      </w:pPr>
      <w:r>
        <w:rPr>
          <w:rFonts w:hint="eastAsia"/>
        </w:rPr>
        <w:t>（9）</w:t>
      </w:r>
      <w:r>
        <w:t>《</w:t>
      </w:r>
      <w:r>
        <w:rPr>
          <w:rFonts w:hint="eastAsia"/>
        </w:rPr>
        <w:t>生态</w:t>
      </w:r>
      <w:r>
        <w:t>环境保护</w:t>
      </w:r>
      <w:r>
        <w:rPr>
          <w:rFonts w:hint="eastAsia"/>
          <w:lang w:eastAsia="zh-CN"/>
        </w:rPr>
        <w:t>“</w:t>
      </w:r>
      <w:r>
        <w:t>十</w:t>
      </w:r>
      <w:r>
        <w:rPr>
          <w:rFonts w:hint="eastAsia"/>
        </w:rPr>
        <w:t>四</w:t>
      </w:r>
      <w:r>
        <w:t>五</w:t>
      </w:r>
      <w:r>
        <w:rPr>
          <w:rFonts w:hint="eastAsia"/>
          <w:lang w:eastAsia="zh-CN"/>
        </w:rPr>
        <w:t>”</w:t>
      </w:r>
      <w:r>
        <w:t>规划》；</w:t>
      </w:r>
    </w:p>
    <w:p>
      <w:pPr>
        <w:pStyle w:val="112"/>
        <w:ind w:firstLine="480"/>
      </w:pPr>
      <w:r>
        <w:rPr>
          <w:rFonts w:hint="eastAsia"/>
        </w:rPr>
        <w:t>（10）</w:t>
      </w:r>
      <w:r>
        <w:t>《国务院关于印发全国生态环境保护纲要的通知》（国发〔2000〕38号），2000年11月26日实施；</w:t>
      </w:r>
    </w:p>
    <w:p>
      <w:pPr>
        <w:pStyle w:val="112"/>
        <w:ind w:firstLine="480"/>
      </w:pPr>
      <w:r>
        <w:rPr>
          <w:rFonts w:hint="eastAsia"/>
        </w:rPr>
        <w:t>（11）</w:t>
      </w:r>
      <w:r>
        <w:rPr>
          <w:color w:val="FF0000"/>
        </w:rPr>
        <w:t>《产业结构调整指导目录》（20</w:t>
      </w:r>
      <w:r>
        <w:rPr>
          <w:rFonts w:hint="eastAsia"/>
          <w:color w:val="FF0000"/>
        </w:rPr>
        <w:t>24</w:t>
      </w:r>
      <w:r>
        <w:rPr>
          <w:color w:val="FF0000"/>
        </w:rPr>
        <w:t>年本）</w:t>
      </w:r>
      <w:r>
        <w:t>；</w:t>
      </w:r>
    </w:p>
    <w:p>
      <w:pPr>
        <w:pStyle w:val="112"/>
        <w:ind w:firstLine="480"/>
      </w:pPr>
      <w:r>
        <w:rPr>
          <w:rFonts w:hint="eastAsia"/>
        </w:rPr>
        <w:t>（</w:t>
      </w:r>
      <w:r>
        <w:t>1</w:t>
      </w:r>
      <w:r>
        <w:rPr>
          <w:rFonts w:hint="eastAsia"/>
        </w:rPr>
        <w:t>2）</w:t>
      </w:r>
      <w:r>
        <w:rPr>
          <w:rFonts w:hint="eastAsia"/>
          <w:bCs/>
        </w:rPr>
        <w:t>《“十四五”现代能源体系规划》</w:t>
      </w:r>
      <w:r>
        <w:rPr>
          <w:rFonts w:hint="eastAsia"/>
        </w:rPr>
        <w:t>（发改能源〔2022〕210号）</w:t>
      </w:r>
      <w:r>
        <w:t>；</w:t>
      </w:r>
    </w:p>
    <w:p>
      <w:pPr>
        <w:pStyle w:val="112"/>
        <w:ind w:firstLine="480"/>
      </w:pPr>
      <w:r>
        <w:rPr>
          <w:rFonts w:hint="eastAsia"/>
        </w:rPr>
        <w:t>（</w:t>
      </w:r>
      <w:r>
        <w:t>1</w:t>
      </w:r>
      <w:r>
        <w:rPr>
          <w:rFonts w:hint="eastAsia"/>
        </w:rPr>
        <w:t>3）</w:t>
      </w:r>
      <w:r>
        <w:t>《关于划定并严守生态保护红线的若干意见》，中共中央办公厅、国务院办公厅，2017年2月7日</w:t>
      </w:r>
      <w:r>
        <w:rPr>
          <w:rFonts w:hint="eastAsia"/>
        </w:rPr>
        <w:t>；</w:t>
      </w:r>
    </w:p>
    <w:p>
      <w:pPr>
        <w:pStyle w:val="112"/>
        <w:ind w:firstLine="480"/>
      </w:pPr>
      <w:r>
        <w:rPr>
          <w:rFonts w:hint="eastAsia"/>
        </w:rPr>
        <w:t>（14）《石油天然气开采业污染防治技术政策》（环境保护部公告2012年第18号）；</w:t>
      </w:r>
    </w:p>
    <w:p>
      <w:pPr>
        <w:pStyle w:val="112"/>
        <w:ind w:firstLine="480"/>
      </w:pPr>
      <w:r>
        <w:rPr>
          <w:rFonts w:hint="eastAsia"/>
        </w:rPr>
        <w:t>（15）《关于进一步加强石油天然气行业环境影响评价管理的通知》（环办环评函〔2019〕910号）；</w:t>
      </w:r>
    </w:p>
    <w:p>
      <w:pPr>
        <w:pStyle w:val="112"/>
        <w:ind w:firstLine="480"/>
      </w:pPr>
      <w:r>
        <w:rPr>
          <w:rFonts w:hint="eastAsia"/>
        </w:rPr>
        <w:t>（16）《自然资源部关于规范临时用地管理的通知》（自然资规</w:t>
      </w:r>
      <w:r>
        <w:rPr>
          <w:rFonts w:hint="eastAsia"/>
          <w:lang w:eastAsia="zh-CN"/>
        </w:rPr>
        <w:t>〔2021〕</w:t>
      </w:r>
      <w:r>
        <w:rPr>
          <w:rFonts w:hint="eastAsia"/>
        </w:rPr>
        <w:t>2号）。</w:t>
      </w:r>
    </w:p>
    <w:p>
      <w:pPr>
        <w:keepNext/>
        <w:keepLines/>
        <w:ind w:firstLine="0" w:firstLineChars="0"/>
        <w:outlineLvl w:val="2"/>
        <w:rPr>
          <w:rFonts w:ascii="Times New Roman" w:cs="Times New Roman"/>
          <w:b/>
          <w:szCs w:val="32"/>
        </w:rPr>
      </w:pPr>
      <w:bookmarkStart w:id="42" w:name="_Toc19815923"/>
      <w:r>
        <w:rPr>
          <w:rFonts w:ascii="Times New Roman" w:cs="Times New Roman"/>
          <w:b/>
          <w:szCs w:val="32"/>
        </w:rPr>
        <w:t>1.1.4</w:t>
      </w:r>
      <w:r>
        <w:rPr>
          <w:rFonts w:hint="eastAsia" w:ascii="Times New Roman" w:cs="Times New Roman"/>
          <w:b/>
          <w:szCs w:val="32"/>
        </w:rPr>
        <w:t>地方法律法规及规范性文件</w:t>
      </w:r>
      <w:bookmarkEnd w:id="42"/>
    </w:p>
    <w:p>
      <w:pPr>
        <w:pStyle w:val="112"/>
        <w:ind w:firstLine="480"/>
        <w:rPr>
          <w:szCs w:val="24"/>
        </w:rPr>
      </w:pPr>
      <w:r>
        <w:rPr>
          <w:rFonts w:hint="eastAsia"/>
          <w:szCs w:val="24"/>
        </w:rPr>
        <w:t>（</w:t>
      </w:r>
      <w:r>
        <w:rPr>
          <w:szCs w:val="24"/>
        </w:rPr>
        <w:t>1</w:t>
      </w:r>
      <w:r>
        <w:rPr>
          <w:rFonts w:hint="eastAsia"/>
          <w:szCs w:val="24"/>
        </w:rPr>
        <w:t>）</w:t>
      </w:r>
      <w:r>
        <w:rPr>
          <w:szCs w:val="24"/>
        </w:rPr>
        <w:t>《四川省环境保护条例》（四川省第十二届人民代表大会常务委员会公告第94号，2018年1月1日施行）；</w:t>
      </w:r>
    </w:p>
    <w:p>
      <w:pPr>
        <w:pStyle w:val="112"/>
        <w:ind w:firstLine="480"/>
        <w:rPr>
          <w:szCs w:val="24"/>
        </w:rPr>
      </w:pPr>
      <w:r>
        <w:rPr>
          <w:rFonts w:hint="eastAsia"/>
          <w:szCs w:val="24"/>
        </w:rPr>
        <w:t>（</w:t>
      </w:r>
      <w:r>
        <w:rPr>
          <w:szCs w:val="24"/>
        </w:rPr>
        <w:t>2</w:t>
      </w:r>
      <w:r>
        <w:rPr>
          <w:rFonts w:hint="eastAsia"/>
          <w:szCs w:val="24"/>
        </w:rPr>
        <w:t>）</w:t>
      </w:r>
      <w:r>
        <w:rPr>
          <w:szCs w:val="24"/>
        </w:rPr>
        <w:t>《四川省主体功能区规划》，川府发〔2013〕16号；</w:t>
      </w:r>
    </w:p>
    <w:p>
      <w:pPr>
        <w:pStyle w:val="112"/>
        <w:ind w:firstLine="480"/>
        <w:rPr>
          <w:szCs w:val="24"/>
        </w:rPr>
      </w:pPr>
      <w:r>
        <w:rPr>
          <w:rFonts w:hint="eastAsia"/>
          <w:szCs w:val="24"/>
        </w:rPr>
        <w:t>（</w:t>
      </w:r>
      <w:r>
        <w:rPr>
          <w:szCs w:val="24"/>
        </w:rPr>
        <w:t>3</w:t>
      </w:r>
      <w:r>
        <w:rPr>
          <w:rFonts w:hint="eastAsia"/>
          <w:szCs w:val="24"/>
        </w:rPr>
        <w:t>）</w:t>
      </w:r>
      <w:r>
        <w:rPr>
          <w:rFonts w:hint="eastAsia"/>
          <w:kern w:val="2"/>
          <w:szCs w:val="22"/>
        </w:rPr>
        <w:t>《四川省嘉陵江流域生态环境保护条例》（2021年11月25日四川省第十三届人民代表大会常务委员会第三十一次会议通过）</w:t>
      </w:r>
      <w:r>
        <w:rPr>
          <w:szCs w:val="24"/>
        </w:rPr>
        <w:t>；</w:t>
      </w:r>
    </w:p>
    <w:p>
      <w:pPr>
        <w:pStyle w:val="112"/>
        <w:ind w:firstLine="480"/>
        <w:rPr>
          <w:szCs w:val="24"/>
        </w:rPr>
      </w:pPr>
      <w:r>
        <w:rPr>
          <w:rFonts w:hint="eastAsia"/>
          <w:szCs w:val="24"/>
        </w:rPr>
        <w:t>（</w:t>
      </w:r>
      <w:r>
        <w:rPr>
          <w:szCs w:val="24"/>
        </w:rPr>
        <w:t>4</w:t>
      </w:r>
      <w:r>
        <w:rPr>
          <w:rFonts w:hint="eastAsia"/>
          <w:szCs w:val="24"/>
        </w:rPr>
        <w:t>）</w:t>
      </w:r>
      <w:r>
        <w:rPr>
          <w:szCs w:val="24"/>
        </w:rPr>
        <w:t>《四川省环境污染防治“三大战役”实施方案》（川委厅〔2016〕92号）；</w:t>
      </w:r>
    </w:p>
    <w:p>
      <w:pPr>
        <w:pStyle w:val="112"/>
        <w:ind w:firstLine="480"/>
        <w:rPr>
          <w:szCs w:val="24"/>
        </w:rPr>
      </w:pPr>
      <w:r>
        <w:rPr>
          <w:rFonts w:hint="eastAsia"/>
          <w:szCs w:val="24"/>
        </w:rPr>
        <w:t>（5）</w:t>
      </w:r>
      <w:r>
        <w:rPr>
          <w:szCs w:val="24"/>
        </w:rPr>
        <w:t>《关于印发四川省蓝天保卫行动方案（2017-2020年）的通知》（川污防“三大战役”办〔2017〕33号）；</w:t>
      </w:r>
    </w:p>
    <w:p>
      <w:pPr>
        <w:pStyle w:val="112"/>
        <w:ind w:firstLine="480"/>
        <w:rPr>
          <w:szCs w:val="24"/>
        </w:rPr>
      </w:pPr>
      <w:r>
        <w:rPr>
          <w:rFonts w:hint="eastAsia"/>
          <w:szCs w:val="24"/>
        </w:rPr>
        <w:t>（6）</w:t>
      </w:r>
      <w:r>
        <w:rPr>
          <w:szCs w:val="24"/>
        </w:rPr>
        <w:t xml:space="preserve">《四川省基本农田保护实施细则》（1996年2月29日施行）； </w:t>
      </w:r>
    </w:p>
    <w:p>
      <w:pPr>
        <w:pStyle w:val="112"/>
        <w:ind w:firstLine="480"/>
        <w:rPr>
          <w:szCs w:val="24"/>
        </w:rPr>
      </w:pPr>
      <w:r>
        <w:rPr>
          <w:rFonts w:hint="eastAsia"/>
          <w:szCs w:val="24"/>
        </w:rPr>
        <w:t>（7）</w:t>
      </w:r>
      <w:r>
        <w:rPr>
          <w:szCs w:val="24"/>
        </w:rPr>
        <w:t>关于印发《土壤污染防治行动计划四川省工作方案》的通知，（川府发〔2016〕63号，2016年12月29日）；</w:t>
      </w:r>
    </w:p>
    <w:p>
      <w:pPr>
        <w:pStyle w:val="112"/>
        <w:ind w:firstLine="480"/>
        <w:rPr>
          <w:szCs w:val="24"/>
        </w:rPr>
      </w:pPr>
      <w:r>
        <w:rPr>
          <w:rFonts w:hint="eastAsia"/>
          <w:szCs w:val="24"/>
        </w:rPr>
        <w:t>（8）</w:t>
      </w:r>
      <w:r>
        <w:rPr>
          <w:szCs w:val="24"/>
        </w:rPr>
        <w:t xml:space="preserve">四川省《中华人民共和国土地管理法》实施办法，2012年7月27日； </w:t>
      </w:r>
    </w:p>
    <w:p>
      <w:pPr>
        <w:pStyle w:val="112"/>
        <w:ind w:firstLine="480"/>
        <w:rPr>
          <w:szCs w:val="24"/>
        </w:rPr>
      </w:pPr>
      <w:r>
        <w:rPr>
          <w:rFonts w:hint="eastAsia"/>
          <w:szCs w:val="24"/>
        </w:rPr>
        <w:t>（9）</w:t>
      </w:r>
      <w:r>
        <w:rPr>
          <w:szCs w:val="24"/>
        </w:rPr>
        <w:t>《四川省人民政府办公厅关于城镇集中式饮用水水源地保护区划定方案的通知》（川办函〔2010〕26号）；</w:t>
      </w:r>
    </w:p>
    <w:p>
      <w:pPr>
        <w:pStyle w:val="112"/>
        <w:ind w:firstLine="480"/>
        <w:rPr>
          <w:szCs w:val="24"/>
        </w:rPr>
      </w:pPr>
      <w:r>
        <w:rPr>
          <w:rFonts w:hint="eastAsia"/>
          <w:szCs w:val="24"/>
        </w:rPr>
        <w:t>（</w:t>
      </w:r>
      <w:r>
        <w:rPr>
          <w:szCs w:val="24"/>
        </w:rPr>
        <w:t>1</w:t>
      </w:r>
      <w:r>
        <w:rPr>
          <w:rFonts w:hint="eastAsia"/>
          <w:szCs w:val="24"/>
        </w:rPr>
        <w:t>0）</w:t>
      </w:r>
      <w:r>
        <w:rPr>
          <w:szCs w:val="24"/>
        </w:rPr>
        <w:t>《四川省饮用水水源保护管理条例》，（四川省第十三届人民代表大会常务委员会公告第41号，2019年9月26日）；</w:t>
      </w:r>
    </w:p>
    <w:p>
      <w:pPr>
        <w:pStyle w:val="112"/>
        <w:ind w:firstLine="480"/>
        <w:rPr>
          <w:szCs w:val="24"/>
        </w:rPr>
      </w:pPr>
      <w:r>
        <w:rPr>
          <w:rFonts w:hint="eastAsia"/>
          <w:szCs w:val="24"/>
        </w:rPr>
        <w:t>（</w:t>
      </w:r>
      <w:r>
        <w:rPr>
          <w:szCs w:val="24"/>
        </w:rPr>
        <w:t>1</w:t>
      </w:r>
      <w:r>
        <w:rPr>
          <w:rFonts w:hint="eastAsia"/>
          <w:szCs w:val="24"/>
        </w:rPr>
        <w:t>1）</w:t>
      </w:r>
      <w:r>
        <w:rPr>
          <w:szCs w:val="24"/>
        </w:rPr>
        <w:t>《四川省人民政府关于印发水污染防治行动计划四川省工作方案的通知》，川府发〔2015〕59号；</w:t>
      </w:r>
    </w:p>
    <w:p>
      <w:pPr>
        <w:pStyle w:val="112"/>
        <w:ind w:firstLine="480"/>
        <w:rPr>
          <w:szCs w:val="24"/>
        </w:rPr>
      </w:pPr>
      <w:r>
        <w:rPr>
          <w:rFonts w:hint="eastAsia"/>
          <w:szCs w:val="24"/>
        </w:rPr>
        <w:t>（</w:t>
      </w:r>
      <w:r>
        <w:rPr>
          <w:szCs w:val="24"/>
        </w:rPr>
        <w:t>1</w:t>
      </w:r>
      <w:r>
        <w:rPr>
          <w:rFonts w:hint="eastAsia"/>
          <w:szCs w:val="24"/>
        </w:rPr>
        <w:t>2）</w:t>
      </w:r>
      <w:r>
        <w:rPr>
          <w:szCs w:val="24"/>
        </w:rPr>
        <w:t>《四川省环境保护厅关于进一步落实好环境影响评价风险防范措施的通知》，川环办发〔2013〕179号，2013年12月24日；</w:t>
      </w:r>
    </w:p>
    <w:p>
      <w:pPr>
        <w:pStyle w:val="112"/>
        <w:ind w:firstLine="480"/>
        <w:rPr>
          <w:szCs w:val="24"/>
        </w:rPr>
      </w:pPr>
      <w:r>
        <w:rPr>
          <w:rFonts w:hint="eastAsia"/>
          <w:szCs w:val="24"/>
        </w:rPr>
        <w:t>（</w:t>
      </w:r>
      <w:r>
        <w:rPr>
          <w:szCs w:val="24"/>
        </w:rPr>
        <w:t>1</w:t>
      </w:r>
      <w:r>
        <w:rPr>
          <w:rFonts w:hint="eastAsia"/>
          <w:szCs w:val="24"/>
        </w:rPr>
        <w:t>3）</w:t>
      </w:r>
      <w:r>
        <w:rPr>
          <w:szCs w:val="24"/>
        </w:rPr>
        <w:t>《四川省人民政府关于印发四川省生态保护红线方案的通知》，川府发〔2018〕24号；</w:t>
      </w:r>
    </w:p>
    <w:p>
      <w:pPr>
        <w:pStyle w:val="112"/>
        <w:ind w:firstLine="480"/>
        <w:rPr>
          <w:szCs w:val="24"/>
        </w:rPr>
      </w:pPr>
      <w:r>
        <w:rPr>
          <w:rFonts w:hint="eastAsia"/>
          <w:szCs w:val="24"/>
        </w:rPr>
        <w:t>（</w:t>
      </w:r>
      <w:r>
        <w:rPr>
          <w:szCs w:val="24"/>
        </w:rPr>
        <w:t>1</w:t>
      </w:r>
      <w:r>
        <w:rPr>
          <w:rFonts w:hint="eastAsia"/>
          <w:szCs w:val="24"/>
        </w:rPr>
        <w:t>4）</w:t>
      </w:r>
      <w:r>
        <w:rPr>
          <w:szCs w:val="24"/>
        </w:rPr>
        <w:t>《四川省环境保护厅关于发布生态保护红线市县级行政区汇总表和登记表的函》，川环函〔2018〕1201号；</w:t>
      </w:r>
    </w:p>
    <w:p>
      <w:pPr>
        <w:pStyle w:val="112"/>
        <w:ind w:firstLine="480"/>
        <w:rPr>
          <w:szCs w:val="24"/>
        </w:rPr>
      </w:pPr>
      <w:r>
        <w:rPr>
          <w:rFonts w:hint="eastAsia"/>
          <w:szCs w:val="24"/>
        </w:rPr>
        <w:t>（</w:t>
      </w:r>
      <w:r>
        <w:rPr>
          <w:szCs w:val="24"/>
        </w:rPr>
        <w:t>1</w:t>
      </w:r>
      <w:r>
        <w:rPr>
          <w:rFonts w:hint="eastAsia"/>
          <w:szCs w:val="24"/>
        </w:rPr>
        <w:t>5）</w:t>
      </w:r>
      <w:r>
        <w:rPr>
          <w:szCs w:val="24"/>
        </w:rPr>
        <w:t>《四川省〈中华人民共和国大气污染防治法〉实施办法》（四川省第十三届人民代表大会常务委员会公告第24号，2019年1月1日实施）；</w:t>
      </w:r>
    </w:p>
    <w:p>
      <w:pPr>
        <w:pStyle w:val="112"/>
        <w:ind w:firstLine="480"/>
        <w:rPr>
          <w:szCs w:val="24"/>
        </w:rPr>
      </w:pPr>
      <w:r>
        <w:rPr>
          <w:szCs w:val="24"/>
        </w:rPr>
        <w:t>（1</w:t>
      </w:r>
      <w:r>
        <w:rPr>
          <w:rFonts w:hint="eastAsia"/>
          <w:szCs w:val="24"/>
        </w:rPr>
        <w:t>6</w:t>
      </w:r>
      <w:r>
        <w:rPr>
          <w:szCs w:val="24"/>
        </w:rPr>
        <w:t>）《四川省固体废物污染环境防治条例》（四川省第十三届人民代表大会常务委员会公告第15号，2018年7月26日）</w:t>
      </w:r>
      <w:r>
        <w:rPr>
          <w:rFonts w:hint="eastAsia"/>
          <w:szCs w:val="24"/>
        </w:rPr>
        <w:t>；</w:t>
      </w:r>
    </w:p>
    <w:p>
      <w:pPr>
        <w:pStyle w:val="112"/>
        <w:ind w:firstLine="480"/>
        <w:rPr>
          <w:kern w:val="2"/>
          <w:szCs w:val="22"/>
        </w:rPr>
      </w:pPr>
      <w:r>
        <w:rPr>
          <w:rFonts w:hint="eastAsia"/>
          <w:szCs w:val="24"/>
        </w:rPr>
        <w:t>（17）</w:t>
      </w:r>
      <w:r>
        <w:rPr>
          <w:rFonts w:hint="eastAsia"/>
        </w:rPr>
        <w:t>《四川省“十四五”能源发展规划》（川府发〔2022〕8号）；</w:t>
      </w:r>
      <w:r>
        <w:rPr>
          <w:rFonts w:hint="eastAsia"/>
          <w:kern w:val="2"/>
          <w:szCs w:val="22"/>
        </w:rPr>
        <w:t xml:space="preserve"> </w:t>
      </w:r>
    </w:p>
    <w:p>
      <w:pPr>
        <w:pStyle w:val="112"/>
        <w:ind w:firstLine="480"/>
        <w:rPr>
          <w:kern w:val="2"/>
          <w:szCs w:val="22"/>
        </w:rPr>
      </w:pPr>
      <w:r>
        <w:rPr>
          <w:rFonts w:hint="eastAsia"/>
          <w:kern w:val="2"/>
          <w:szCs w:val="22"/>
        </w:rPr>
        <w:t>（18）《四川省、重庆市长江经济带发展负面清单实施细则（试行，2022年版）》；</w:t>
      </w:r>
    </w:p>
    <w:p>
      <w:pPr>
        <w:pStyle w:val="112"/>
        <w:ind w:firstLine="480"/>
        <w:rPr>
          <w:szCs w:val="24"/>
        </w:rPr>
      </w:pPr>
      <w:r>
        <w:rPr>
          <w:rFonts w:hint="eastAsia"/>
          <w:szCs w:val="24"/>
        </w:rPr>
        <w:t>（19）《四川省页岩气开采业污染防治技术政策》；</w:t>
      </w:r>
    </w:p>
    <w:p>
      <w:pPr>
        <w:pStyle w:val="112"/>
        <w:ind w:firstLine="480"/>
      </w:pPr>
      <w:r>
        <w:rPr>
          <w:rFonts w:hint="eastAsia"/>
          <w:szCs w:val="24"/>
        </w:rPr>
        <w:t>（20）</w:t>
      </w:r>
      <w:r>
        <w:rPr>
          <w:bCs/>
          <w:szCs w:val="24"/>
        </w:rPr>
        <w:t>中共宣汉县委办公室 宣汉县人民政府办公室 关于印发《宣汉县 2022 年创建国家生态文明建设示范县实施方案》的通知</w:t>
      </w:r>
      <w:r>
        <w:rPr>
          <w:rFonts w:hint="eastAsia"/>
          <w:bCs/>
          <w:szCs w:val="24"/>
        </w:rPr>
        <w:t>（宣县委办发</w:t>
      </w:r>
      <w:r>
        <w:rPr>
          <w:rFonts w:hint="eastAsia"/>
          <w:bCs/>
          <w:szCs w:val="24"/>
          <w:lang w:eastAsia="zh-CN"/>
        </w:rPr>
        <w:t>〔2022〕</w:t>
      </w:r>
      <w:r>
        <w:rPr>
          <w:rFonts w:hint="eastAsia"/>
          <w:bCs/>
          <w:szCs w:val="24"/>
        </w:rPr>
        <w:t>33号）</w:t>
      </w:r>
      <w:r>
        <w:rPr>
          <w:rFonts w:hint="eastAsia"/>
          <w:szCs w:val="24"/>
        </w:rPr>
        <w:t>；</w:t>
      </w:r>
    </w:p>
    <w:p>
      <w:pPr>
        <w:pStyle w:val="112"/>
        <w:ind w:firstLine="480"/>
      </w:pPr>
      <w:r>
        <w:rPr>
          <w:rFonts w:hint="eastAsia"/>
        </w:rPr>
        <w:t>（21）达州市人民政府《关于落实生态保护红线、环境质量底线、资源利用上线制定生态环境准入清单实施生态环境分区管控的通知》达市府发〔2021〕17 号；</w:t>
      </w:r>
    </w:p>
    <w:p>
      <w:pPr>
        <w:pStyle w:val="112"/>
        <w:ind w:firstLine="480"/>
        <w:rPr>
          <w:szCs w:val="24"/>
        </w:rPr>
      </w:pPr>
      <w:r>
        <w:rPr>
          <w:rFonts w:hint="eastAsia"/>
        </w:rPr>
        <w:t>（20）</w:t>
      </w:r>
      <w:r>
        <w:t>达州市人民政府《关于划定万源市、宣汉县和大竹县乡镇及以下集中式饮用水水源地保护区的批复》（达市府发</w:t>
      </w:r>
      <w:r>
        <w:rPr>
          <w:kern w:val="2"/>
        </w:rPr>
        <w:t>〔2020〕</w:t>
      </w:r>
      <w:r>
        <w:t>124号）</w:t>
      </w:r>
      <w:r>
        <w:rPr>
          <w:kern w:val="2"/>
          <w:szCs w:val="22"/>
        </w:rPr>
        <w:t>。</w:t>
      </w:r>
    </w:p>
    <w:p>
      <w:pPr>
        <w:keepNext/>
        <w:keepLines/>
        <w:ind w:firstLine="0" w:firstLineChars="0"/>
        <w:outlineLvl w:val="2"/>
        <w:rPr>
          <w:rFonts w:ascii="Times New Roman" w:cs="Times New Roman"/>
          <w:b/>
          <w:szCs w:val="32"/>
        </w:rPr>
      </w:pPr>
      <w:bookmarkStart w:id="43" w:name="_Toc19815924"/>
      <w:r>
        <w:rPr>
          <w:rFonts w:ascii="Times New Roman" w:cs="Times New Roman"/>
          <w:b/>
          <w:szCs w:val="32"/>
        </w:rPr>
        <w:t>1.1.5 相关环评技术规范</w:t>
      </w:r>
      <w:bookmarkEnd w:id="43"/>
    </w:p>
    <w:p>
      <w:pPr>
        <w:pStyle w:val="112"/>
        <w:ind w:firstLine="480"/>
      </w:pPr>
      <w:r>
        <w:rPr>
          <w:rFonts w:hint="eastAsia"/>
        </w:rPr>
        <w:t>（1）</w:t>
      </w:r>
      <w:r>
        <w:t>《建设项目环境影响评价技术导则 总纲》（HJ2.1-2016）；</w:t>
      </w:r>
    </w:p>
    <w:p>
      <w:pPr>
        <w:pStyle w:val="112"/>
        <w:ind w:firstLine="480"/>
      </w:pPr>
      <w:r>
        <w:rPr>
          <w:rFonts w:hint="eastAsia"/>
        </w:rPr>
        <w:t>（2）</w:t>
      </w:r>
      <w:r>
        <w:t>《环境影响评价技术导则 大气环境》（HJ2.2-2018）；</w:t>
      </w:r>
    </w:p>
    <w:p>
      <w:pPr>
        <w:pStyle w:val="112"/>
        <w:ind w:firstLine="480"/>
      </w:pPr>
      <w:r>
        <w:rPr>
          <w:rFonts w:hint="eastAsia"/>
        </w:rPr>
        <w:t>（3）</w:t>
      </w:r>
      <w:r>
        <w:t>《环境影响评价技术导则 地表水环境》（HJ2.3-2018）；</w:t>
      </w:r>
    </w:p>
    <w:p>
      <w:pPr>
        <w:pStyle w:val="112"/>
        <w:ind w:firstLine="480"/>
      </w:pPr>
      <w:r>
        <w:rPr>
          <w:rFonts w:hint="eastAsia"/>
        </w:rPr>
        <w:t>（4）</w:t>
      </w:r>
      <w:r>
        <w:t>《环境影响评价技术导则 声环境》（HJ2.4-20</w:t>
      </w:r>
      <w:r>
        <w:rPr>
          <w:rFonts w:hint="eastAsia"/>
        </w:rPr>
        <w:t>21</w:t>
      </w:r>
      <w:r>
        <w:t>）；</w:t>
      </w:r>
    </w:p>
    <w:p>
      <w:pPr>
        <w:pStyle w:val="112"/>
        <w:ind w:firstLine="480"/>
      </w:pPr>
      <w:r>
        <w:rPr>
          <w:rFonts w:hint="eastAsia"/>
        </w:rPr>
        <w:t>（5）</w:t>
      </w:r>
      <w:r>
        <w:t>《环境影响评价技术导则 地下水环境》（HJ610-2016）</w:t>
      </w:r>
    </w:p>
    <w:p>
      <w:pPr>
        <w:pStyle w:val="112"/>
        <w:ind w:firstLine="480"/>
      </w:pPr>
      <w:r>
        <w:rPr>
          <w:rFonts w:hint="eastAsia"/>
        </w:rPr>
        <w:t>（6）</w:t>
      </w:r>
      <w:r>
        <w:t>《环境影响评价技术导则 生态影响》（HJ19-20</w:t>
      </w:r>
      <w:r>
        <w:rPr>
          <w:rFonts w:hint="eastAsia"/>
        </w:rPr>
        <w:t>22</w:t>
      </w:r>
      <w:r>
        <w:t>）；</w:t>
      </w:r>
    </w:p>
    <w:p>
      <w:pPr>
        <w:pStyle w:val="112"/>
        <w:ind w:firstLine="480"/>
      </w:pPr>
      <w:r>
        <w:rPr>
          <w:rFonts w:hint="eastAsia"/>
        </w:rPr>
        <w:t>（7）</w:t>
      </w:r>
      <w:r>
        <w:t>《环境影响评价技术导则 土壤环境（试行）》（HJ964-2018）；</w:t>
      </w:r>
    </w:p>
    <w:p>
      <w:pPr>
        <w:pStyle w:val="112"/>
        <w:ind w:firstLine="480"/>
      </w:pPr>
      <w:r>
        <w:rPr>
          <w:rFonts w:hint="eastAsia"/>
        </w:rPr>
        <w:t>（8）</w:t>
      </w:r>
      <w:r>
        <w:t>《建设项目环境风险评价技术导则》（HJ169-2018）；</w:t>
      </w:r>
    </w:p>
    <w:p>
      <w:pPr>
        <w:pStyle w:val="112"/>
        <w:ind w:firstLine="480"/>
      </w:pPr>
      <w:r>
        <w:rPr>
          <w:rFonts w:hint="eastAsia"/>
        </w:rPr>
        <w:t>（9）</w:t>
      </w:r>
      <w:r>
        <w:t>《生态环境健康风险评价技术指南 总纲》（HJ1111-2020）；</w:t>
      </w:r>
    </w:p>
    <w:p>
      <w:pPr>
        <w:pStyle w:val="112"/>
        <w:ind w:firstLine="480"/>
      </w:pPr>
      <w:r>
        <w:rPr>
          <w:rFonts w:hint="eastAsia"/>
        </w:rPr>
        <w:t>（10）</w:t>
      </w:r>
      <w:r>
        <w:rPr>
          <w:color w:val="FF0000"/>
        </w:rPr>
        <w:t>《环境影响评价技术导则 陆地石油天然气开发建设项目》（HJ349-20</w:t>
      </w:r>
      <w:r>
        <w:rPr>
          <w:rFonts w:hint="eastAsia"/>
          <w:color w:val="FF0000"/>
        </w:rPr>
        <w:t>23</w:t>
      </w:r>
      <w:r>
        <w:rPr>
          <w:color w:val="FF0000"/>
        </w:rPr>
        <w:t>）</w:t>
      </w:r>
      <w:r>
        <w:t>；</w:t>
      </w:r>
    </w:p>
    <w:p>
      <w:pPr>
        <w:pStyle w:val="112"/>
        <w:ind w:firstLine="480"/>
      </w:pPr>
      <w:r>
        <w:rPr>
          <w:rFonts w:hint="eastAsia"/>
        </w:rPr>
        <w:t>（11）</w:t>
      </w:r>
      <w:r>
        <w:t>《开发建设项目水土保持技术规范》（GB50433-2008）；</w:t>
      </w:r>
    </w:p>
    <w:p>
      <w:pPr>
        <w:pStyle w:val="112"/>
        <w:ind w:firstLine="480"/>
      </w:pPr>
      <w:r>
        <w:rPr>
          <w:rFonts w:hint="eastAsia"/>
        </w:rPr>
        <w:t>（12）</w:t>
      </w:r>
      <w:r>
        <w:t>《危险化学品重大危险源辨识》（GB18218-2018），2019年3月1日；</w:t>
      </w:r>
    </w:p>
    <w:p>
      <w:pPr>
        <w:pStyle w:val="112"/>
        <w:ind w:firstLine="480"/>
      </w:pPr>
      <w:r>
        <w:rPr>
          <w:rFonts w:hint="eastAsia"/>
        </w:rPr>
        <w:t>（13）</w:t>
      </w:r>
      <w:r>
        <w:t>《油气输送管道穿越工程设计规范》（GB50423-2015）；</w:t>
      </w:r>
    </w:p>
    <w:p>
      <w:pPr>
        <w:pStyle w:val="112"/>
        <w:ind w:firstLine="480"/>
      </w:pPr>
      <w:r>
        <w:rPr>
          <w:rFonts w:hint="eastAsia"/>
        </w:rPr>
        <w:t>（14）</w:t>
      </w:r>
      <w:r>
        <w:t>《原油和天然气输送管道穿跨越工程设计规范·穿越工程》（SY/T0015.1-98）；</w:t>
      </w:r>
    </w:p>
    <w:p>
      <w:pPr>
        <w:pStyle w:val="112"/>
        <w:ind w:firstLine="480"/>
      </w:pPr>
      <w:r>
        <w:rPr>
          <w:rFonts w:hint="eastAsia"/>
        </w:rPr>
        <w:t>（15）</w:t>
      </w:r>
      <w:r>
        <w:t>《埋地钢质管道阴极保护技术规范》（GB/T21448-2017）；</w:t>
      </w:r>
    </w:p>
    <w:p>
      <w:pPr>
        <w:pStyle w:val="112"/>
        <w:ind w:firstLine="480"/>
      </w:pPr>
      <w:r>
        <w:rPr>
          <w:rFonts w:hint="eastAsia"/>
        </w:rPr>
        <w:t>（16）</w:t>
      </w:r>
      <w:r>
        <w:t>《天然气管道运行规范》（SY/T5922-2003）；</w:t>
      </w:r>
    </w:p>
    <w:p>
      <w:pPr>
        <w:pStyle w:val="112"/>
        <w:ind w:firstLine="480"/>
      </w:pPr>
      <w:r>
        <w:rPr>
          <w:rFonts w:hint="eastAsia"/>
        </w:rPr>
        <w:t>（17）</w:t>
      </w:r>
      <w:r>
        <w:t>《国家危险废物名录》（20</w:t>
      </w:r>
      <w:r>
        <w:rPr>
          <w:rFonts w:hint="eastAsia"/>
        </w:rPr>
        <w:t>21年版</w:t>
      </w:r>
      <w:r>
        <w:t>）；</w:t>
      </w:r>
    </w:p>
    <w:p>
      <w:pPr>
        <w:pStyle w:val="112"/>
        <w:ind w:firstLine="480"/>
      </w:pPr>
      <w:r>
        <w:rPr>
          <w:rFonts w:hint="eastAsia"/>
        </w:rPr>
        <w:t>（18）</w:t>
      </w:r>
      <w:r>
        <w:t>《建筑设计防火规范》（GB50016-2014）。</w:t>
      </w:r>
    </w:p>
    <w:p>
      <w:pPr>
        <w:keepNext/>
        <w:keepLines/>
        <w:ind w:firstLine="0" w:firstLineChars="0"/>
        <w:outlineLvl w:val="2"/>
        <w:rPr>
          <w:rFonts w:ascii="Times New Roman" w:cs="Times New Roman"/>
          <w:b/>
          <w:szCs w:val="32"/>
        </w:rPr>
      </w:pPr>
      <w:bookmarkStart w:id="44" w:name="_Toc19815926"/>
      <w:r>
        <w:rPr>
          <w:rFonts w:ascii="Times New Roman" w:cs="Times New Roman"/>
          <w:b/>
          <w:szCs w:val="32"/>
        </w:rPr>
        <w:t>1.1.6 环境影响评价工作其它依据</w:t>
      </w:r>
      <w:bookmarkEnd w:id="44"/>
    </w:p>
    <w:p>
      <w:pPr>
        <w:pStyle w:val="112"/>
        <w:ind w:firstLine="480"/>
      </w:pPr>
      <w:r>
        <w:rPr>
          <w:rFonts w:hint="eastAsia"/>
        </w:rPr>
        <w:t>（1）</w:t>
      </w:r>
      <w:r>
        <w:t>环境影响评价委托书；</w:t>
      </w:r>
    </w:p>
    <w:p>
      <w:pPr>
        <w:pStyle w:val="112"/>
        <w:ind w:firstLine="480"/>
      </w:pPr>
      <w:bookmarkStart w:id="45" w:name="_Hlk56956483"/>
      <w:r>
        <w:rPr>
          <w:rFonts w:hint="eastAsia"/>
        </w:rPr>
        <w:t>（2）</w:t>
      </w:r>
      <w:r>
        <w:t>《普光气田普陆4-1H井产能建设项目可行性研究报告》及可研批复；</w:t>
      </w:r>
    </w:p>
    <w:p>
      <w:pPr>
        <w:pStyle w:val="112"/>
        <w:ind w:firstLine="480"/>
      </w:pPr>
      <w:r>
        <w:rPr>
          <w:rFonts w:hint="eastAsia"/>
        </w:rPr>
        <w:t>（3）</w:t>
      </w:r>
      <w:r>
        <w:t>《普光气田普陆4-1H井产能建设项目</w:t>
      </w:r>
      <w:r>
        <w:rPr>
          <w:rFonts w:hint="eastAsia"/>
        </w:rPr>
        <w:t>（项目名称原为：普陆 4 井台钻井及试采工程项目）</w:t>
      </w:r>
      <w:r>
        <w:t>环境质量监测报告》；</w:t>
      </w:r>
    </w:p>
    <w:p>
      <w:pPr>
        <w:pStyle w:val="112"/>
        <w:ind w:firstLine="480"/>
      </w:pPr>
      <w:r>
        <w:rPr>
          <w:rFonts w:hint="eastAsia"/>
        </w:rPr>
        <w:t>（4）</w:t>
      </w:r>
      <w:r>
        <w:t>项目直接影响区、县及相关乡镇规划、土地利用规划、植被分布现状、水系分布情况、旅游区发展规划等相关文件、资料；</w:t>
      </w:r>
    </w:p>
    <w:bookmarkEnd w:id="45"/>
    <w:p>
      <w:pPr>
        <w:pStyle w:val="112"/>
        <w:ind w:firstLine="480"/>
      </w:pPr>
      <w:r>
        <w:rPr>
          <w:rFonts w:hint="eastAsia"/>
        </w:rPr>
        <w:t>（5）</w:t>
      </w:r>
      <w:r>
        <w:t>建设单位提供的项目其他有关资料。</w:t>
      </w:r>
    </w:p>
    <w:p>
      <w:pPr>
        <w:keepNext/>
        <w:keepLines/>
        <w:spacing w:before="120"/>
        <w:ind w:firstLine="0" w:firstLineChars="0"/>
        <w:outlineLvl w:val="1"/>
        <w:rPr>
          <w:rFonts w:ascii="Times New Roman" w:cs="Times New Roman"/>
          <w:b/>
          <w:bCs/>
          <w:sz w:val="28"/>
          <w:szCs w:val="32"/>
        </w:rPr>
      </w:pPr>
      <w:bookmarkStart w:id="46" w:name="bookmark3"/>
      <w:bookmarkEnd w:id="46"/>
      <w:bookmarkStart w:id="47" w:name="_Toc12288386"/>
      <w:bookmarkStart w:id="48" w:name="_Toc19815927"/>
      <w:bookmarkStart w:id="49" w:name="_Toc81515251"/>
      <w:r>
        <w:rPr>
          <w:rFonts w:ascii="Times New Roman" w:cs="Times New Roman"/>
          <w:b/>
          <w:bCs/>
          <w:sz w:val="28"/>
          <w:szCs w:val="32"/>
        </w:rPr>
        <w:t>1.2 评价目的、原则</w:t>
      </w:r>
      <w:bookmarkEnd w:id="47"/>
      <w:r>
        <w:rPr>
          <w:rFonts w:ascii="Times New Roman" w:cs="Times New Roman"/>
          <w:b/>
          <w:bCs/>
          <w:sz w:val="28"/>
          <w:szCs w:val="32"/>
        </w:rPr>
        <w:t>与评价重点</w:t>
      </w:r>
      <w:bookmarkEnd w:id="48"/>
      <w:bookmarkEnd w:id="49"/>
    </w:p>
    <w:p>
      <w:pPr>
        <w:keepNext/>
        <w:keepLines/>
        <w:ind w:firstLine="0" w:firstLineChars="0"/>
        <w:outlineLvl w:val="2"/>
        <w:rPr>
          <w:rFonts w:ascii="Times New Roman" w:cs="Times New Roman"/>
          <w:b/>
          <w:szCs w:val="32"/>
        </w:rPr>
      </w:pPr>
      <w:bookmarkStart w:id="50" w:name="_Toc19815928"/>
      <w:r>
        <w:rPr>
          <w:rFonts w:ascii="Times New Roman" w:cs="Times New Roman"/>
          <w:b/>
          <w:szCs w:val="32"/>
        </w:rPr>
        <w:t>1.2.1 评价目的</w:t>
      </w:r>
      <w:bookmarkEnd w:id="50"/>
    </w:p>
    <w:p>
      <w:pPr>
        <w:pStyle w:val="112"/>
        <w:ind w:firstLine="480"/>
      </w:pPr>
      <w:r>
        <w:t>环境影响评价的目的，是对项目实施后可能造成的环境影响进行分析、预测和评估，提出预防或者减轻不良环境影响的对策和措施。通过分析工程建设是否符合国家及地方产业、行业政策及相关专项规划要求；对工程选线进行环境可行性论证；通过工程分析，分析工程施工对生态环境影响情况，分析运营期环境风险是否可接受；提出污染防治和风险防控措施，为工程设计和环境管理提供科学依据。</w:t>
      </w:r>
    </w:p>
    <w:p>
      <w:pPr>
        <w:pStyle w:val="112"/>
        <w:ind w:firstLine="480"/>
      </w:pPr>
      <w:r>
        <w:t>本次评价将针对项目环境影响问题，并结合本项目的特点，达到以下目的：</w:t>
      </w:r>
    </w:p>
    <w:p>
      <w:pPr>
        <w:pStyle w:val="112"/>
        <w:ind w:firstLine="480"/>
      </w:pPr>
      <w:r>
        <w:t>（1）调查了解管道沿线及场站周围生态环境、环境空气、地表水环境、地下水环境、声环境等现状及工程沿线限制性环境要素；</w:t>
      </w:r>
    </w:p>
    <w:p>
      <w:pPr>
        <w:pStyle w:val="112"/>
        <w:ind w:firstLine="480"/>
      </w:pPr>
      <w:r>
        <w:t>（2）结合国家相关产业政策、行业规划、当地规划以及工程的环境影响进行预测与评价，分析论述项目建设选址的可行性和环境可行性；</w:t>
      </w:r>
    </w:p>
    <w:p>
      <w:pPr>
        <w:pStyle w:val="112"/>
        <w:ind w:firstLine="480"/>
      </w:pPr>
      <w:r>
        <w:t>（3）根据项目与环境保护目标的关系，提出管道建设、营运过程中拟采取的保护措施、减缓措施，使工程建设对环境产生的不利影响降到最低程度；</w:t>
      </w:r>
    </w:p>
    <w:p>
      <w:pPr>
        <w:pStyle w:val="112"/>
        <w:ind w:firstLine="480"/>
      </w:pPr>
      <w:r>
        <w:t>（4）根据工程在施工期对环境产生影响的主要特点，提出施工期环境管理、环境监理和监测计划；</w:t>
      </w:r>
    </w:p>
    <w:p>
      <w:pPr>
        <w:pStyle w:val="112"/>
        <w:ind w:firstLine="480"/>
      </w:pPr>
      <w:r>
        <w:t>（5）坚持“达标排放、总量控制、清洁生产”的原则，保证本项目建设实施后，不加重该区域的环境污染程度；</w:t>
      </w:r>
    </w:p>
    <w:p>
      <w:pPr>
        <w:pStyle w:val="112"/>
        <w:ind w:firstLine="480"/>
      </w:pPr>
      <w:r>
        <w:t>（6）从经济、技术角度论证项目污染防治措施的可行性；</w:t>
      </w:r>
    </w:p>
    <w:p>
      <w:pPr>
        <w:pStyle w:val="112"/>
        <w:ind w:firstLine="480"/>
      </w:pPr>
      <w:r>
        <w:t>（7）预测本项目建设过程中，对周围环境的影响程度和范围，在此基础上提出相应的防范措施；</w:t>
      </w:r>
    </w:p>
    <w:p>
      <w:pPr>
        <w:pStyle w:val="112"/>
        <w:ind w:firstLine="480"/>
      </w:pPr>
      <w:r>
        <w:t>（8）针对项目特性进行环境风险分析，提出风险防范措施，明确项目环境风险影响的接受水平；</w:t>
      </w:r>
    </w:p>
    <w:p>
      <w:pPr>
        <w:pStyle w:val="112"/>
        <w:ind w:firstLine="480"/>
      </w:pPr>
      <w:r>
        <w:t>（9）为工程的建设及施工期的环境管理提供科学依据，做到经济建设与环境保护协调发展。</w:t>
      </w:r>
    </w:p>
    <w:p>
      <w:pPr>
        <w:keepNext/>
        <w:keepLines/>
        <w:ind w:firstLine="0" w:firstLineChars="0"/>
        <w:outlineLvl w:val="2"/>
        <w:rPr>
          <w:rFonts w:ascii="Times New Roman" w:cs="Times New Roman"/>
          <w:b/>
          <w:szCs w:val="32"/>
        </w:rPr>
      </w:pPr>
      <w:bookmarkStart w:id="51" w:name="_Toc19815929"/>
      <w:r>
        <w:rPr>
          <w:rFonts w:ascii="Times New Roman" w:cs="Times New Roman"/>
          <w:b/>
          <w:szCs w:val="32"/>
        </w:rPr>
        <w:t>1.2.2 评价原则</w:t>
      </w:r>
      <w:bookmarkEnd w:id="51"/>
    </w:p>
    <w:p>
      <w:pPr>
        <w:pStyle w:val="112"/>
        <w:ind w:firstLine="480"/>
      </w:pPr>
      <w:r>
        <w:t>本次评价坚持“依法评价、科学评价、突出重点的”原则，起到环境影响评价的源头预防作用，坚持保护和改善环境质量。</w:t>
      </w:r>
    </w:p>
    <w:p>
      <w:pPr>
        <w:pStyle w:val="112"/>
        <w:ind w:firstLine="480"/>
      </w:pPr>
      <w:r>
        <w:t>（1）贯彻执行我国环境保护相关法律法规、标准、政策和规划等。建设项目一定要符合产业政策，符合本地区的总体规划、区域发展规划和环境保护规划的原则；</w:t>
      </w:r>
    </w:p>
    <w:p>
      <w:pPr>
        <w:pStyle w:val="112"/>
        <w:ind w:firstLine="480"/>
      </w:pPr>
      <w:r>
        <w:t>（2）提出污染防治措施和环境管理要求，优化项目建设，提高企业环境管理水平；</w:t>
      </w:r>
    </w:p>
    <w:p>
      <w:pPr>
        <w:pStyle w:val="112"/>
        <w:ind w:firstLine="480"/>
      </w:pPr>
      <w:r>
        <w:t>（3）科学分析项目建设对生态环境的影响，明确项目建设对生态环境影响的方式、范围及程度，预测评价生态环境影响可接受性，确定生态环境影响预防、恢复措施，并论证措施可行性及生态环境影响是否可以接受；</w:t>
      </w:r>
    </w:p>
    <w:p>
      <w:pPr>
        <w:pStyle w:val="112"/>
        <w:ind w:firstLine="480"/>
      </w:pPr>
      <w:r>
        <w:t>（4）坚持评价重点突出，结果客观明确，环保措施具有可操作性；体现本次评价的实用性和针对性；充分利用符合时效的数据资料及成果，对建设项目主要环境影响予以重点分析和评价；</w:t>
      </w:r>
    </w:p>
    <w:p>
      <w:pPr>
        <w:pStyle w:val="112"/>
        <w:ind w:firstLine="480"/>
      </w:pPr>
      <w:r>
        <w:rPr>
          <w:rFonts w:hint="eastAsia" w:ascii="宋体" w:hAnsi="宋体" w:cs="宋体"/>
        </w:rPr>
        <w:t>①</w:t>
      </w:r>
      <w:r>
        <w:t xml:space="preserve"> 首先对项目建设地环境空气、水环境（地下水、地表水）、声环境、土壤环境</w:t>
      </w:r>
      <w:r>
        <w:rPr>
          <w:rFonts w:hint="eastAsia"/>
        </w:rPr>
        <w:t>、</w:t>
      </w:r>
      <w:r>
        <w:t>生态环境等环境质量现状进行调查和评价。</w:t>
      </w:r>
    </w:p>
    <w:p>
      <w:pPr>
        <w:pStyle w:val="112"/>
        <w:ind w:firstLine="480"/>
      </w:pPr>
      <w:r>
        <w:rPr>
          <w:rFonts w:hint="eastAsia" w:ascii="宋体" w:hAnsi="宋体" w:cs="宋体"/>
        </w:rPr>
        <w:t>②</w:t>
      </w:r>
      <w:r>
        <w:t xml:space="preserve"> 对工程各阶段的环境影响因素进行充分识别，采取定量与定性相结合的方法，分析工程对周围环境各项环境要素的影响途径和程度。</w:t>
      </w:r>
    </w:p>
    <w:p>
      <w:pPr>
        <w:pStyle w:val="112"/>
        <w:ind w:firstLine="480"/>
      </w:pPr>
      <w:r>
        <w:rPr>
          <w:rFonts w:hint="eastAsia" w:ascii="宋体" w:hAnsi="宋体" w:cs="宋体"/>
        </w:rPr>
        <w:t>③</w:t>
      </w:r>
      <w:r>
        <w:t xml:space="preserve"> 结合项目建设地环境特征，根据各环境要素评价成果，对设计提出的环保措施的可行性、可靠性进行分析，并提出完善措施，以达到环保要求。</w:t>
      </w:r>
    </w:p>
    <w:p>
      <w:pPr>
        <w:keepNext/>
        <w:keepLines/>
        <w:ind w:firstLine="0" w:firstLineChars="0"/>
        <w:outlineLvl w:val="2"/>
        <w:rPr>
          <w:rFonts w:ascii="Times New Roman" w:cs="Times New Roman"/>
          <w:b/>
          <w:szCs w:val="32"/>
        </w:rPr>
      </w:pPr>
      <w:bookmarkStart w:id="52" w:name="_Toc19815930"/>
      <w:r>
        <w:rPr>
          <w:rFonts w:ascii="Times New Roman" w:cs="Times New Roman"/>
          <w:b/>
          <w:szCs w:val="32"/>
        </w:rPr>
        <w:t>1.2.3 评价重点</w:t>
      </w:r>
      <w:bookmarkEnd w:id="52"/>
    </w:p>
    <w:p>
      <w:pPr>
        <w:pStyle w:val="112"/>
        <w:ind w:firstLine="480"/>
      </w:pPr>
      <w:r>
        <w:t>根据本项目特点和工程沿线的环境概况，在工程分析的基础上，重点评价工程施工过程中对周边大气</w:t>
      </w:r>
      <w:r>
        <w:rPr>
          <w:rFonts w:hint="eastAsia"/>
        </w:rPr>
        <w:t>、</w:t>
      </w:r>
      <w:r>
        <w:t>地表水</w:t>
      </w:r>
      <w:r>
        <w:rPr>
          <w:rFonts w:hint="eastAsia"/>
        </w:rPr>
        <w:t>、</w:t>
      </w:r>
      <w:r>
        <w:t>地下水</w:t>
      </w:r>
      <w:r>
        <w:rPr>
          <w:rFonts w:hint="eastAsia"/>
        </w:rPr>
        <w:t>、</w:t>
      </w:r>
      <w:r>
        <w:t>声环境</w:t>
      </w:r>
      <w:r>
        <w:rPr>
          <w:rFonts w:hint="eastAsia"/>
        </w:rPr>
        <w:t>、土壤环境、环境风险及</w:t>
      </w:r>
      <w:r>
        <w:t>生态环境的影响，评价运营期沿线环境风险。</w:t>
      </w:r>
    </w:p>
    <w:p>
      <w:pPr>
        <w:pStyle w:val="112"/>
        <w:ind w:firstLine="480"/>
        <w:rPr>
          <w:color w:val="FF0000"/>
        </w:rPr>
      </w:pPr>
      <w:r>
        <w:rPr>
          <w:color w:val="FF0000"/>
        </w:rPr>
        <w:t>重点评价工程对管道穿越或临近的基本农田保护区、水土流失重点预防区和重点治理区等《建设项目环境影响评价分类管理名录》（2021版）中所列的环境敏感区的影响。</w:t>
      </w:r>
    </w:p>
    <w:p>
      <w:pPr>
        <w:keepNext/>
        <w:keepLines/>
        <w:spacing w:before="120"/>
        <w:ind w:firstLine="0" w:firstLineChars="0"/>
        <w:outlineLvl w:val="1"/>
        <w:rPr>
          <w:rFonts w:ascii="Times New Roman" w:cs="Times New Roman"/>
          <w:b/>
          <w:bCs/>
          <w:sz w:val="28"/>
          <w:szCs w:val="32"/>
        </w:rPr>
      </w:pPr>
      <w:bookmarkStart w:id="53" w:name="bookmark4"/>
      <w:bookmarkEnd w:id="53"/>
      <w:bookmarkStart w:id="54" w:name="_Toc12288387"/>
      <w:bookmarkStart w:id="55" w:name="_Toc19815931"/>
      <w:bookmarkStart w:id="56" w:name="_Toc81515252"/>
      <w:r>
        <w:rPr>
          <w:rFonts w:ascii="Times New Roman" w:cs="Times New Roman"/>
          <w:b/>
          <w:bCs/>
          <w:sz w:val="28"/>
          <w:szCs w:val="32"/>
        </w:rPr>
        <w:t>1.3 环境影响要素识别和评价因子筛选</w:t>
      </w:r>
      <w:bookmarkEnd w:id="54"/>
      <w:bookmarkEnd w:id="55"/>
      <w:bookmarkEnd w:id="56"/>
    </w:p>
    <w:p>
      <w:pPr>
        <w:keepNext/>
        <w:keepLines/>
        <w:ind w:firstLine="0" w:firstLineChars="0"/>
        <w:outlineLvl w:val="2"/>
        <w:rPr>
          <w:rFonts w:ascii="Times New Roman" w:cs="Times New Roman"/>
          <w:b/>
          <w:szCs w:val="32"/>
        </w:rPr>
      </w:pPr>
      <w:bookmarkStart w:id="57" w:name="_Toc19815932"/>
      <w:r>
        <w:rPr>
          <w:rFonts w:ascii="Times New Roman" w:cs="Times New Roman"/>
          <w:b/>
          <w:szCs w:val="32"/>
        </w:rPr>
        <w:t>1.3.1 环境影响要素识别</w:t>
      </w:r>
      <w:bookmarkEnd w:id="57"/>
    </w:p>
    <w:p>
      <w:pPr>
        <w:pStyle w:val="112"/>
        <w:ind w:firstLine="480"/>
      </w:pPr>
      <w:r>
        <w:t>本项目为污染影响型兼生态影响型建设工程，主要就工程建设及运行对区域大气</w:t>
      </w:r>
      <w:r>
        <w:rPr>
          <w:rFonts w:hint="eastAsia"/>
        </w:rPr>
        <w:t>、</w:t>
      </w:r>
      <w:r>
        <w:t>地表水</w:t>
      </w:r>
      <w:r>
        <w:rPr>
          <w:rFonts w:hint="eastAsia"/>
        </w:rPr>
        <w:t>、</w:t>
      </w:r>
      <w:r>
        <w:t>地下水</w:t>
      </w:r>
      <w:r>
        <w:rPr>
          <w:rFonts w:hint="eastAsia"/>
        </w:rPr>
        <w:t>、</w:t>
      </w:r>
      <w:r>
        <w:t>声环境</w:t>
      </w:r>
      <w:r>
        <w:rPr>
          <w:rFonts w:hint="eastAsia"/>
        </w:rPr>
        <w:t>、土壤环境及</w:t>
      </w:r>
      <w:r>
        <w:t>生态环境</w:t>
      </w:r>
      <w:r>
        <w:rPr>
          <w:rFonts w:hint="eastAsia"/>
        </w:rPr>
        <w:t>等</w:t>
      </w:r>
      <w:r>
        <w:t>环境要素所造成的影响进行识别。</w:t>
      </w:r>
    </w:p>
    <w:p>
      <w:pPr>
        <w:pStyle w:val="112"/>
        <w:ind w:firstLine="482"/>
        <w:rPr>
          <w:b/>
        </w:rPr>
      </w:pPr>
      <w:r>
        <w:rPr>
          <w:b/>
        </w:rPr>
        <w:t>1、生态环境影响</w:t>
      </w:r>
    </w:p>
    <w:p>
      <w:pPr>
        <w:pStyle w:val="112"/>
        <w:ind w:firstLine="480"/>
        <w:rPr>
          <w:kern w:val="2"/>
          <w:szCs w:val="22"/>
        </w:rPr>
      </w:pPr>
      <w:r>
        <w:rPr>
          <w:kern w:val="2"/>
          <w:szCs w:val="22"/>
        </w:rPr>
        <w:t>本项目生态环境影响主要体现在施工期。工程施工期间对生态环境的影响主要是场地平整</w:t>
      </w:r>
      <w:r>
        <w:rPr>
          <w:rFonts w:hint="eastAsia"/>
          <w:kern w:val="2"/>
          <w:szCs w:val="22"/>
        </w:rPr>
        <w:t>、</w:t>
      </w:r>
      <w:r>
        <w:rPr>
          <w:kern w:val="2"/>
          <w:szCs w:val="22"/>
        </w:rPr>
        <w:t>土石方工程开挖引起的自然地貌的改变和地表自然及人工植被的破坏，进而引起对土地利用的改变，生物量和生产力的变化，由此引发区域生态系统稳定性下降，致使生态环境的破坏；施工中临时道路、临时施工场地等将会占用耕地、林地及其它土地，导致农、林、种植业生态系统发生较大变化；混凝土</w:t>
      </w:r>
      <w:r>
        <w:rPr>
          <w:rFonts w:hint="eastAsia"/>
          <w:kern w:val="2"/>
          <w:szCs w:val="22"/>
        </w:rPr>
        <w:t>道路</w:t>
      </w:r>
      <w:r>
        <w:rPr>
          <w:kern w:val="2"/>
          <w:szCs w:val="22"/>
        </w:rPr>
        <w:t>施工等产生的弃土和施工行为对当地地表水环境容量产生影响；工程线路对沿线生态敏感目标的干扰、阻断影响和破坏。</w:t>
      </w:r>
    </w:p>
    <w:p>
      <w:pPr>
        <w:pStyle w:val="112"/>
        <w:ind w:firstLine="480"/>
        <w:rPr>
          <w:kern w:val="2"/>
          <w:szCs w:val="22"/>
        </w:rPr>
      </w:pPr>
      <w:r>
        <w:rPr>
          <w:kern w:val="2"/>
          <w:szCs w:val="22"/>
        </w:rPr>
        <w:t>营运期不会带来新的生态影响，受施工期影响的生态环境按相应的环境保护措施，逐步恢复重建。</w:t>
      </w:r>
    </w:p>
    <w:p>
      <w:pPr>
        <w:pStyle w:val="112"/>
        <w:ind w:firstLine="482"/>
        <w:rPr>
          <w:b/>
        </w:rPr>
      </w:pPr>
      <w:r>
        <w:rPr>
          <w:b/>
        </w:rPr>
        <w:t>2、地表水环境影响</w:t>
      </w:r>
    </w:p>
    <w:p>
      <w:pPr>
        <w:pStyle w:val="112"/>
        <w:ind w:firstLine="480"/>
        <w:rPr>
          <w:kern w:val="2"/>
          <w:szCs w:val="22"/>
        </w:rPr>
      </w:pPr>
      <w:r>
        <w:rPr>
          <w:kern w:val="2"/>
          <w:szCs w:val="22"/>
        </w:rPr>
        <w:t>（1）施工期</w:t>
      </w:r>
      <w:r>
        <w:rPr>
          <w:rFonts w:hint="eastAsia"/>
          <w:kern w:val="2"/>
          <w:szCs w:val="22"/>
        </w:rPr>
        <w:t>钻井</w:t>
      </w:r>
      <w:r>
        <w:rPr>
          <w:kern w:val="2"/>
          <w:szCs w:val="22"/>
        </w:rPr>
        <w:t>废水</w:t>
      </w:r>
      <w:r>
        <w:rPr>
          <w:rFonts w:hint="eastAsia"/>
          <w:kern w:val="2"/>
          <w:szCs w:val="22"/>
        </w:rPr>
        <w:t>、</w:t>
      </w:r>
      <w:r>
        <w:rPr>
          <w:kern w:val="2"/>
          <w:szCs w:val="22"/>
        </w:rPr>
        <w:t>压裂废水和洗井废水对地表水环境的影响；</w:t>
      </w:r>
    </w:p>
    <w:p>
      <w:pPr>
        <w:pStyle w:val="112"/>
        <w:ind w:firstLine="480"/>
        <w:rPr>
          <w:kern w:val="2"/>
          <w:szCs w:val="22"/>
        </w:rPr>
      </w:pPr>
      <w:r>
        <w:rPr>
          <w:kern w:val="2"/>
          <w:szCs w:val="22"/>
        </w:rPr>
        <w:t>（2）清管试压排放水对地表水环境的影响；</w:t>
      </w:r>
    </w:p>
    <w:p>
      <w:pPr>
        <w:pStyle w:val="112"/>
        <w:ind w:firstLine="480"/>
        <w:rPr>
          <w:kern w:val="2"/>
          <w:szCs w:val="22"/>
        </w:rPr>
      </w:pPr>
      <w:r>
        <w:rPr>
          <w:kern w:val="2"/>
          <w:szCs w:val="22"/>
        </w:rPr>
        <w:t>（3）施工人员产生的生活污水排放对地表水环境的影响；</w:t>
      </w:r>
    </w:p>
    <w:p>
      <w:pPr>
        <w:pStyle w:val="112"/>
        <w:ind w:firstLine="480"/>
        <w:rPr>
          <w:kern w:val="2"/>
          <w:szCs w:val="22"/>
        </w:rPr>
      </w:pPr>
      <w:r>
        <w:rPr>
          <w:kern w:val="2"/>
          <w:szCs w:val="22"/>
        </w:rPr>
        <w:t>（4）运营期气田水</w:t>
      </w:r>
      <w:r>
        <w:rPr>
          <w:rFonts w:hint="eastAsia"/>
          <w:kern w:val="2"/>
          <w:szCs w:val="22"/>
        </w:rPr>
        <w:t>、</w:t>
      </w:r>
      <w:r>
        <w:rPr>
          <w:kern w:val="2"/>
          <w:szCs w:val="22"/>
        </w:rPr>
        <w:t>生活污水对地表水环境的影响。</w:t>
      </w:r>
    </w:p>
    <w:p>
      <w:pPr>
        <w:ind w:firstLine="482"/>
        <w:rPr>
          <w:rFonts w:ascii="Times New Roman" w:cs="Times New Roman"/>
          <w:b/>
        </w:rPr>
      </w:pPr>
      <w:r>
        <w:rPr>
          <w:rFonts w:ascii="Times New Roman" w:cs="Times New Roman"/>
          <w:b/>
        </w:rPr>
        <w:t>3、地下水环境影响</w:t>
      </w:r>
    </w:p>
    <w:p>
      <w:pPr>
        <w:topLinePunct w:val="0"/>
        <w:adjustRightInd/>
        <w:ind w:firstLine="480"/>
        <w:rPr>
          <w:rFonts w:ascii="Times New Roman" w:cs="Times New Roman"/>
          <w:kern w:val="2"/>
          <w:szCs w:val="22"/>
        </w:rPr>
      </w:pPr>
      <w:r>
        <w:rPr>
          <w:rFonts w:ascii="Times New Roman" w:cs="Times New Roman"/>
          <w:kern w:val="2"/>
          <w:szCs w:val="22"/>
        </w:rPr>
        <w:t>（1）本项目施工期对地下水的影响是施工</w:t>
      </w:r>
      <w:r>
        <w:rPr>
          <w:rFonts w:hint="eastAsia" w:ascii="Times New Roman" w:cs="Times New Roman"/>
          <w:kern w:val="2"/>
          <w:szCs w:val="22"/>
        </w:rPr>
        <w:t>期</w:t>
      </w:r>
      <w:r>
        <w:rPr>
          <w:rFonts w:ascii="Times New Roman" w:cs="Times New Roman"/>
          <w:kern w:val="2"/>
          <w:szCs w:val="22"/>
        </w:rPr>
        <w:t>钻井过程中可能造成地下水的污染</w:t>
      </w:r>
      <w:r>
        <w:rPr>
          <w:rFonts w:hint="eastAsia" w:ascii="Times New Roman" w:cs="Times New Roman"/>
          <w:kern w:val="2"/>
          <w:szCs w:val="22"/>
        </w:rPr>
        <w:t>，同时施工</w:t>
      </w:r>
      <w:r>
        <w:rPr>
          <w:rFonts w:ascii="Times New Roman" w:cs="Times New Roman"/>
          <w:kern w:val="2"/>
          <w:szCs w:val="22"/>
        </w:rPr>
        <w:t>废水及施工生活污水</w:t>
      </w:r>
      <w:r>
        <w:rPr>
          <w:rFonts w:hint="eastAsia" w:ascii="Times New Roman" w:cs="Times New Roman"/>
          <w:kern w:val="2"/>
          <w:szCs w:val="22"/>
        </w:rPr>
        <w:t>若</w:t>
      </w:r>
      <w:r>
        <w:rPr>
          <w:rFonts w:ascii="Times New Roman" w:cs="Times New Roman"/>
          <w:kern w:val="2"/>
          <w:szCs w:val="22"/>
        </w:rPr>
        <w:t>处理不当外排，外排废水下渗对局部区域地下水水质造成影响；</w:t>
      </w:r>
    </w:p>
    <w:p>
      <w:pPr>
        <w:topLinePunct w:val="0"/>
        <w:adjustRightInd/>
        <w:ind w:firstLine="480"/>
        <w:rPr>
          <w:rFonts w:ascii="Times New Roman" w:cs="Times New Roman"/>
          <w:kern w:val="2"/>
          <w:szCs w:val="22"/>
        </w:rPr>
      </w:pPr>
      <w:r>
        <w:rPr>
          <w:rFonts w:ascii="Times New Roman" w:cs="Times New Roman"/>
          <w:kern w:val="2"/>
          <w:szCs w:val="22"/>
        </w:rPr>
        <w:t>（2）营运期对地下水的影响是</w:t>
      </w:r>
      <w:r>
        <w:rPr>
          <w:rFonts w:hint="eastAsia" w:ascii="Times New Roman" w:cs="Times New Roman"/>
          <w:kern w:val="2"/>
          <w:szCs w:val="22"/>
        </w:rPr>
        <w:t>污水池、放喷池</w:t>
      </w:r>
      <w:r>
        <w:rPr>
          <w:rFonts w:ascii="Times New Roman" w:cs="Times New Roman"/>
          <w:kern w:val="2"/>
          <w:szCs w:val="22"/>
        </w:rPr>
        <w:t>因管理不当而损坏，导致污水下渗对局部区域地下水水质造成影响。</w:t>
      </w:r>
    </w:p>
    <w:p>
      <w:pPr>
        <w:pStyle w:val="112"/>
        <w:ind w:firstLine="482"/>
        <w:rPr>
          <w:b/>
          <w:bCs/>
        </w:rPr>
      </w:pPr>
      <w:r>
        <w:rPr>
          <w:b/>
          <w:bCs/>
        </w:rPr>
        <w:t>4、大气环境影响</w:t>
      </w:r>
    </w:p>
    <w:p>
      <w:pPr>
        <w:pStyle w:val="112"/>
        <w:ind w:firstLine="480"/>
      </w:pPr>
      <w:r>
        <w:t>（1）施工机械排放的废气；</w:t>
      </w:r>
    </w:p>
    <w:p>
      <w:pPr>
        <w:pStyle w:val="112"/>
        <w:ind w:firstLine="480"/>
      </w:pPr>
      <w:r>
        <w:t>（2）施工产生的扬尘；</w:t>
      </w:r>
    </w:p>
    <w:p>
      <w:pPr>
        <w:pStyle w:val="112"/>
        <w:ind w:firstLine="480"/>
      </w:pPr>
      <w:r>
        <w:rPr>
          <w:rFonts w:hint="eastAsia"/>
        </w:rPr>
        <w:t>（3）</w:t>
      </w:r>
      <w:r>
        <w:t>气体钻会产生少量粉尘</w:t>
      </w:r>
      <w:r>
        <w:rPr>
          <w:rFonts w:hint="eastAsia"/>
        </w:rPr>
        <w:t>；</w:t>
      </w:r>
    </w:p>
    <w:p>
      <w:pPr>
        <w:pStyle w:val="112"/>
        <w:ind w:firstLine="480"/>
      </w:pPr>
      <w:r>
        <w:rPr>
          <w:rFonts w:hint="eastAsia"/>
        </w:rPr>
        <w:t>（4）</w:t>
      </w:r>
      <w:r>
        <w:t>测试放喷废气</w:t>
      </w:r>
      <w:r>
        <w:rPr>
          <w:rFonts w:hint="eastAsia"/>
        </w:rPr>
        <w:t>；</w:t>
      </w:r>
    </w:p>
    <w:p>
      <w:pPr>
        <w:pStyle w:val="112"/>
        <w:ind w:firstLine="480"/>
      </w:pPr>
      <w:r>
        <w:t>（</w:t>
      </w:r>
      <w:r>
        <w:rPr>
          <w:rFonts w:hint="eastAsia"/>
        </w:rPr>
        <w:t>5</w:t>
      </w:r>
      <w:r>
        <w:t>）营运期非正常工况外排的废气，包括清管检修时冷排的天然气和事故放空时点燃放空的天然气；井场水套炉燃烧废气。</w:t>
      </w:r>
    </w:p>
    <w:p>
      <w:pPr>
        <w:pStyle w:val="112"/>
        <w:ind w:firstLine="482"/>
        <w:rPr>
          <w:b/>
          <w:bCs/>
        </w:rPr>
      </w:pPr>
      <w:r>
        <w:rPr>
          <w:b/>
          <w:bCs/>
        </w:rPr>
        <w:t>5、声环境影响</w:t>
      </w:r>
    </w:p>
    <w:p>
      <w:pPr>
        <w:topLinePunct w:val="0"/>
        <w:adjustRightInd/>
        <w:ind w:firstLine="480"/>
        <w:rPr>
          <w:rFonts w:ascii="Times New Roman" w:cs="Times New Roman"/>
          <w:kern w:val="2"/>
          <w:szCs w:val="22"/>
        </w:rPr>
      </w:pPr>
      <w:r>
        <w:rPr>
          <w:rFonts w:ascii="Times New Roman" w:cs="Times New Roman"/>
          <w:kern w:val="2"/>
          <w:szCs w:val="22"/>
        </w:rPr>
        <w:t>（1）施工期施工机械产生的机械噪声；</w:t>
      </w:r>
    </w:p>
    <w:p>
      <w:pPr>
        <w:topLinePunct w:val="0"/>
        <w:adjustRightInd/>
        <w:ind w:firstLine="480"/>
        <w:rPr>
          <w:rFonts w:ascii="Times New Roman" w:cs="Times New Roman"/>
          <w:kern w:val="2"/>
          <w:szCs w:val="22"/>
        </w:rPr>
      </w:pPr>
      <w:bookmarkStart w:id="58" w:name="_Hlk80470452"/>
      <w:r>
        <w:rPr>
          <w:rFonts w:ascii="Times New Roman" w:cs="Times New Roman"/>
          <w:kern w:val="2"/>
          <w:szCs w:val="22"/>
        </w:rPr>
        <w:t>（2）营运期加压设备产生的机械噪声及场站输气产生的机械噪声。</w:t>
      </w:r>
    </w:p>
    <w:bookmarkEnd w:id="58"/>
    <w:p>
      <w:pPr>
        <w:pStyle w:val="112"/>
        <w:ind w:firstLine="482"/>
        <w:rPr>
          <w:b/>
          <w:bCs/>
        </w:rPr>
      </w:pPr>
      <w:r>
        <w:rPr>
          <w:b/>
          <w:bCs/>
        </w:rPr>
        <w:t>6、固体废物环境影响</w:t>
      </w:r>
    </w:p>
    <w:p>
      <w:pPr>
        <w:pStyle w:val="112"/>
        <w:ind w:firstLine="480"/>
      </w:pPr>
      <w:r>
        <w:t>（1）施工期产生的固体废物主要为</w:t>
      </w:r>
      <w:r>
        <w:rPr>
          <w:rFonts w:hint="eastAsia"/>
        </w:rPr>
        <w:t>钻井</w:t>
      </w:r>
      <w:r>
        <w:t>泥浆、岩屑</w:t>
      </w:r>
      <w:r>
        <w:rPr>
          <w:rFonts w:hint="eastAsia"/>
        </w:rPr>
        <w:t>、废油、</w:t>
      </w:r>
      <w:r>
        <w:t>生活垃圾、工程弃土和施工废料等；</w:t>
      </w:r>
    </w:p>
    <w:p>
      <w:pPr>
        <w:pStyle w:val="112"/>
        <w:ind w:firstLine="480"/>
      </w:pPr>
      <w:r>
        <w:t>（2）营运期产生的固体废物主要为值班人员生活垃圾、清管作业以及分离器检修产生的少量固体粉末</w:t>
      </w:r>
      <w:r>
        <w:rPr>
          <w:rFonts w:hint="eastAsia"/>
        </w:rPr>
        <w:t>、</w:t>
      </w:r>
      <w:r>
        <w:t>凝析油。</w:t>
      </w:r>
    </w:p>
    <w:p>
      <w:pPr>
        <w:pStyle w:val="112"/>
        <w:ind w:firstLine="482"/>
        <w:rPr>
          <w:b/>
          <w:bCs/>
        </w:rPr>
      </w:pPr>
      <w:r>
        <w:rPr>
          <w:b/>
          <w:bCs/>
        </w:rPr>
        <w:t>7、土壤环境影响</w:t>
      </w:r>
    </w:p>
    <w:p>
      <w:pPr>
        <w:pStyle w:val="112"/>
        <w:ind w:firstLine="480"/>
      </w:pPr>
      <w:r>
        <w:t>（1）施工期</w:t>
      </w:r>
      <w:r>
        <w:rPr>
          <w:rFonts w:hint="eastAsia"/>
        </w:rPr>
        <w:t>场地平整、</w:t>
      </w:r>
      <w:r>
        <w:t>管线开挖造成土壤扰动；</w:t>
      </w:r>
    </w:p>
    <w:p>
      <w:pPr>
        <w:pStyle w:val="112"/>
        <w:ind w:firstLine="480"/>
      </w:pPr>
      <w:r>
        <w:t>（2）施工期施工废水对土壤的影响；</w:t>
      </w:r>
    </w:p>
    <w:p>
      <w:pPr>
        <w:pStyle w:val="112"/>
        <w:ind w:firstLine="480"/>
      </w:pPr>
      <w:r>
        <w:t>（3）施工期施工机械废机油渗漏对土壤的影响；</w:t>
      </w:r>
    </w:p>
    <w:p>
      <w:pPr>
        <w:pStyle w:val="112"/>
        <w:ind w:firstLine="480"/>
      </w:pPr>
      <w:r>
        <w:t>（4）运营期生活污水</w:t>
      </w:r>
      <w:r>
        <w:rPr>
          <w:rFonts w:hint="eastAsia"/>
        </w:rPr>
        <w:t>、</w:t>
      </w:r>
      <w:r>
        <w:t>气田水对土壤环境的影响。</w:t>
      </w:r>
    </w:p>
    <w:p>
      <w:pPr>
        <w:pStyle w:val="112"/>
        <w:ind w:firstLine="482"/>
        <w:rPr>
          <w:b/>
          <w:bCs/>
        </w:rPr>
      </w:pPr>
      <w:r>
        <w:rPr>
          <w:b/>
          <w:bCs/>
        </w:rPr>
        <w:t>8、社会环境影响</w:t>
      </w:r>
    </w:p>
    <w:p>
      <w:pPr>
        <w:pStyle w:val="112"/>
        <w:ind w:firstLine="480"/>
      </w:pPr>
      <w:r>
        <w:t>（1）施工期对沿线农业生产的影响；</w:t>
      </w:r>
    </w:p>
    <w:p>
      <w:pPr>
        <w:pStyle w:val="112"/>
        <w:ind w:firstLine="480"/>
      </w:pPr>
      <w:r>
        <w:t>（2）施工期对居住环境的影响；</w:t>
      </w:r>
    </w:p>
    <w:p>
      <w:pPr>
        <w:pStyle w:val="112"/>
        <w:ind w:firstLine="480"/>
      </w:pPr>
      <w:r>
        <w:t>（3）工程建设对沿线景观的影响；</w:t>
      </w:r>
    </w:p>
    <w:p>
      <w:pPr>
        <w:pStyle w:val="112"/>
        <w:ind w:firstLine="480"/>
      </w:pPr>
      <w:r>
        <w:t>（4）对沿线的社会就业、社会经济的贡献。</w:t>
      </w:r>
    </w:p>
    <w:p>
      <w:pPr>
        <w:pStyle w:val="112"/>
        <w:ind w:firstLine="480"/>
      </w:pPr>
      <w:r>
        <w:t>本项目环境影响具体内容见表1.3-1。</w:t>
      </w:r>
    </w:p>
    <w:p>
      <w:pPr>
        <w:pStyle w:val="37"/>
        <w:rPr>
          <w:rFonts w:cs="Times New Roman"/>
        </w:rPr>
      </w:pPr>
      <w:r>
        <w:rPr>
          <w:rFonts w:cs="Times New Roman"/>
        </w:rPr>
        <w:br w:type="page"/>
      </w:r>
      <w:r>
        <w:rPr>
          <w:rFonts w:cs="Times New Roman"/>
        </w:rPr>
        <w:t>表1.3-1  本项目施工期和运营期环境影响分析表</w:t>
      </w:r>
    </w:p>
    <w:tbl>
      <w:tblPr>
        <w:tblStyle w:val="57"/>
        <w:tblW w:w="5330" w:type="pct"/>
        <w:jc w:val="center"/>
        <w:tblLayout w:type="autofit"/>
        <w:tblCellMar>
          <w:top w:w="0" w:type="dxa"/>
          <w:left w:w="0" w:type="dxa"/>
          <w:bottom w:w="0" w:type="dxa"/>
          <w:right w:w="0" w:type="dxa"/>
        </w:tblCellMar>
      </w:tblPr>
      <w:tblGrid>
        <w:gridCol w:w="542"/>
        <w:gridCol w:w="515"/>
        <w:gridCol w:w="1778"/>
        <w:gridCol w:w="6019"/>
      </w:tblGrid>
      <w:tr>
        <w:tblPrEx>
          <w:tblCellMar>
            <w:top w:w="0" w:type="dxa"/>
            <w:left w:w="0" w:type="dxa"/>
            <w:bottom w:w="0" w:type="dxa"/>
            <w:right w:w="0" w:type="dxa"/>
          </w:tblCellMar>
        </w:tblPrEx>
        <w:trPr>
          <w:trHeight w:val="17" w:hRule="atLeast"/>
          <w:jc w:val="center"/>
        </w:trPr>
        <w:tc>
          <w:tcPr>
            <w:tcW w:w="306" w:type="pct"/>
            <w:tcBorders>
              <w:top w:val="single" w:color="000000" w:sz="12" w:space="0"/>
              <w:left w:val="nil"/>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时段</w:t>
            </w:r>
          </w:p>
        </w:tc>
        <w:tc>
          <w:tcPr>
            <w:tcW w:w="1295" w:type="pct"/>
            <w:gridSpan w:val="2"/>
            <w:tcBorders>
              <w:top w:val="single" w:color="000000" w:sz="1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项目建设活动</w:t>
            </w:r>
          </w:p>
        </w:tc>
        <w:tc>
          <w:tcPr>
            <w:tcW w:w="3399" w:type="pct"/>
            <w:tcBorders>
              <w:top w:val="single" w:color="000000" w:sz="12" w:space="0"/>
              <w:left w:val="single" w:color="000000" w:sz="4" w:space="0"/>
              <w:bottom w:val="single" w:color="000000" w:sz="2" w:space="0"/>
              <w:right w:val="nil"/>
            </w:tcBorders>
            <w:vAlign w:val="center"/>
          </w:tcPr>
          <w:p>
            <w:pPr>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环境影响内容</w:t>
            </w:r>
          </w:p>
        </w:tc>
      </w:tr>
      <w:tr>
        <w:tblPrEx>
          <w:tblCellMar>
            <w:top w:w="0" w:type="dxa"/>
            <w:left w:w="0" w:type="dxa"/>
            <w:bottom w:w="0" w:type="dxa"/>
            <w:right w:w="0" w:type="dxa"/>
          </w:tblCellMar>
        </w:tblPrEx>
        <w:trPr>
          <w:trHeight w:val="17" w:hRule="atLeast"/>
          <w:jc w:val="center"/>
        </w:trPr>
        <w:tc>
          <w:tcPr>
            <w:tcW w:w="306" w:type="pct"/>
            <w:vMerge w:val="restart"/>
            <w:tcBorders>
              <w:top w:val="single" w:color="000000" w:sz="2" w:space="0"/>
              <w:left w:val="nil"/>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施</w:t>
            </w:r>
          </w:p>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工</w:t>
            </w:r>
          </w:p>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期</w:t>
            </w:r>
          </w:p>
        </w:tc>
        <w:tc>
          <w:tcPr>
            <w:tcW w:w="291" w:type="pct"/>
            <w:vMerge w:val="restart"/>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线路工程</w:t>
            </w:r>
          </w:p>
        </w:tc>
        <w:tc>
          <w:tcPr>
            <w:tcW w:w="1004" w:type="pct"/>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管道</w:t>
            </w:r>
          </w:p>
        </w:tc>
        <w:tc>
          <w:tcPr>
            <w:tcW w:w="3399" w:type="pct"/>
            <w:tcBorders>
              <w:top w:val="single" w:color="000000" w:sz="2" w:space="0"/>
              <w:left w:val="single" w:color="000000" w:sz="4" w:space="0"/>
              <w:bottom w:val="single" w:color="000000" w:sz="2" w:space="0"/>
              <w:right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临时占用土地，改变土地利用的现有功能或类型。</w:t>
            </w:r>
          </w:p>
        </w:tc>
      </w:tr>
      <w:tr>
        <w:tblPrEx>
          <w:tblCellMar>
            <w:top w:w="0" w:type="dxa"/>
            <w:left w:w="0" w:type="dxa"/>
            <w:bottom w:w="0" w:type="dxa"/>
            <w:right w:w="0" w:type="dxa"/>
          </w:tblCellMar>
        </w:tblPrEx>
        <w:trPr>
          <w:trHeight w:val="569" w:hRule="atLeast"/>
          <w:jc w:val="center"/>
        </w:trPr>
        <w:tc>
          <w:tcPr>
            <w:tcW w:w="306" w:type="pct"/>
            <w:vMerge w:val="continue"/>
            <w:tcBorders>
              <w:left w:val="nil"/>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291" w:type="pct"/>
            <w:vMerge w:val="continue"/>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1004" w:type="pct"/>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管沟开挖与回填</w:t>
            </w:r>
          </w:p>
        </w:tc>
        <w:tc>
          <w:tcPr>
            <w:tcW w:w="3399" w:type="pct"/>
            <w:tcBorders>
              <w:top w:val="single" w:color="000000" w:sz="2" w:space="0"/>
              <w:left w:val="single" w:color="000000" w:sz="4" w:space="0"/>
              <w:bottom w:val="single" w:color="000000" w:sz="2" w:space="0"/>
              <w:right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破坏施工作业带内的土壤、植被和视觉景观；特别对沿线林地的破坏是不可逆转的，需要提出林地补偿建设计划；可能产生废弃石方，且堆放不当易引起水土流失，污染地表水体或农田；运输、挖填作业中产生扬尘。</w:t>
            </w:r>
          </w:p>
        </w:tc>
      </w:tr>
      <w:tr>
        <w:tblPrEx>
          <w:tblCellMar>
            <w:top w:w="0" w:type="dxa"/>
            <w:left w:w="0" w:type="dxa"/>
            <w:bottom w:w="0" w:type="dxa"/>
            <w:right w:w="0" w:type="dxa"/>
          </w:tblCellMar>
        </w:tblPrEx>
        <w:trPr>
          <w:trHeight w:val="17" w:hRule="atLeast"/>
          <w:jc w:val="center"/>
        </w:trPr>
        <w:tc>
          <w:tcPr>
            <w:tcW w:w="306" w:type="pct"/>
            <w:vMerge w:val="continue"/>
            <w:tcBorders>
              <w:left w:val="nil"/>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291" w:type="pct"/>
            <w:vMerge w:val="continue"/>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1004" w:type="pct"/>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原材料运输</w:t>
            </w:r>
          </w:p>
        </w:tc>
        <w:tc>
          <w:tcPr>
            <w:tcW w:w="3399" w:type="pct"/>
            <w:tcBorders>
              <w:top w:val="single" w:color="000000" w:sz="2" w:space="0"/>
              <w:left w:val="single" w:color="000000" w:sz="4" w:space="0"/>
              <w:bottom w:val="single" w:color="000000" w:sz="2" w:space="0"/>
              <w:right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运输车辆产生尾气、噪声和扬尘；</w:t>
            </w:r>
          </w:p>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临时料场占用土地，短期影响土地的使用功能或类型</w:t>
            </w:r>
            <w:r>
              <w:rPr>
                <w:rFonts w:hint="eastAsia" w:ascii="Times New Roman" w:cs="Times New Roman"/>
                <w:kern w:val="2"/>
                <w:sz w:val="21"/>
                <w:szCs w:val="21"/>
              </w:rPr>
              <w:t>。</w:t>
            </w:r>
          </w:p>
        </w:tc>
      </w:tr>
      <w:tr>
        <w:tblPrEx>
          <w:tblCellMar>
            <w:top w:w="0" w:type="dxa"/>
            <w:left w:w="0" w:type="dxa"/>
            <w:bottom w:w="0" w:type="dxa"/>
            <w:right w:w="0" w:type="dxa"/>
          </w:tblCellMar>
        </w:tblPrEx>
        <w:trPr>
          <w:trHeight w:val="17" w:hRule="atLeast"/>
          <w:jc w:val="center"/>
        </w:trPr>
        <w:tc>
          <w:tcPr>
            <w:tcW w:w="306" w:type="pct"/>
            <w:vMerge w:val="continue"/>
            <w:tcBorders>
              <w:left w:val="nil"/>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291" w:type="pct"/>
            <w:vMerge w:val="continue"/>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1004" w:type="pct"/>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施工机械操作</w:t>
            </w:r>
          </w:p>
        </w:tc>
        <w:tc>
          <w:tcPr>
            <w:tcW w:w="3399" w:type="pct"/>
            <w:tcBorders>
              <w:top w:val="single" w:color="000000" w:sz="2" w:space="0"/>
              <w:left w:val="single" w:color="000000" w:sz="4" w:space="0"/>
              <w:bottom w:val="single" w:color="000000" w:sz="2" w:space="0"/>
              <w:right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产生机械尾气和噪声。</w:t>
            </w:r>
          </w:p>
        </w:tc>
      </w:tr>
      <w:tr>
        <w:tblPrEx>
          <w:tblCellMar>
            <w:top w:w="0" w:type="dxa"/>
            <w:left w:w="0" w:type="dxa"/>
            <w:bottom w:w="0" w:type="dxa"/>
            <w:right w:w="0" w:type="dxa"/>
          </w:tblCellMar>
        </w:tblPrEx>
        <w:trPr>
          <w:trHeight w:val="17" w:hRule="atLeast"/>
          <w:jc w:val="center"/>
        </w:trPr>
        <w:tc>
          <w:tcPr>
            <w:tcW w:w="306" w:type="pct"/>
            <w:vMerge w:val="continue"/>
            <w:tcBorders>
              <w:left w:val="nil"/>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291" w:type="pct"/>
            <w:vMerge w:val="continue"/>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1004" w:type="pct"/>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管道组装焊接</w:t>
            </w:r>
          </w:p>
        </w:tc>
        <w:tc>
          <w:tcPr>
            <w:tcW w:w="3399" w:type="pct"/>
            <w:tcBorders>
              <w:top w:val="single" w:color="000000" w:sz="2" w:space="0"/>
              <w:left w:val="single" w:color="000000" w:sz="4" w:space="0"/>
              <w:bottom w:val="single" w:color="000000" w:sz="2" w:space="0"/>
              <w:right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焊接烟尘，采用先进设备，野外作业自然排放，环境影响较小。</w:t>
            </w:r>
          </w:p>
        </w:tc>
      </w:tr>
      <w:tr>
        <w:tblPrEx>
          <w:tblCellMar>
            <w:top w:w="0" w:type="dxa"/>
            <w:left w:w="0" w:type="dxa"/>
            <w:bottom w:w="0" w:type="dxa"/>
            <w:right w:w="0" w:type="dxa"/>
          </w:tblCellMar>
        </w:tblPrEx>
        <w:trPr>
          <w:trHeight w:val="17" w:hRule="atLeast"/>
          <w:jc w:val="center"/>
        </w:trPr>
        <w:tc>
          <w:tcPr>
            <w:tcW w:w="306" w:type="pct"/>
            <w:vMerge w:val="continue"/>
            <w:tcBorders>
              <w:left w:val="nil"/>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291" w:type="pct"/>
            <w:vMerge w:val="continue"/>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1004" w:type="pct"/>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施工便道建设及使用</w:t>
            </w:r>
          </w:p>
        </w:tc>
        <w:tc>
          <w:tcPr>
            <w:tcW w:w="3399" w:type="pct"/>
            <w:tcBorders>
              <w:top w:val="single" w:color="000000" w:sz="2" w:space="0"/>
              <w:left w:val="single" w:color="000000" w:sz="4" w:space="0"/>
              <w:bottom w:val="single" w:color="000000" w:sz="2" w:space="0"/>
              <w:right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临时占用部分土地，产生扬尘及噪声；</w:t>
            </w:r>
          </w:p>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施工结束后恢复，不改变土地利用的原有功能。</w:t>
            </w:r>
          </w:p>
        </w:tc>
      </w:tr>
      <w:tr>
        <w:tblPrEx>
          <w:tblCellMar>
            <w:top w:w="0" w:type="dxa"/>
            <w:left w:w="0" w:type="dxa"/>
            <w:bottom w:w="0" w:type="dxa"/>
            <w:right w:w="0" w:type="dxa"/>
          </w:tblCellMar>
        </w:tblPrEx>
        <w:trPr>
          <w:trHeight w:val="17" w:hRule="atLeast"/>
          <w:jc w:val="center"/>
        </w:trPr>
        <w:tc>
          <w:tcPr>
            <w:tcW w:w="306" w:type="pct"/>
            <w:vMerge w:val="continue"/>
            <w:tcBorders>
              <w:left w:val="nil"/>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291" w:type="pct"/>
            <w:vMerge w:val="continue"/>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1004" w:type="pct"/>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施工人员日常生活</w:t>
            </w:r>
          </w:p>
        </w:tc>
        <w:tc>
          <w:tcPr>
            <w:tcW w:w="3399" w:type="pct"/>
            <w:tcBorders>
              <w:top w:val="single" w:color="000000" w:sz="2" w:space="0"/>
              <w:left w:val="single" w:color="000000" w:sz="4" w:space="0"/>
              <w:bottom w:val="single" w:color="000000" w:sz="2" w:space="0"/>
              <w:right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施工人员生活污水、生活垃圾</w:t>
            </w:r>
            <w:r>
              <w:rPr>
                <w:rFonts w:hint="eastAsia" w:ascii="Times New Roman" w:cs="Times New Roman"/>
                <w:kern w:val="2"/>
                <w:sz w:val="21"/>
                <w:szCs w:val="21"/>
              </w:rPr>
              <w:t>排放</w:t>
            </w:r>
            <w:r>
              <w:rPr>
                <w:rFonts w:ascii="Times New Roman" w:cs="Times New Roman"/>
                <w:kern w:val="2"/>
                <w:sz w:val="21"/>
                <w:szCs w:val="21"/>
              </w:rPr>
              <w:t>。</w:t>
            </w:r>
          </w:p>
        </w:tc>
      </w:tr>
      <w:tr>
        <w:tblPrEx>
          <w:tblCellMar>
            <w:top w:w="0" w:type="dxa"/>
            <w:left w:w="0" w:type="dxa"/>
            <w:bottom w:w="0" w:type="dxa"/>
            <w:right w:w="0" w:type="dxa"/>
          </w:tblCellMar>
        </w:tblPrEx>
        <w:trPr>
          <w:trHeight w:val="17" w:hRule="atLeast"/>
          <w:jc w:val="center"/>
        </w:trPr>
        <w:tc>
          <w:tcPr>
            <w:tcW w:w="306" w:type="pct"/>
            <w:vMerge w:val="continue"/>
            <w:tcBorders>
              <w:left w:val="nil"/>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291" w:type="pct"/>
            <w:vMerge w:val="continue"/>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1004" w:type="pct"/>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施工作业场地</w:t>
            </w:r>
          </w:p>
        </w:tc>
        <w:tc>
          <w:tcPr>
            <w:tcW w:w="3399" w:type="pct"/>
            <w:tcBorders>
              <w:top w:val="single" w:color="000000" w:sz="2" w:space="0"/>
              <w:left w:val="single" w:color="000000" w:sz="4" w:space="0"/>
              <w:bottom w:val="single" w:color="000000" w:sz="2" w:space="0"/>
              <w:right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临时占用部分土地，短期影响土地的使用功能或类型，破坏生态环境。</w:t>
            </w:r>
          </w:p>
        </w:tc>
      </w:tr>
      <w:tr>
        <w:tblPrEx>
          <w:tblCellMar>
            <w:top w:w="0" w:type="dxa"/>
            <w:left w:w="0" w:type="dxa"/>
            <w:bottom w:w="0" w:type="dxa"/>
            <w:right w:w="0" w:type="dxa"/>
          </w:tblCellMar>
        </w:tblPrEx>
        <w:trPr>
          <w:trHeight w:val="17" w:hRule="atLeast"/>
          <w:jc w:val="center"/>
        </w:trPr>
        <w:tc>
          <w:tcPr>
            <w:tcW w:w="306" w:type="pct"/>
            <w:vMerge w:val="continue"/>
            <w:tcBorders>
              <w:left w:val="nil"/>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291" w:type="pct"/>
            <w:vMerge w:val="restart"/>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穿越工程</w:t>
            </w:r>
          </w:p>
        </w:tc>
        <w:tc>
          <w:tcPr>
            <w:tcW w:w="1004" w:type="pct"/>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穿越或临近环境敏感区</w:t>
            </w:r>
          </w:p>
        </w:tc>
        <w:tc>
          <w:tcPr>
            <w:tcW w:w="3399" w:type="pct"/>
            <w:tcBorders>
              <w:top w:val="single" w:color="000000" w:sz="2" w:space="0"/>
              <w:left w:val="single" w:color="000000" w:sz="4" w:space="0"/>
              <w:bottom w:val="single" w:color="000000" w:sz="2" w:space="0"/>
              <w:right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管道选线时，避开了地上已有环境敏感区和名胜古迹。</w:t>
            </w:r>
          </w:p>
        </w:tc>
      </w:tr>
      <w:tr>
        <w:tblPrEx>
          <w:tblCellMar>
            <w:top w:w="0" w:type="dxa"/>
            <w:left w:w="0" w:type="dxa"/>
            <w:bottom w:w="0" w:type="dxa"/>
            <w:right w:w="0" w:type="dxa"/>
          </w:tblCellMar>
        </w:tblPrEx>
        <w:trPr>
          <w:trHeight w:val="17" w:hRule="atLeast"/>
          <w:jc w:val="center"/>
        </w:trPr>
        <w:tc>
          <w:tcPr>
            <w:tcW w:w="306" w:type="pct"/>
            <w:vMerge w:val="continue"/>
            <w:tcBorders>
              <w:left w:val="nil"/>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291" w:type="pct"/>
            <w:vMerge w:val="continue"/>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1004" w:type="pct"/>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穿越或临近未发现名胜、文物古迹</w:t>
            </w:r>
          </w:p>
        </w:tc>
        <w:tc>
          <w:tcPr>
            <w:tcW w:w="3399" w:type="pct"/>
            <w:tcBorders>
              <w:top w:val="single" w:color="000000" w:sz="2" w:space="0"/>
              <w:left w:val="single" w:color="000000" w:sz="4" w:space="0"/>
              <w:bottom w:val="single" w:color="000000" w:sz="2" w:space="0"/>
              <w:right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施工中如发现地下文物、古迹，应停止施工，及时向当地文物部门报告。</w:t>
            </w:r>
          </w:p>
        </w:tc>
      </w:tr>
      <w:tr>
        <w:tblPrEx>
          <w:tblCellMar>
            <w:top w:w="0" w:type="dxa"/>
            <w:left w:w="0" w:type="dxa"/>
            <w:bottom w:w="0" w:type="dxa"/>
            <w:right w:w="0" w:type="dxa"/>
          </w:tblCellMar>
        </w:tblPrEx>
        <w:trPr>
          <w:trHeight w:val="17" w:hRule="atLeast"/>
          <w:jc w:val="center"/>
        </w:trPr>
        <w:tc>
          <w:tcPr>
            <w:tcW w:w="306" w:type="pct"/>
            <w:vMerge w:val="continue"/>
            <w:tcBorders>
              <w:left w:val="nil"/>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291" w:type="pct"/>
            <w:vMerge w:val="continue"/>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1004" w:type="pct"/>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试压、清管作业</w:t>
            </w:r>
          </w:p>
        </w:tc>
        <w:tc>
          <w:tcPr>
            <w:tcW w:w="3399" w:type="pct"/>
            <w:tcBorders>
              <w:top w:val="single" w:color="000000" w:sz="2" w:space="0"/>
              <w:left w:val="single" w:color="000000" w:sz="4" w:space="0"/>
              <w:bottom w:val="single" w:color="000000" w:sz="2" w:space="0"/>
              <w:right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废水排放对区域水环境短期内可能产生一定的影响，所排放废水必须经沉淀、过滤处理后</w:t>
            </w:r>
            <w:r>
              <w:rPr>
                <w:rFonts w:hint="eastAsia" w:ascii="Times New Roman" w:cs="Times New Roman"/>
                <w:kern w:val="2"/>
                <w:sz w:val="21"/>
                <w:szCs w:val="21"/>
              </w:rPr>
              <w:t>回用，</w:t>
            </w:r>
            <w:r>
              <w:rPr>
                <w:rFonts w:ascii="Times New Roman" w:cs="Times New Roman"/>
                <w:kern w:val="2"/>
                <w:sz w:val="21"/>
                <w:szCs w:val="21"/>
              </w:rPr>
              <w:t>不外排</w:t>
            </w:r>
            <w:r>
              <w:rPr>
                <w:rFonts w:hint="eastAsia" w:ascii="Times New Roman" w:cs="Times New Roman"/>
                <w:kern w:val="2"/>
                <w:sz w:val="21"/>
                <w:szCs w:val="21"/>
              </w:rPr>
              <w:t>。</w:t>
            </w:r>
          </w:p>
        </w:tc>
      </w:tr>
      <w:tr>
        <w:tblPrEx>
          <w:tblCellMar>
            <w:top w:w="0" w:type="dxa"/>
            <w:left w:w="0" w:type="dxa"/>
            <w:bottom w:w="0" w:type="dxa"/>
            <w:right w:w="0" w:type="dxa"/>
          </w:tblCellMar>
        </w:tblPrEx>
        <w:trPr>
          <w:trHeight w:val="17" w:hRule="atLeast"/>
          <w:jc w:val="center"/>
        </w:trPr>
        <w:tc>
          <w:tcPr>
            <w:tcW w:w="306" w:type="pct"/>
            <w:vMerge w:val="continue"/>
            <w:tcBorders>
              <w:left w:val="nil"/>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291" w:type="pct"/>
            <w:vMerge w:val="restart"/>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钻前工程</w:t>
            </w:r>
          </w:p>
        </w:tc>
        <w:tc>
          <w:tcPr>
            <w:tcW w:w="1004" w:type="pct"/>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场站</w:t>
            </w:r>
          </w:p>
        </w:tc>
        <w:tc>
          <w:tcPr>
            <w:tcW w:w="3399" w:type="pct"/>
            <w:tcBorders>
              <w:top w:val="single" w:color="000000" w:sz="2" w:space="0"/>
              <w:left w:val="single" w:color="000000" w:sz="4" w:space="0"/>
              <w:bottom w:val="single" w:color="000000" w:sz="2" w:space="0"/>
              <w:right w:val="nil"/>
            </w:tcBorders>
            <w:vAlign w:val="center"/>
          </w:tcPr>
          <w:p>
            <w:pPr>
              <w:pStyle w:val="132"/>
            </w:pPr>
            <w:r>
              <w:t>永久占用土地，改变土地利用的现有功能；破坏生态植被</w:t>
            </w:r>
            <w:r>
              <w:rPr>
                <w:rFonts w:hint="eastAsia"/>
              </w:rPr>
              <w:t>；</w:t>
            </w:r>
            <w:r>
              <w:t>水土流失。</w:t>
            </w:r>
          </w:p>
        </w:tc>
      </w:tr>
      <w:tr>
        <w:tblPrEx>
          <w:tblCellMar>
            <w:top w:w="0" w:type="dxa"/>
            <w:left w:w="0" w:type="dxa"/>
            <w:bottom w:w="0" w:type="dxa"/>
            <w:right w:w="0" w:type="dxa"/>
          </w:tblCellMar>
        </w:tblPrEx>
        <w:trPr>
          <w:trHeight w:val="17" w:hRule="atLeast"/>
          <w:jc w:val="center"/>
        </w:trPr>
        <w:tc>
          <w:tcPr>
            <w:tcW w:w="306" w:type="pct"/>
            <w:vMerge w:val="continue"/>
            <w:tcBorders>
              <w:left w:val="nil"/>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291" w:type="pct"/>
            <w:vMerge w:val="continue"/>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1004" w:type="pct"/>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施工机械操作</w:t>
            </w:r>
          </w:p>
        </w:tc>
        <w:tc>
          <w:tcPr>
            <w:tcW w:w="3399" w:type="pct"/>
            <w:tcBorders>
              <w:top w:val="single" w:color="000000" w:sz="2" w:space="0"/>
              <w:left w:val="single" w:color="000000" w:sz="4" w:space="0"/>
              <w:bottom w:val="single" w:color="000000" w:sz="2" w:space="0"/>
              <w:right w:val="nil"/>
            </w:tcBorders>
            <w:vAlign w:val="center"/>
          </w:tcPr>
          <w:p>
            <w:pPr>
              <w:pStyle w:val="132"/>
            </w:pPr>
            <w:r>
              <w:t>施工产生机械尾气和噪声。</w:t>
            </w:r>
          </w:p>
        </w:tc>
      </w:tr>
      <w:tr>
        <w:tblPrEx>
          <w:tblCellMar>
            <w:top w:w="0" w:type="dxa"/>
            <w:left w:w="0" w:type="dxa"/>
            <w:bottom w:w="0" w:type="dxa"/>
            <w:right w:w="0" w:type="dxa"/>
          </w:tblCellMar>
        </w:tblPrEx>
        <w:trPr>
          <w:trHeight w:val="17" w:hRule="atLeast"/>
          <w:jc w:val="center"/>
        </w:trPr>
        <w:tc>
          <w:tcPr>
            <w:tcW w:w="306" w:type="pct"/>
            <w:vMerge w:val="continue"/>
            <w:tcBorders>
              <w:left w:val="nil"/>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291" w:type="pct"/>
            <w:vMerge w:val="continue"/>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1004" w:type="pct"/>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施工人员日常生活</w:t>
            </w:r>
          </w:p>
        </w:tc>
        <w:tc>
          <w:tcPr>
            <w:tcW w:w="3399" w:type="pct"/>
            <w:tcBorders>
              <w:top w:val="single" w:color="000000" w:sz="2" w:space="0"/>
              <w:left w:val="single" w:color="000000" w:sz="4" w:space="0"/>
              <w:bottom w:val="single" w:color="000000" w:sz="2" w:space="0"/>
              <w:right w:val="nil"/>
            </w:tcBorders>
            <w:vAlign w:val="center"/>
          </w:tcPr>
          <w:p>
            <w:pPr>
              <w:pStyle w:val="132"/>
            </w:pPr>
            <w:r>
              <w:t>施工人员生活污水、生活垃圾排放。</w:t>
            </w:r>
          </w:p>
        </w:tc>
      </w:tr>
      <w:tr>
        <w:tblPrEx>
          <w:tblCellMar>
            <w:top w:w="0" w:type="dxa"/>
            <w:left w:w="0" w:type="dxa"/>
            <w:bottom w:w="0" w:type="dxa"/>
            <w:right w:w="0" w:type="dxa"/>
          </w:tblCellMar>
        </w:tblPrEx>
        <w:trPr>
          <w:trHeight w:val="17" w:hRule="atLeast"/>
          <w:jc w:val="center"/>
        </w:trPr>
        <w:tc>
          <w:tcPr>
            <w:tcW w:w="306" w:type="pct"/>
            <w:vMerge w:val="continue"/>
            <w:tcBorders>
              <w:left w:val="nil"/>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291" w:type="pct"/>
            <w:tcBorders>
              <w:top w:val="single" w:color="000000" w:sz="2" w:space="0"/>
              <w:left w:val="single" w:color="000000" w:sz="4" w:space="0"/>
              <w:bottom w:val="single" w:color="auto" w:sz="4" w:space="0"/>
              <w:right w:val="single" w:color="000000" w:sz="4" w:space="0"/>
            </w:tcBorders>
            <w:vAlign w:val="center"/>
          </w:tcPr>
          <w:p>
            <w:pPr>
              <w:spacing w:line="240" w:lineRule="auto"/>
              <w:ind w:firstLine="0" w:firstLineChars="0"/>
              <w:rPr>
                <w:rFonts w:ascii="Times New Roman" w:cs="Times New Roman"/>
                <w:kern w:val="2"/>
                <w:sz w:val="21"/>
                <w:szCs w:val="21"/>
              </w:rPr>
            </w:pPr>
            <w:r>
              <w:rPr>
                <w:rFonts w:ascii="Times New Roman" w:cs="Times New Roman"/>
                <w:kern w:val="2"/>
                <w:sz w:val="21"/>
                <w:szCs w:val="21"/>
              </w:rPr>
              <w:t>钻井工程</w:t>
            </w:r>
          </w:p>
        </w:tc>
        <w:tc>
          <w:tcPr>
            <w:tcW w:w="1004" w:type="pct"/>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安装相关钻井设备，如钻机、天车、泥浆泵等，拟采用气体钻井和常规钻井相结合的方式，固井作业包括下套管和注水泥</w:t>
            </w:r>
          </w:p>
        </w:tc>
        <w:tc>
          <w:tcPr>
            <w:tcW w:w="3399" w:type="pct"/>
            <w:tcBorders>
              <w:top w:val="single" w:color="000000" w:sz="2" w:space="0"/>
              <w:left w:val="single" w:color="000000" w:sz="4" w:space="0"/>
              <w:bottom w:val="single" w:color="000000" w:sz="2" w:space="0"/>
              <w:right w:val="nil"/>
            </w:tcBorders>
            <w:vAlign w:val="center"/>
          </w:tcPr>
          <w:p>
            <w:pPr>
              <w:pStyle w:val="132"/>
            </w:pPr>
            <w:r>
              <w:t>钻井过程中会产生废气、废水、废泥浆、岩屑</w:t>
            </w:r>
            <w:r>
              <w:rPr>
                <w:rFonts w:hint="eastAsia"/>
              </w:rPr>
              <w:t>、废油</w:t>
            </w:r>
            <w:r>
              <w:t>、噪声等，对周围环境造成影响；钻井过程中可能造成地下水的污染。</w:t>
            </w:r>
          </w:p>
        </w:tc>
      </w:tr>
      <w:tr>
        <w:tblPrEx>
          <w:tblCellMar>
            <w:top w:w="0" w:type="dxa"/>
            <w:left w:w="0" w:type="dxa"/>
            <w:bottom w:w="0" w:type="dxa"/>
            <w:right w:w="0" w:type="dxa"/>
          </w:tblCellMar>
        </w:tblPrEx>
        <w:trPr>
          <w:trHeight w:val="17" w:hRule="atLeast"/>
          <w:jc w:val="center"/>
        </w:trPr>
        <w:tc>
          <w:tcPr>
            <w:tcW w:w="306" w:type="pct"/>
            <w:vMerge w:val="continue"/>
            <w:tcBorders>
              <w:left w:val="nil"/>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291" w:type="pct"/>
            <w:tcBorders>
              <w:top w:val="single" w:color="auto" w:sz="4" w:space="0"/>
              <w:left w:val="single" w:color="000000" w:sz="4" w:space="0"/>
              <w:bottom w:val="single" w:color="000000" w:sz="2" w:space="0"/>
              <w:right w:val="single" w:color="000000" w:sz="4" w:space="0"/>
            </w:tcBorders>
            <w:vAlign w:val="center"/>
          </w:tcPr>
          <w:p>
            <w:pPr>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完井工程</w:t>
            </w:r>
          </w:p>
        </w:tc>
        <w:tc>
          <w:tcPr>
            <w:tcW w:w="1004" w:type="pct"/>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射孔、酸压、测试放喷</w:t>
            </w:r>
          </w:p>
        </w:tc>
        <w:tc>
          <w:tcPr>
            <w:tcW w:w="3399" w:type="pct"/>
            <w:tcBorders>
              <w:top w:val="single" w:color="000000" w:sz="2" w:space="0"/>
              <w:left w:val="single" w:color="000000" w:sz="4" w:space="0"/>
              <w:bottom w:val="single" w:color="000000" w:sz="2" w:space="0"/>
              <w:right w:val="nil"/>
            </w:tcBorders>
            <w:vAlign w:val="center"/>
          </w:tcPr>
          <w:p>
            <w:pPr>
              <w:pStyle w:val="132"/>
            </w:pPr>
            <w:r>
              <w:t>完井过程中会产生废气、废水、废泥浆、岩屑</w:t>
            </w:r>
            <w:r>
              <w:rPr>
                <w:rFonts w:hint="eastAsia"/>
              </w:rPr>
              <w:t>、废油</w:t>
            </w:r>
            <w:r>
              <w:t>、噪声等，对周围环境造成影响</w:t>
            </w:r>
            <w:r>
              <w:rPr>
                <w:rFonts w:hint="eastAsia"/>
              </w:rPr>
              <w:t>。</w:t>
            </w:r>
          </w:p>
        </w:tc>
      </w:tr>
      <w:tr>
        <w:tblPrEx>
          <w:tblCellMar>
            <w:top w:w="0" w:type="dxa"/>
            <w:left w:w="0" w:type="dxa"/>
            <w:bottom w:w="0" w:type="dxa"/>
            <w:right w:w="0" w:type="dxa"/>
          </w:tblCellMar>
        </w:tblPrEx>
        <w:trPr>
          <w:trHeight w:val="17" w:hRule="atLeast"/>
          <w:jc w:val="center"/>
        </w:trPr>
        <w:tc>
          <w:tcPr>
            <w:tcW w:w="306" w:type="pct"/>
            <w:vMerge w:val="restart"/>
            <w:tcBorders>
              <w:top w:val="single" w:color="000000" w:sz="2" w:space="0"/>
              <w:left w:val="nil"/>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运</w:t>
            </w:r>
          </w:p>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营</w:t>
            </w:r>
          </w:p>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期</w:t>
            </w:r>
          </w:p>
        </w:tc>
        <w:tc>
          <w:tcPr>
            <w:tcW w:w="1295" w:type="pct"/>
            <w:gridSpan w:val="2"/>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管道（</w:t>
            </w:r>
            <w:r>
              <w:rPr>
                <w:rFonts w:hint="eastAsia" w:ascii="Times New Roman" w:cs="Times New Roman"/>
                <w:kern w:val="2"/>
                <w:sz w:val="21"/>
                <w:szCs w:val="21"/>
              </w:rPr>
              <w:t>350</w:t>
            </w:r>
            <w:r>
              <w:rPr>
                <w:rFonts w:ascii="Times New Roman" w:cs="Times New Roman"/>
                <w:kern w:val="2"/>
                <w:sz w:val="21"/>
                <w:szCs w:val="21"/>
              </w:rPr>
              <w:t>m）</w:t>
            </w:r>
          </w:p>
        </w:tc>
        <w:tc>
          <w:tcPr>
            <w:tcW w:w="3399" w:type="pct"/>
            <w:tcBorders>
              <w:top w:val="single" w:color="000000" w:sz="2" w:space="0"/>
              <w:left w:val="single" w:color="000000" w:sz="4" w:space="0"/>
              <w:bottom w:val="single" w:color="000000" w:sz="2" w:space="0"/>
              <w:right w:val="nil"/>
            </w:tcBorders>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正常工况：无污染影响；</w:t>
            </w:r>
          </w:p>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事故工况：管线发生泄漏、火灾、爆炸对沿线自然环境和人群财产生命健康的影响。</w:t>
            </w:r>
          </w:p>
        </w:tc>
      </w:tr>
      <w:tr>
        <w:tblPrEx>
          <w:tblCellMar>
            <w:top w:w="0" w:type="dxa"/>
            <w:left w:w="0" w:type="dxa"/>
            <w:bottom w:w="0" w:type="dxa"/>
            <w:right w:w="0" w:type="dxa"/>
          </w:tblCellMar>
        </w:tblPrEx>
        <w:trPr>
          <w:trHeight w:val="17" w:hRule="atLeast"/>
          <w:jc w:val="center"/>
        </w:trPr>
        <w:tc>
          <w:tcPr>
            <w:tcW w:w="306" w:type="pct"/>
            <w:vMerge w:val="continue"/>
            <w:tcBorders>
              <w:top w:val="single" w:color="000000" w:sz="2" w:space="0"/>
              <w:left w:val="nil"/>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szCs w:val="21"/>
              </w:rPr>
            </w:pPr>
          </w:p>
        </w:tc>
        <w:tc>
          <w:tcPr>
            <w:tcW w:w="1295" w:type="pct"/>
            <w:gridSpan w:val="2"/>
            <w:tcBorders>
              <w:top w:val="single" w:color="000000" w:sz="2" w:space="0"/>
              <w:left w:val="single" w:color="000000" w:sz="4" w:space="0"/>
              <w:bottom w:val="single" w:color="000000" w:sz="2" w:space="0"/>
              <w:right w:val="single" w:color="000000" w:sz="4" w:space="0"/>
            </w:tcBorders>
            <w:vAlign w:val="center"/>
          </w:tcPr>
          <w:p>
            <w:pPr>
              <w:topLinePunct w:val="0"/>
              <w:adjustRightInd/>
              <w:spacing w:line="240" w:lineRule="auto"/>
              <w:ind w:firstLine="0" w:firstLineChars="0"/>
              <w:jc w:val="center"/>
              <w:rPr>
                <w:rFonts w:ascii="Times New Roman" w:cs="Times New Roman"/>
                <w:sz w:val="21"/>
                <w:szCs w:val="21"/>
              </w:rPr>
            </w:pPr>
            <w:r>
              <w:rPr>
                <w:rFonts w:hint="eastAsia" w:ascii="Times New Roman" w:cs="Times New Roman"/>
                <w:bCs/>
                <w:kern w:val="2"/>
                <w:sz w:val="21"/>
                <w:szCs w:val="21"/>
              </w:rPr>
              <w:t>普陆4集气平台</w:t>
            </w:r>
          </w:p>
        </w:tc>
        <w:tc>
          <w:tcPr>
            <w:tcW w:w="3399" w:type="pct"/>
            <w:tcBorders>
              <w:top w:val="single" w:color="000000" w:sz="2" w:space="0"/>
              <w:left w:val="single" w:color="000000" w:sz="4" w:space="0"/>
              <w:bottom w:val="single" w:color="000000" w:sz="2" w:space="0"/>
              <w:righ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废水：</w:t>
            </w:r>
            <w:r>
              <w:rPr>
                <w:rFonts w:hint="eastAsia" w:ascii="Times New Roman" w:cs="Times New Roman"/>
                <w:kern w:val="2"/>
                <w:sz w:val="21"/>
              </w:rPr>
              <w:t>值守人员生活污水、</w:t>
            </w:r>
            <w:r>
              <w:rPr>
                <w:rFonts w:ascii="Times New Roman" w:cs="Times New Roman"/>
                <w:kern w:val="2"/>
                <w:sz w:val="21"/>
              </w:rPr>
              <w:t>气田水。</w:t>
            </w:r>
          </w:p>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废气</w:t>
            </w:r>
            <w:r>
              <w:rPr>
                <w:rFonts w:hint="eastAsia" w:ascii="Times New Roman" w:cs="Times New Roman"/>
                <w:kern w:val="2"/>
                <w:sz w:val="21"/>
              </w:rPr>
              <w:t>：</w:t>
            </w:r>
            <w:r>
              <w:rPr>
                <w:rFonts w:ascii="Times New Roman" w:cs="Times New Roman"/>
                <w:kern w:val="2"/>
                <w:sz w:val="21"/>
              </w:rPr>
              <w:t>水套炉燃烧废气；异常工况下管道需进行清管作业和分离检修排放的少量天然气</w:t>
            </w:r>
            <w:r>
              <w:rPr>
                <w:rFonts w:hint="eastAsia" w:ascii="Times New Roman" w:cs="Times New Roman"/>
                <w:kern w:val="2"/>
                <w:sz w:val="21"/>
              </w:rPr>
              <w:t>。</w:t>
            </w:r>
          </w:p>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噪声：过滤分离器、截流阀、汇气管、调压放空系统等设施运行产生的噪声</w:t>
            </w:r>
            <w:r>
              <w:rPr>
                <w:rFonts w:hint="eastAsia" w:ascii="Times New Roman" w:cs="Times New Roman"/>
                <w:kern w:val="2"/>
                <w:sz w:val="21"/>
              </w:rPr>
              <w:t>。</w:t>
            </w:r>
          </w:p>
          <w:p>
            <w:pPr>
              <w:topLinePunct w:val="0"/>
              <w:adjustRightInd/>
              <w:spacing w:line="240" w:lineRule="auto"/>
              <w:ind w:firstLine="0" w:firstLineChars="0"/>
              <w:jc w:val="center"/>
              <w:rPr>
                <w:rFonts w:ascii="Times New Roman" w:cs="Times New Roman"/>
                <w:color w:val="FF0000"/>
                <w:kern w:val="2"/>
                <w:sz w:val="21"/>
              </w:rPr>
            </w:pPr>
            <w:r>
              <w:rPr>
                <w:rFonts w:ascii="Times New Roman" w:cs="Times New Roman"/>
                <w:color w:val="FF0000"/>
                <w:kern w:val="2"/>
                <w:sz w:val="21"/>
              </w:rPr>
              <w:t>固废：值守人员生活垃圾。</w:t>
            </w:r>
          </w:p>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rPr>
              <w:t>环境风险事故：井喷</w:t>
            </w:r>
            <w:r>
              <w:rPr>
                <w:rFonts w:hint="eastAsia" w:ascii="Times New Roman" w:cs="Times New Roman"/>
                <w:kern w:val="2"/>
                <w:sz w:val="21"/>
              </w:rPr>
              <w:t>事故、</w:t>
            </w:r>
            <w:r>
              <w:rPr>
                <w:rFonts w:ascii="Times New Roman" w:cs="Times New Roman"/>
                <w:kern w:val="2"/>
                <w:sz w:val="21"/>
              </w:rPr>
              <w:t>管线发生泄漏、火灾、爆炸事故对周围环境和人员的影响；非正常生产时，站场检修时经放空装置直接排放的天然气或燃烧后排放的废气。</w:t>
            </w:r>
          </w:p>
        </w:tc>
      </w:tr>
    </w:tbl>
    <w:p>
      <w:pPr>
        <w:pStyle w:val="112"/>
        <w:ind w:firstLine="480"/>
      </w:pPr>
      <w:r>
        <w:t>根据环境影响矩阵表，分析环境影响因子的影响类型和影响程度，其结果见表1.3-2。</w:t>
      </w:r>
    </w:p>
    <w:p>
      <w:pPr>
        <w:pStyle w:val="37"/>
        <w:rPr>
          <w:rFonts w:cs="Times New Roman"/>
        </w:rPr>
      </w:pPr>
      <w:r>
        <w:rPr>
          <w:rFonts w:cs="Times New Roman"/>
        </w:rPr>
        <w:t>表1.3-2  环境影响要素矩阵</w:t>
      </w:r>
    </w:p>
    <w:tbl>
      <w:tblPr>
        <w:tblStyle w:val="57"/>
        <w:tblW w:w="5293" w:type="pct"/>
        <w:jc w:val="center"/>
        <w:tblLayout w:type="autofit"/>
        <w:tblCellMar>
          <w:top w:w="0" w:type="dxa"/>
          <w:left w:w="0" w:type="dxa"/>
          <w:bottom w:w="0" w:type="dxa"/>
          <w:right w:w="0" w:type="dxa"/>
        </w:tblCellMar>
      </w:tblPr>
      <w:tblGrid>
        <w:gridCol w:w="519"/>
        <w:gridCol w:w="1419"/>
        <w:gridCol w:w="589"/>
        <w:gridCol w:w="589"/>
        <w:gridCol w:w="589"/>
        <w:gridCol w:w="510"/>
        <w:gridCol w:w="566"/>
        <w:gridCol w:w="457"/>
        <w:gridCol w:w="593"/>
        <w:gridCol w:w="596"/>
        <w:gridCol w:w="596"/>
        <w:gridCol w:w="593"/>
        <w:gridCol w:w="593"/>
        <w:gridCol w:w="584"/>
      </w:tblGrid>
      <w:tr>
        <w:tblPrEx>
          <w:tblCellMar>
            <w:top w:w="0" w:type="dxa"/>
            <w:left w:w="0" w:type="dxa"/>
            <w:bottom w:w="0" w:type="dxa"/>
            <w:right w:w="0" w:type="dxa"/>
          </w:tblCellMar>
        </w:tblPrEx>
        <w:trPr>
          <w:trHeight w:val="18" w:hRule="atLeast"/>
          <w:jc w:val="center"/>
        </w:trPr>
        <w:tc>
          <w:tcPr>
            <w:tcW w:w="295" w:type="pct"/>
            <w:vMerge w:val="restart"/>
            <w:tcBorders>
              <w:top w:val="single" w:color="000000" w:sz="12"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类别</w:t>
            </w:r>
          </w:p>
        </w:tc>
        <w:tc>
          <w:tcPr>
            <w:tcW w:w="807" w:type="pct"/>
            <w:vMerge w:val="restart"/>
            <w:tcBorders>
              <w:top w:val="single" w:color="000000" w:sz="12"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环境因子</w:t>
            </w:r>
          </w:p>
        </w:tc>
        <w:tc>
          <w:tcPr>
            <w:tcW w:w="1295" w:type="pct"/>
            <w:gridSpan w:val="4"/>
            <w:tcBorders>
              <w:top w:val="single" w:color="000000" w:sz="12"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工程施工</w:t>
            </w:r>
          </w:p>
        </w:tc>
        <w:tc>
          <w:tcPr>
            <w:tcW w:w="1258" w:type="pct"/>
            <w:gridSpan w:val="4"/>
            <w:tcBorders>
              <w:top w:val="single" w:color="000000" w:sz="12"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正常运行</w:t>
            </w:r>
          </w:p>
        </w:tc>
        <w:tc>
          <w:tcPr>
            <w:tcW w:w="1345" w:type="pct"/>
            <w:gridSpan w:val="4"/>
            <w:tcBorders>
              <w:top w:val="single" w:color="000000" w:sz="12"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非正常工况</w:t>
            </w:r>
          </w:p>
        </w:tc>
      </w:tr>
      <w:tr>
        <w:tblPrEx>
          <w:tblCellMar>
            <w:top w:w="0" w:type="dxa"/>
            <w:left w:w="0" w:type="dxa"/>
            <w:bottom w:w="0" w:type="dxa"/>
            <w:right w:w="0" w:type="dxa"/>
          </w:tblCellMar>
        </w:tblPrEx>
        <w:trPr>
          <w:trHeight w:val="18" w:hRule="atLeast"/>
          <w:jc w:val="center"/>
        </w:trPr>
        <w:tc>
          <w:tcPr>
            <w:tcW w:w="0" w:type="auto"/>
            <w:vMerge w:val="continue"/>
            <w:tcBorders>
              <w:top w:val="single" w:color="000000" w:sz="12"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rPr>
            </w:pPr>
          </w:p>
        </w:tc>
        <w:tc>
          <w:tcPr>
            <w:tcW w:w="807" w:type="pct"/>
            <w:vMerge w:val="continue"/>
            <w:tcBorders>
              <w:top w:val="single" w:color="000000" w:sz="12"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rPr>
            </w:pP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有利</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影响</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不利</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影响</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影响</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较大</w:t>
            </w:r>
          </w:p>
        </w:tc>
        <w:tc>
          <w:tcPr>
            <w:tcW w:w="29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影响</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较轻</w:t>
            </w:r>
          </w:p>
        </w:tc>
        <w:tc>
          <w:tcPr>
            <w:tcW w:w="322"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有利</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影响</w:t>
            </w:r>
          </w:p>
        </w:tc>
        <w:tc>
          <w:tcPr>
            <w:tcW w:w="26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不利</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影响</w:t>
            </w: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影响</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较大</w:t>
            </w: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影响</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较轻</w:t>
            </w: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有利</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影响</w:t>
            </w: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不利</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影响</w:t>
            </w: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影响</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较大</w:t>
            </w:r>
          </w:p>
        </w:tc>
        <w:tc>
          <w:tcPr>
            <w:tcW w:w="332"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影响</w:t>
            </w:r>
          </w:p>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较轻</w:t>
            </w:r>
          </w:p>
        </w:tc>
      </w:tr>
      <w:tr>
        <w:tblPrEx>
          <w:tblCellMar>
            <w:top w:w="0" w:type="dxa"/>
            <w:left w:w="0" w:type="dxa"/>
            <w:bottom w:w="0" w:type="dxa"/>
            <w:right w:w="0" w:type="dxa"/>
          </w:tblCellMar>
        </w:tblPrEx>
        <w:trPr>
          <w:trHeight w:val="18" w:hRule="atLeast"/>
          <w:jc w:val="center"/>
        </w:trPr>
        <w:tc>
          <w:tcPr>
            <w:tcW w:w="295" w:type="pct"/>
            <w:vMerge w:val="restart"/>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环境质量</w:t>
            </w:r>
          </w:p>
        </w:tc>
        <w:tc>
          <w:tcPr>
            <w:tcW w:w="80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地表水</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9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22"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6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2"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CellMar>
            <w:top w:w="0" w:type="dxa"/>
            <w:left w:w="0" w:type="dxa"/>
            <w:bottom w:w="0" w:type="dxa"/>
            <w:right w:w="0" w:type="dxa"/>
          </w:tblCellMar>
        </w:tblPrEx>
        <w:trPr>
          <w:trHeight w:val="18" w:hRule="atLeast"/>
          <w:jc w:val="center"/>
        </w:trPr>
        <w:tc>
          <w:tcPr>
            <w:tcW w:w="0" w:type="auto"/>
            <w:vMerge w:val="continue"/>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80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环境空气</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9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22"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6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2"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kern w:val="2"/>
                <w:sz w:val="21"/>
              </w:rPr>
            </w:pPr>
          </w:p>
        </w:tc>
      </w:tr>
      <w:tr>
        <w:tblPrEx>
          <w:tblCellMar>
            <w:top w:w="0" w:type="dxa"/>
            <w:left w:w="0" w:type="dxa"/>
            <w:bottom w:w="0" w:type="dxa"/>
            <w:right w:w="0" w:type="dxa"/>
          </w:tblCellMar>
        </w:tblPrEx>
        <w:trPr>
          <w:trHeight w:val="18" w:hRule="atLeast"/>
          <w:jc w:val="center"/>
        </w:trPr>
        <w:tc>
          <w:tcPr>
            <w:tcW w:w="0" w:type="auto"/>
            <w:vMerge w:val="continue"/>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80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声环境</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9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22"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6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2"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CellMar>
            <w:top w:w="0" w:type="dxa"/>
            <w:left w:w="0" w:type="dxa"/>
            <w:bottom w:w="0" w:type="dxa"/>
            <w:right w:w="0" w:type="dxa"/>
          </w:tblCellMar>
        </w:tblPrEx>
        <w:trPr>
          <w:trHeight w:val="18" w:hRule="atLeast"/>
          <w:jc w:val="center"/>
        </w:trPr>
        <w:tc>
          <w:tcPr>
            <w:tcW w:w="295" w:type="pct"/>
            <w:vMerge w:val="restart"/>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自然生态环境</w:t>
            </w:r>
          </w:p>
        </w:tc>
        <w:tc>
          <w:tcPr>
            <w:tcW w:w="80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地形地貌</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9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22"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6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2"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kern w:val="2"/>
                <w:sz w:val="21"/>
              </w:rPr>
            </w:pPr>
          </w:p>
        </w:tc>
      </w:tr>
      <w:tr>
        <w:tblPrEx>
          <w:tblCellMar>
            <w:top w:w="0" w:type="dxa"/>
            <w:left w:w="0" w:type="dxa"/>
            <w:bottom w:w="0" w:type="dxa"/>
            <w:right w:w="0" w:type="dxa"/>
          </w:tblCellMar>
        </w:tblPrEx>
        <w:trPr>
          <w:trHeight w:val="18" w:hRule="atLeast"/>
          <w:jc w:val="center"/>
        </w:trPr>
        <w:tc>
          <w:tcPr>
            <w:tcW w:w="0" w:type="auto"/>
            <w:vMerge w:val="continue"/>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80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生态环境</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9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22"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6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2"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CellMar>
            <w:top w:w="0" w:type="dxa"/>
            <w:left w:w="0" w:type="dxa"/>
            <w:bottom w:w="0" w:type="dxa"/>
            <w:right w:w="0" w:type="dxa"/>
          </w:tblCellMar>
        </w:tblPrEx>
        <w:trPr>
          <w:trHeight w:val="18" w:hRule="atLeast"/>
          <w:jc w:val="center"/>
        </w:trPr>
        <w:tc>
          <w:tcPr>
            <w:tcW w:w="0" w:type="auto"/>
            <w:vMerge w:val="continue"/>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80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土壤</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9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22"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6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2"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CellMar>
            <w:top w:w="0" w:type="dxa"/>
            <w:left w:w="0" w:type="dxa"/>
            <w:bottom w:w="0" w:type="dxa"/>
            <w:right w:w="0" w:type="dxa"/>
          </w:tblCellMar>
        </w:tblPrEx>
        <w:trPr>
          <w:trHeight w:val="18" w:hRule="atLeast"/>
          <w:jc w:val="center"/>
        </w:trPr>
        <w:tc>
          <w:tcPr>
            <w:tcW w:w="0" w:type="auto"/>
            <w:vMerge w:val="continue"/>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80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植被</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9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22"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6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2"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CellMar>
            <w:top w:w="0" w:type="dxa"/>
            <w:left w:w="0" w:type="dxa"/>
            <w:bottom w:w="0" w:type="dxa"/>
            <w:right w:w="0" w:type="dxa"/>
          </w:tblCellMar>
        </w:tblPrEx>
        <w:trPr>
          <w:trHeight w:val="18" w:hRule="atLeast"/>
          <w:jc w:val="center"/>
        </w:trPr>
        <w:tc>
          <w:tcPr>
            <w:tcW w:w="0" w:type="auto"/>
            <w:vMerge w:val="continue"/>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80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水土流失</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9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22"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6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2"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kern w:val="2"/>
                <w:sz w:val="21"/>
              </w:rPr>
            </w:pPr>
          </w:p>
        </w:tc>
      </w:tr>
      <w:tr>
        <w:tblPrEx>
          <w:tblCellMar>
            <w:top w:w="0" w:type="dxa"/>
            <w:left w:w="0" w:type="dxa"/>
            <w:bottom w:w="0" w:type="dxa"/>
            <w:right w:w="0" w:type="dxa"/>
          </w:tblCellMar>
        </w:tblPrEx>
        <w:trPr>
          <w:trHeight w:val="18" w:hRule="atLeast"/>
          <w:jc w:val="center"/>
        </w:trPr>
        <w:tc>
          <w:tcPr>
            <w:tcW w:w="0" w:type="auto"/>
            <w:vMerge w:val="continue"/>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80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土地利用</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9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22"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6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2"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kern w:val="2"/>
                <w:sz w:val="21"/>
              </w:rPr>
            </w:pPr>
          </w:p>
        </w:tc>
      </w:tr>
      <w:tr>
        <w:tblPrEx>
          <w:tblCellMar>
            <w:top w:w="0" w:type="dxa"/>
            <w:left w:w="0" w:type="dxa"/>
            <w:bottom w:w="0" w:type="dxa"/>
            <w:right w:w="0" w:type="dxa"/>
          </w:tblCellMar>
        </w:tblPrEx>
        <w:trPr>
          <w:trHeight w:val="18" w:hRule="atLeast"/>
          <w:jc w:val="center"/>
        </w:trPr>
        <w:tc>
          <w:tcPr>
            <w:tcW w:w="295" w:type="pct"/>
            <w:vMerge w:val="restart"/>
            <w:tcBorders>
              <w:top w:val="single" w:color="000000" w:sz="4" w:space="0"/>
              <w:left w:val="nil"/>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社会环境</w:t>
            </w:r>
          </w:p>
        </w:tc>
        <w:tc>
          <w:tcPr>
            <w:tcW w:w="80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农业生产</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9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22"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6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2"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kern w:val="2"/>
                <w:sz w:val="21"/>
              </w:rPr>
            </w:pPr>
          </w:p>
        </w:tc>
      </w:tr>
      <w:tr>
        <w:tblPrEx>
          <w:tblCellMar>
            <w:top w:w="0" w:type="dxa"/>
            <w:left w:w="0" w:type="dxa"/>
            <w:bottom w:w="0" w:type="dxa"/>
            <w:right w:w="0" w:type="dxa"/>
          </w:tblCellMar>
        </w:tblPrEx>
        <w:trPr>
          <w:trHeight w:val="18" w:hRule="atLeast"/>
          <w:jc w:val="center"/>
        </w:trPr>
        <w:tc>
          <w:tcPr>
            <w:tcW w:w="0" w:type="auto"/>
            <w:vMerge w:val="continue"/>
            <w:tcBorders>
              <w:top w:val="single" w:color="000000" w:sz="4" w:space="0"/>
              <w:left w:val="nil"/>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80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劳动就业</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9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22"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26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2"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kern w:val="2"/>
                <w:sz w:val="21"/>
              </w:rPr>
            </w:pPr>
          </w:p>
        </w:tc>
      </w:tr>
      <w:tr>
        <w:tblPrEx>
          <w:tblCellMar>
            <w:top w:w="0" w:type="dxa"/>
            <w:left w:w="0" w:type="dxa"/>
            <w:bottom w:w="0" w:type="dxa"/>
            <w:right w:w="0" w:type="dxa"/>
          </w:tblCellMar>
        </w:tblPrEx>
        <w:trPr>
          <w:trHeight w:val="18" w:hRule="atLeast"/>
          <w:jc w:val="center"/>
        </w:trPr>
        <w:tc>
          <w:tcPr>
            <w:tcW w:w="0" w:type="auto"/>
            <w:vMerge w:val="continue"/>
            <w:tcBorders>
              <w:top w:val="single" w:color="000000" w:sz="4" w:space="0"/>
              <w:left w:val="nil"/>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80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交通出行</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9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22"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6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2"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CellMar>
            <w:top w:w="0" w:type="dxa"/>
            <w:left w:w="0" w:type="dxa"/>
            <w:bottom w:w="0" w:type="dxa"/>
            <w:right w:w="0" w:type="dxa"/>
          </w:tblCellMar>
        </w:tblPrEx>
        <w:trPr>
          <w:trHeight w:val="18" w:hRule="atLeast"/>
          <w:jc w:val="center"/>
        </w:trPr>
        <w:tc>
          <w:tcPr>
            <w:tcW w:w="0" w:type="auto"/>
            <w:vMerge w:val="continue"/>
            <w:tcBorders>
              <w:top w:val="single" w:color="000000" w:sz="4" w:space="0"/>
              <w:left w:val="nil"/>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80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社会经济</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9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22"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26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2"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kern w:val="2"/>
                <w:sz w:val="21"/>
              </w:rPr>
            </w:pPr>
          </w:p>
        </w:tc>
      </w:tr>
      <w:tr>
        <w:tblPrEx>
          <w:tblCellMar>
            <w:top w:w="0" w:type="dxa"/>
            <w:left w:w="0" w:type="dxa"/>
            <w:bottom w:w="0" w:type="dxa"/>
            <w:right w:w="0" w:type="dxa"/>
          </w:tblCellMar>
        </w:tblPrEx>
        <w:trPr>
          <w:trHeight w:val="18" w:hRule="atLeast"/>
          <w:jc w:val="center"/>
        </w:trPr>
        <w:tc>
          <w:tcPr>
            <w:tcW w:w="0" w:type="auto"/>
            <w:vMerge w:val="continue"/>
            <w:tcBorders>
              <w:top w:val="single" w:color="000000" w:sz="4" w:space="0"/>
              <w:left w:val="nil"/>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80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人体健康</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9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22"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6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2"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CellMar>
            <w:top w:w="0" w:type="dxa"/>
            <w:left w:w="0" w:type="dxa"/>
            <w:bottom w:w="0" w:type="dxa"/>
            <w:right w:w="0" w:type="dxa"/>
          </w:tblCellMar>
        </w:tblPrEx>
        <w:trPr>
          <w:trHeight w:val="18" w:hRule="atLeast"/>
          <w:jc w:val="center"/>
        </w:trPr>
        <w:tc>
          <w:tcPr>
            <w:tcW w:w="0" w:type="auto"/>
            <w:vMerge w:val="continue"/>
            <w:tcBorders>
              <w:top w:val="single" w:color="000000" w:sz="4" w:space="0"/>
              <w:left w:val="nil"/>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807" w:type="pct"/>
            <w:tcBorders>
              <w:top w:val="single" w:color="000000" w:sz="4" w:space="0"/>
              <w:left w:val="single" w:color="000000" w:sz="4" w:space="0"/>
              <w:bottom w:val="single" w:color="auto"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景观</w:t>
            </w:r>
          </w:p>
        </w:tc>
        <w:tc>
          <w:tcPr>
            <w:tcW w:w="335" w:type="pct"/>
            <w:tcBorders>
              <w:top w:val="single" w:color="000000" w:sz="4" w:space="0"/>
              <w:left w:val="single" w:color="000000" w:sz="4" w:space="0"/>
              <w:bottom w:val="single" w:color="auto"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5" w:type="pct"/>
            <w:tcBorders>
              <w:top w:val="single" w:color="000000" w:sz="4" w:space="0"/>
              <w:left w:val="single" w:color="000000" w:sz="4" w:space="0"/>
              <w:bottom w:val="single" w:color="auto"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5" w:type="pct"/>
            <w:tcBorders>
              <w:top w:val="single" w:color="000000" w:sz="4" w:space="0"/>
              <w:left w:val="single" w:color="000000" w:sz="4" w:space="0"/>
              <w:bottom w:val="single" w:color="auto"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290" w:type="pct"/>
            <w:tcBorders>
              <w:top w:val="single" w:color="000000" w:sz="4" w:space="0"/>
              <w:left w:val="single" w:color="000000" w:sz="4" w:space="0"/>
              <w:bottom w:val="single" w:color="auto"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22" w:type="pct"/>
            <w:tcBorders>
              <w:top w:val="single" w:color="000000" w:sz="4" w:space="0"/>
              <w:left w:val="single" w:color="000000" w:sz="4" w:space="0"/>
              <w:bottom w:val="single" w:color="auto"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60" w:type="pct"/>
            <w:tcBorders>
              <w:top w:val="single" w:color="000000" w:sz="4" w:space="0"/>
              <w:left w:val="single" w:color="000000" w:sz="4" w:space="0"/>
              <w:bottom w:val="single" w:color="auto"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auto"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auto"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auto"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auto"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7" w:type="pct"/>
            <w:tcBorders>
              <w:top w:val="single" w:color="000000" w:sz="4" w:space="0"/>
              <w:left w:val="single" w:color="000000" w:sz="4" w:space="0"/>
              <w:bottom w:val="single" w:color="auto"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2" w:type="pct"/>
            <w:tcBorders>
              <w:top w:val="single" w:color="000000" w:sz="4" w:space="0"/>
              <w:left w:val="single" w:color="000000" w:sz="4" w:space="0"/>
              <w:bottom w:val="single" w:color="auto" w:sz="4" w:space="0"/>
              <w:righ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CellMar>
            <w:top w:w="0" w:type="dxa"/>
            <w:left w:w="0" w:type="dxa"/>
            <w:bottom w:w="0" w:type="dxa"/>
            <w:right w:w="0" w:type="dxa"/>
          </w:tblCellMar>
        </w:tblPrEx>
        <w:trPr>
          <w:trHeight w:val="18" w:hRule="atLeast"/>
          <w:jc w:val="center"/>
        </w:trPr>
        <w:tc>
          <w:tcPr>
            <w:tcW w:w="0" w:type="auto"/>
            <w:vMerge w:val="continue"/>
            <w:tcBorders>
              <w:top w:val="single" w:color="000000" w:sz="4" w:space="0"/>
              <w:left w:val="nil"/>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807" w:type="pct"/>
            <w:tcBorders>
              <w:top w:val="single" w:color="auto" w:sz="4" w:space="0"/>
              <w:left w:val="single" w:color="000000" w:sz="4" w:space="0"/>
              <w:bottom w:val="single" w:color="auto"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旅游</w:t>
            </w:r>
          </w:p>
        </w:tc>
        <w:tc>
          <w:tcPr>
            <w:tcW w:w="335" w:type="pct"/>
            <w:tcBorders>
              <w:top w:val="single" w:color="auto" w:sz="4" w:space="0"/>
              <w:left w:val="single" w:color="000000" w:sz="4" w:space="0"/>
              <w:bottom w:val="single" w:color="auto"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5" w:type="pct"/>
            <w:tcBorders>
              <w:top w:val="single" w:color="auto" w:sz="4" w:space="0"/>
              <w:left w:val="single" w:color="000000" w:sz="4" w:space="0"/>
              <w:bottom w:val="single" w:color="auto"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5" w:type="pct"/>
            <w:tcBorders>
              <w:top w:val="single" w:color="auto" w:sz="4" w:space="0"/>
              <w:left w:val="single" w:color="000000" w:sz="4" w:space="0"/>
              <w:bottom w:val="single" w:color="auto"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90" w:type="pct"/>
            <w:tcBorders>
              <w:top w:val="single" w:color="auto" w:sz="4" w:space="0"/>
              <w:left w:val="single" w:color="000000" w:sz="4" w:space="0"/>
              <w:bottom w:val="single" w:color="auto"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22" w:type="pct"/>
            <w:tcBorders>
              <w:top w:val="single" w:color="auto" w:sz="4" w:space="0"/>
              <w:left w:val="single" w:color="000000" w:sz="4" w:space="0"/>
              <w:bottom w:val="single" w:color="auto"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60" w:type="pct"/>
            <w:tcBorders>
              <w:top w:val="single" w:color="auto" w:sz="4" w:space="0"/>
              <w:left w:val="single" w:color="000000" w:sz="4" w:space="0"/>
              <w:bottom w:val="single" w:color="auto"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auto" w:sz="4" w:space="0"/>
              <w:left w:val="single" w:color="000000" w:sz="4" w:space="0"/>
              <w:bottom w:val="single" w:color="auto"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auto" w:sz="4" w:space="0"/>
              <w:left w:val="single" w:color="000000" w:sz="4" w:space="0"/>
              <w:bottom w:val="single" w:color="auto"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auto" w:sz="4" w:space="0"/>
              <w:left w:val="single" w:color="000000" w:sz="4" w:space="0"/>
              <w:bottom w:val="single" w:color="auto"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auto" w:sz="4" w:space="0"/>
              <w:left w:val="single" w:color="000000" w:sz="4" w:space="0"/>
              <w:bottom w:val="single" w:color="auto"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7" w:type="pct"/>
            <w:tcBorders>
              <w:top w:val="single" w:color="auto" w:sz="4" w:space="0"/>
              <w:left w:val="single" w:color="000000" w:sz="4" w:space="0"/>
              <w:bottom w:val="single" w:color="auto"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2" w:type="pct"/>
            <w:tcBorders>
              <w:top w:val="single" w:color="auto" w:sz="4" w:space="0"/>
              <w:left w:val="single" w:color="000000" w:sz="4" w:space="0"/>
              <w:bottom w:val="single" w:color="auto" w:sz="4" w:space="0"/>
              <w:right w:val="nil"/>
            </w:tcBorders>
            <w:vAlign w:val="center"/>
          </w:tcPr>
          <w:p>
            <w:pPr>
              <w:topLinePunct w:val="0"/>
              <w:adjustRightInd/>
              <w:spacing w:line="240" w:lineRule="auto"/>
              <w:ind w:firstLine="0" w:firstLineChars="0"/>
              <w:jc w:val="center"/>
              <w:rPr>
                <w:rFonts w:ascii="Times New Roman" w:cs="Times New Roman"/>
                <w:kern w:val="2"/>
                <w:sz w:val="21"/>
              </w:rPr>
            </w:pPr>
          </w:p>
        </w:tc>
      </w:tr>
      <w:tr>
        <w:tblPrEx>
          <w:tblCellMar>
            <w:top w:w="0" w:type="dxa"/>
            <w:left w:w="0" w:type="dxa"/>
            <w:bottom w:w="0" w:type="dxa"/>
            <w:right w:w="0" w:type="dxa"/>
          </w:tblCellMar>
        </w:tblPrEx>
        <w:trPr>
          <w:trHeight w:val="18" w:hRule="atLeast"/>
          <w:jc w:val="center"/>
        </w:trPr>
        <w:tc>
          <w:tcPr>
            <w:tcW w:w="0" w:type="auto"/>
            <w:vMerge w:val="continue"/>
            <w:tcBorders>
              <w:top w:val="single" w:color="000000" w:sz="4" w:space="0"/>
              <w:left w:val="nil"/>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80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居住</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35"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9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322"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60"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2"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kern w:val="2"/>
                <w:sz w:val="21"/>
              </w:rPr>
            </w:pPr>
          </w:p>
        </w:tc>
      </w:tr>
      <w:tr>
        <w:tblPrEx>
          <w:tblCellMar>
            <w:top w:w="0" w:type="dxa"/>
            <w:left w:w="0" w:type="dxa"/>
            <w:bottom w:w="0" w:type="dxa"/>
            <w:right w:w="0" w:type="dxa"/>
          </w:tblCellMar>
        </w:tblPrEx>
        <w:trPr>
          <w:trHeight w:val="18" w:hRule="atLeast"/>
          <w:jc w:val="center"/>
        </w:trPr>
        <w:tc>
          <w:tcPr>
            <w:tcW w:w="0" w:type="auto"/>
            <w:vMerge w:val="continue"/>
            <w:tcBorders>
              <w:top w:val="single" w:color="000000" w:sz="4" w:space="0"/>
              <w:left w:val="nil"/>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807" w:type="pct"/>
            <w:tcBorders>
              <w:top w:val="single" w:color="000000" w:sz="4" w:space="0"/>
              <w:left w:val="single" w:color="000000" w:sz="4" w:space="0"/>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减少温室效应</w:t>
            </w:r>
          </w:p>
        </w:tc>
        <w:tc>
          <w:tcPr>
            <w:tcW w:w="335" w:type="pct"/>
            <w:tcBorders>
              <w:top w:val="single" w:color="000000" w:sz="4" w:space="0"/>
              <w:left w:val="single" w:color="000000" w:sz="4" w:space="0"/>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5" w:type="pct"/>
            <w:tcBorders>
              <w:top w:val="single" w:color="000000" w:sz="4" w:space="0"/>
              <w:left w:val="single" w:color="000000" w:sz="4" w:space="0"/>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5" w:type="pct"/>
            <w:tcBorders>
              <w:top w:val="single" w:color="000000" w:sz="4" w:space="0"/>
              <w:left w:val="single" w:color="000000" w:sz="4" w:space="0"/>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290" w:type="pct"/>
            <w:tcBorders>
              <w:top w:val="single" w:color="000000" w:sz="4" w:space="0"/>
              <w:left w:val="single" w:color="000000" w:sz="4" w:space="0"/>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22" w:type="pct"/>
            <w:tcBorders>
              <w:top w:val="single" w:color="000000" w:sz="4" w:space="0"/>
              <w:left w:val="single" w:color="000000" w:sz="4" w:space="0"/>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c>
          <w:tcPr>
            <w:tcW w:w="260" w:type="pct"/>
            <w:tcBorders>
              <w:top w:val="single" w:color="000000" w:sz="4" w:space="0"/>
              <w:left w:val="single" w:color="000000" w:sz="4" w:space="0"/>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9" w:type="pct"/>
            <w:tcBorders>
              <w:top w:val="single" w:color="000000" w:sz="4" w:space="0"/>
              <w:left w:val="single" w:color="000000" w:sz="4" w:space="0"/>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7" w:type="pct"/>
            <w:tcBorders>
              <w:top w:val="single" w:color="000000" w:sz="4" w:space="0"/>
              <w:left w:val="single" w:color="000000" w:sz="4" w:space="0"/>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332" w:type="pct"/>
            <w:tcBorders>
              <w:top w:val="single" w:color="000000" w:sz="4" w:space="0"/>
              <w:left w:val="single" w:color="000000" w:sz="4" w:space="0"/>
              <w:bottom w:val="single" w:color="000000" w:sz="12" w:space="0"/>
              <w:right w:val="nil"/>
            </w:tcBorders>
            <w:vAlign w:val="center"/>
          </w:tcPr>
          <w:p>
            <w:pPr>
              <w:topLinePunct w:val="0"/>
              <w:adjustRightInd/>
              <w:spacing w:line="240" w:lineRule="auto"/>
              <w:ind w:firstLine="0" w:firstLineChars="0"/>
              <w:jc w:val="center"/>
              <w:rPr>
                <w:rFonts w:ascii="Times New Roman" w:cs="Times New Roman"/>
                <w:kern w:val="2"/>
                <w:sz w:val="21"/>
              </w:rPr>
            </w:pPr>
          </w:p>
        </w:tc>
      </w:tr>
    </w:tbl>
    <w:p>
      <w:pPr>
        <w:pStyle w:val="112"/>
        <w:ind w:firstLine="480"/>
      </w:pPr>
      <w:r>
        <w:t>根据表1.3-1和表1.3-2的分析结果可知，就环境影响因子影响而言，拟建工程主要影响站场周围环境空气</w:t>
      </w:r>
      <w:r>
        <w:rPr>
          <w:rFonts w:hint="eastAsia"/>
        </w:rPr>
        <w:t>、地表水、地下水、土壤、地下水和</w:t>
      </w:r>
      <w:r>
        <w:t>生态环境。</w:t>
      </w:r>
    </w:p>
    <w:p>
      <w:pPr>
        <w:keepNext/>
        <w:keepLines/>
        <w:ind w:firstLine="0" w:firstLineChars="0"/>
        <w:outlineLvl w:val="2"/>
        <w:rPr>
          <w:rFonts w:ascii="Times New Roman" w:cs="Times New Roman"/>
          <w:b/>
          <w:szCs w:val="32"/>
        </w:rPr>
      </w:pPr>
      <w:bookmarkStart w:id="59" w:name="_Toc19815933"/>
      <w:r>
        <w:rPr>
          <w:rFonts w:ascii="Times New Roman" w:cs="Times New Roman"/>
          <w:b/>
          <w:szCs w:val="32"/>
        </w:rPr>
        <w:t>1.3.2 评价因子筛选</w:t>
      </w:r>
      <w:bookmarkEnd w:id="59"/>
    </w:p>
    <w:p>
      <w:pPr>
        <w:pStyle w:val="112"/>
        <w:ind w:firstLine="480"/>
      </w:pPr>
      <w:r>
        <w:t>根据工程分析及沿线现有污染源状况，本项目评价因子见表1.3-3。</w:t>
      </w:r>
    </w:p>
    <w:p>
      <w:pPr>
        <w:pStyle w:val="37"/>
        <w:rPr>
          <w:rFonts w:cs="Times New Roman"/>
        </w:rPr>
      </w:pPr>
      <w:r>
        <w:rPr>
          <w:rFonts w:cs="Times New Roman"/>
        </w:rPr>
        <w:br w:type="page"/>
      </w:r>
    </w:p>
    <w:p>
      <w:pPr>
        <w:pStyle w:val="37"/>
        <w:rPr>
          <w:rFonts w:cs="Times New Roman"/>
        </w:rPr>
      </w:pPr>
      <w:r>
        <w:rPr>
          <w:rFonts w:cs="Times New Roman"/>
        </w:rPr>
        <w:t xml:space="preserve">表1.3-3  </w:t>
      </w:r>
      <w:r>
        <w:rPr>
          <w:rFonts w:cs="Times New Roman"/>
          <w:szCs w:val="21"/>
        </w:rPr>
        <w:t>本项目评价因子表</w:t>
      </w:r>
    </w:p>
    <w:tbl>
      <w:tblPr>
        <w:tblStyle w:val="57"/>
        <w:tblW w:w="5297" w:type="pct"/>
        <w:jc w:val="center"/>
        <w:tblLayout w:type="autofit"/>
        <w:tblCellMar>
          <w:top w:w="0" w:type="dxa"/>
          <w:left w:w="0" w:type="dxa"/>
          <w:bottom w:w="0" w:type="dxa"/>
          <w:right w:w="0" w:type="dxa"/>
        </w:tblCellMar>
      </w:tblPr>
      <w:tblGrid>
        <w:gridCol w:w="1327"/>
        <w:gridCol w:w="2011"/>
        <w:gridCol w:w="3785"/>
        <w:gridCol w:w="1676"/>
      </w:tblGrid>
      <w:tr>
        <w:tblPrEx>
          <w:tblCellMar>
            <w:top w:w="0" w:type="dxa"/>
            <w:left w:w="0" w:type="dxa"/>
            <w:bottom w:w="0" w:type="dxa"/>
            <w:right w:w="0" w:type="dxa"/>
          </w:tblCellMar>
        </w:tblPrEx>
        <w:trPr>
          <w:trHeight w:val="19" w:hRule="atLeast"/>
          <w:jc w:val="center"/>
        </w:trPr>
        <w:tc>
          <w:tcPr>
            <w:tcW w:w="754" w:type="pct"/>
            <w:tcBorders>
              <w:top w:val="single" w:color="000000" w:sz="12" w:space="0"/>
              <w:left w:val="nil"/>
              <w:bottom w:val="single" w:color="000000" w:sz="4" w:space="0"/>
              <w:right w:val="single" w:color="000000" w:sz="4" w:space="0"/>
            </w:tcBorders>
            <w:vAlign w:val="center"/>
          </w:tcPr>
          <w:p>
            <w:pPr>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评价要素</w:t>
            </w:r>
          </w:p>
        </w:tc>
        <w:tc>
          <w:tcPr>
            <w:tcW w:w="1143" w:type="pct"/>
            <w:tcBorders>
              <w:top w:val="single" w:color="000000" w:sz="12"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评价类型</w:t>
            </w:r>
          </w:p>
        </w:tc>
        <w:tc>
          <w:tcPr>
            <w:tcW w:w="2151" w:type="pct"/>
            <w:tcBorders>
              <w:top w:val="single" w:color="000000" w:sz="12"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评价因子或评价对象</w:t>
            </w:r>
          </w:p>
        </w:tc>
        <w:tc>
          <w:tcPr>
            <w:tcW w:w="952" w:type="pct"/>
            <w:tcBorders>
              <w:top w:val="single" w:color="000000" w:sz="12" w:space="0"/>
              <w:left w:val="single" w:color="000000" w:sz="4" w:space="0"/>
              <w:bottom w:val="single" w:color="000000" w:sz="4" w:space="0"/>
              <w:right w:val="nil"/>
            </w:tcBorders>
            <w:vAlign w:val="center"/>
          </w:tcPr>
          <w:p>
            <w:pPr>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备注</w:t>
            </w:r>
          </w:p>
        </w:tc>
      </w:tr>
      <w:tr>
        <w:tblPrEx>
          <w:tblCellMar>
            <w:top w:w="0" w:type="dxa"/>
            <w:left w:w="0" w:type="dxa"/>
            <w:bottom w:w="0" w:type="dxa"/>
            <w:right w:w="0" w:type="dxa"/>
          </w:tblCellMar>
        </w:tblPrEx>
        <w:trPr>
          <w:trHeight w:val="19" w:hRule="atLeast"/>
          <w:jc w:val="center"/>
        </w:trPr>
        <w:tc>
          <w:tcPr>
            <w:tcW w:w="754" w:type="pct"/>
            <w:tcBorders>
              <w:top w:val="single" w:color="000000" w:sz="4" w:space="0"/>
              <w:left w:val="nil"/>
              <w:bottom w:val="single" w:color="000000" w:sz="4" w:space="0"/>
              <w:right w:val="single" w:color="000000" w:sz="4" w:space="0"/>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生态</w:t>
            </w:r>
          </w:p>
        </w:tc>
        <w:tc>
          <w:tcPr>
            <w:tcW w:w="1143"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生态环境现状调查</w:t>
            </w:r>
          </w:p>
        </w:tc>
        <w:tc>
          <w:tcPr>
            <w:tcW w:w="2151"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cs="Times New Roman"/>
                <w:color w:val="FF0000"/>
                <w:kern w:val="2"/>
                <w:sz w:val="21"/>
                <w:szCs w:val="21"/>
              </w:rPr>
            </w:pPr>
            <w:r>
              <w:rPr>
                <w:rFonts w:ascii="Times New Roman" w:cs="Times New Roman"/>
                <w:color w:val="FF0000"/>
                <w:kern w:val="2"/>
                <w:sz w:val="21"/>
                <w:szCs w:val="21"/>
              </w:rPr>
              <w:t>动植物分布、土地利用、土壤侵蚀等</w:t>
            </w:r>
          </w:p>
        </w:tc>
        <w:tc>
          <w:tcPr>
            <w:tcW w:w="952" w:type="pct"/>
            <w:tcBorders>
              <w:top w:val="single" w:color="000000" w:sz="4" w:space="0"/>
              <w:left w:val="single" w:color="000000" w:sz="4" w:space="0"/>
              <w:bottom w:val="single" w:color="000000" w:sz="4" w:space="0"/>
              <w:right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场站及管道沿线</w:t>
            </w:r>
          </w:p>
        </w:tc>
      </w:tr>
      <w:tr>
        <w:tblPrEx>
          <w:tblCellMar>
            <w:top w:w="0" w:type="dxa"/>
            <w:left w:w="0" w:type="dxa"/>
            <w:bottom w:w="0" w:type="dxa"/>
            <w:right w:w="0" w:type="dxa"/>
          </w:tblCellMar>
        </w:tblPrEx>
        <w:trPr>
          <w:trHeight w:val="19" w:hRule="atLeast"/>
          <w:jc w:val="center"/>
        </w:trPr>
        <w:tc>
          <w:tcPr>
            <w:tcW w:w="754" w:type="pct"/>
            <w:tcBorders>
              <w:top w:val="single" w:color="000000" w:sz="4" w:space="0"/>
              <w:left w:val="nil"/>
              <w:bottom w:val="single" w:color="000000" w:sz="4" w:space="0"/>
              <w:right w:val="single" w:color="000000" w:sz="4" w:space="0"/>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地表水</w:t>
            </w:r>
          </w:p>
        </w:tc>
        <w:tc>
          <w:tcPr>
            <w:tcW w:w="1143"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地表水环境质量现状调查</w:t>
            </w:r>
          </w:p>
        </w:tc>
        <w:tc>
          <w:tcPr>
            <w:tcW w:w="2151"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pH、COD、BOD</w:t>
            </w:r>
            <w:r>
              <w:rPr>
                <w:rFonts w:ascii="Times New Roman" w:cs="Times New Roman"/>
                <w:kern w:val="2"/>
                <w:sz w:val="21"/>
                <w:szCs w:val="21"/>
                <w:vertAlign w:val="subscript"/>
              </w:rPr>
              <w:t>5</w:t>
            </w:r>
            <w:r>
              <w:rPr>
                <w:rFonts w:ascii="Times New Roman" w:cs="Times New Roman"/>
                <w:kern w:val="2"/>
                <w:sz w:val="21"/>
                <w:szCs w:val="21"/>
              </w:rPr>
              <w:t>、氨氮、SS、石油类、</w:t>
            </w:r>
            <w:r>
              <w:rPr>
                <w:rFonts w:hint="eastAsia" w:ascii="Times New Roman" w:cs="Times New Roman"/>
                <w:kern w:val="2"/>
                <w:sz w:val="21"/>
                <w:szCs w:val="21"/>
              </w:rPr>
              <w:t>挥发酚</w:t>
            </w:r>
            <w:r>
              <w:rPr>
                <w:rFonts w:ascii="Times New Roman" w:cs="Times New Roman"/>
                <w:kern w:val="2"/>
                <w:sz w:val="21"/>
                <w:szCs w:val="21"/>
              </w:rPr>
              <w:t>、硫化物、氯化物</w:t>
            </w:r>
          </w:p>
        </w:tc>
        <w:tc>
          <w:tcPr>
            <w:tcW w:w="952" w:type="pct"/>
            <w:tcBorders>
              <w:top w:val="single" w:color="000000" w:sz="4" w:space="0"/>
              <w:left w:val="single" w:color="000000" w:sz="4" w:space="0"/>
              <w:bottom w:val="single" w:color="000000" w:sz="4" w:space="0"/>
              <w:right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场站及管道沿线</w:t>
            </w:r>
          </w:p>
        </w:tc>
      </w:tr>
      <w:tr>
        <w:tblPrEx>
          <w:tblCellMar>
            <w:top w:w="0" w:type="dxa"/>
            <w:left w:w="0" w:type="dxa"/>
            <w:bottom w:w="0" w:type="dxa"/>
            <w:right w:w="0" w:type="dxa"/>
          </w:tblCellMar>
        </w:tblPrEx>
        <w:trPr>
          <w:trHeight w:val="19" w:hRule="atLeast"/>
          <w:jc w:val="center"/>
        </w:trPr>
        <w:tc>
          <w:tcPr>
            <w:tcW w:w="754" w:type="pct"/>
            <w:tcBorders>
              <w:top w:val="single" w:color="000000" w:sz="4" w:space="0"/>
              <w:left w:val="nil"/>
              <w:bottom w:val="single" w:color="000000" w:sz="4" w:space="0"/>
              <w:right w:val="single" w:color="000000" w:sz="4" w:space="0"/>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大气</w:t>
            </w:r>
          </w:p>
        </w:tc>
        <w:tc>
          <w:tcPr>
            <w:tcW w:w="1143"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环境空气质量调查</w:t>
            </w:r>
          </w:p>
        </w:tc>
        <w:tc>
          <w:tcPr>
            <w:tcW w:w="2151"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SO</w:t>
            </w:r>
            <w:r>
              <w:rPr>
                <w:rFonts w:ascii="Times New Roman" w:cs="Times New Roman"/>
                <w:kern w:val="2"/>
                <w:sz w:val="21"/>
                <w:szCs w:val="21"/>
                <w:vertAlign w:val="subscript"/>
              </w:rPr>
              <w:t>2</w:t>
            </w:r>
            <w:r>
              <w:rPr>
                <w:rFonts w:ascii="Times New Roman" w:cs="Times New Roman"/>
                <w:kern w:val="2"/>
                <w:sz w:val="21"/>
                <w:szCs w:val="21"/>
              </w:rPr>
              <w:t>、NO</w:t>
            </w:r>
            <w:r>
              <w:rPr>
                <w:rFonts w:ascii="Times New Roman" w:cs="Times New Roman"/>
                <w:kern w:val="2"/>
                <w:sz w:val="21"/>
                <w:szCs w:val="21"/>
                <w:vertAlign w:val="subscript"/>
              </w:rPr>
              <w:t>2</w:t>
            </w:r>
            <w:r>
              <w:rPr>
                <w:rFonts w:ascii="Times New Roman" w:cs="Times New Roman"/>
                <w:kern w:val="2"/>
                <w:sz w:val="21"/>
                <w:szCs w:val="21"/>
              </w:rPr>
              <w:t>、PM</w:t>
            </w:r>
            <w:r>
              <w:rPr>
                <w:rFonts w:ascii="Times New Roman" w:cs="Times New Roman"/>
                <w:kern w:val="2"/>
                <w:sz w:val="21"/>
                <w:szCs w:val="21"/>
                <w:vertAlign w:val="subscript"/>
              </w:rPr>
              <w:t>2.5</w:t>
            </w:r>
            <w:r>
              <w:rPr>
                <w:rFonts w:ascii="Times New Roman" w:cs="Times New Roman"/>
                <w:kern w:val="2"/>
                <w:sz w:val="21"/>
                <w:szCs w:val="21"/>
              </w:rPr>
              <w:t>、PM</w:t>
            </w:r>
            <w:r>
              <w:rPr>
                <w:rFonts w:ascii="Times New Roman" w:cs="Times New Roman"/>
                <w:kern w:val="2"/>
                <w:sz w:val="21"/>
                <w:szCs w:val="21"/>
                <w:vertAlign w:val="subscript"/>
              </w:rPr>
              <w:t>10</w:t>
            </w:r>
            <w:r>
              <w:rPr>
                <w:rFonts w:ascii="Times New Roman" w:cs="Times New Roman"/>
                <w:kern w:val="2"/>
                <w:sz w:val="21"/>
                <w:szCs w:val="21"/>
              </w:rPr>
              <w:t>、O</w:t>
            </w:r>
            <w:r>
              <w:rPr>
                <w:rFonts w:ascii="Times New Roman" w:cs="Times New Roman"/>
                <w:kern w:val="2"/>
                <w:sz w:val="21"/>
                <w:szCs w:val="21"/>
                <w:vertAlign w:val="subscript"/>
              </w:rPr>
              <w:t>3</w:t>
            </w:r>
            <w:r>
              <w:rPr>
                <w:rFonts w:ascii="Times New Roman" w:cs="Times New Roman"/>
                <w:kern w:val="2"/>
                <w:sz w:val="21"/>
                <w:szCs w:val="21"/>
              </w:rPr>
              <w:t>、CO、</w:t>
            </w:r>
            <w:r>
              <w:rPr>
                <w:rFonts w:hint="eastAsia" w:ascii="Times New Roman" w:cs="Times New Roman"/>
                <w:kern w:val="2"/>
                <w:sz w:val="21"/>
                <w:szCs w:val="21"/>
              </w:rPr>
              <w:t>非甲烷总烃</w:t>
            </w:r>
            <w:r>
              <w:rPr>
                <w:rFonts w:ascii="Times New Roman" w:cs="Times New Roman"/>
                <w:kern w:val="2"/>
                <w:sz w:val="21"/>
                <w:szCs w:val="21"/>
              </w:rPr>
              <w:t>、H</w:t>
            </w:r>
            <w:r>
              <w:rPr>
                <w:rFonts w:ascii="Times New Roman" w:cs="Times New Roman"/>
                <w:kern w:val="2"/>
                <w:sz w:val="21"/>
                <w:szCs w:val="21"/>
                <w:vertAlign w:val="subscript"/>
              </w:rPr>
              <w:t>2</w:t>
            </w:r>
            <w:r>
              <w:rPr>
                <w:rFonts w:ascii="Times New Roman" w:cs="Times New Roman"/>
                <w:kern w:val="2"/>
                <w:sz w:val="21"/>
                <w:szCs w:val="21"/>
              </w:rPr>
              <w:t>S</w:t>
            </w:r>
          </w:p>
        </w:tc>
        <w:tc>
          <w:tcPr>
            <w:tcW w:w="952" w:type="pct"/>
            <w:tcBorders>
              <w:top w:val="single" w:color="000000" w:sz="4" w:space="0"/>
              <w:left w:val="single" w:color="000000" w:sz="4" w:space="0"/>
              <w:bottom w:val="single" w:color="000000" w:sz="2" w:space="0"/>
              <w:right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场站及管道沿线</w:t>
            </w:r>
          </w:p>
        </w:tc>
      </w:tr>
      <w:tr>
        <w:tblPrEx>
          <w:tblCellMar>
            <w:top w:w="0" w:type="dxa"/>
            <w:left w:w="0" w:type="dxa"/>
            <w:bottom w:w="0" w:type="dxa"/>
            <w:right w:w="0" w:type="dxa"/>
          </w:tblCellMar>
        </w:tblPrEx>
        <w:trPr>
          <w:trHeight w:val="19" w:hRule="atLeast"/>
          <w:jc w:val="center"/>
        </w:trPr>
        <w:tc>
          <w:tcPr>
            <w:tcW w:w="754" w:type="pct"/>
            <w:tcBorders>
              <w:top w:val="single" w:color="000000" w:sz="4" w:space="0"/>
              <w:left w:val="nil"/>
              <w:bottom w:val="single" w:color="000000" w:sz="4" w:space="0"/>
              <w:right w:val="single" w:color="000000" w:sz="4" w:space="0"/>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噪声</w:t>
            </w:r>
          </w:p>
        </w:tc>
        <w:tc>
          <w:tcPr>
            <w:tcW w:w="1143"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现状调查与预测</w:t>
            </w:r>
          </w:p>
        </w:tc>
        <w:tc>
          <w:tcPr>
            <w:tcW w:w="2151"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昼夜等效连续A声级</w:t>
            </w:r>
          </w:p>
        </w:tc>
        <w:tc>
          <w:tcPr>
            <w:tcW w:w="952" w:type="pct"/>
            <w:tcBorders>
              <w:top w:val="single" w:color="000000" w:sz="2" w:space="0"/>
              <w:left w:val="single" w:color="000000" w:sz="4" w:space="0"/>
              <w:bottom w:val="single" w:color="000000" w:sz="4" w:space="0"/>
              <w:right w:val="nil"/>
            </w:tcBorders>
            <w:vAlign w:val="center"/>
          </w:tcPr>
          <w:p>
            <w:pPr>
              <w:pStyle w:val="539"/>
            </w:pPr>
            <w:r>
              <w:rPr>
                <w:kern w:val="2"/>
                <w:szCs w:val="21"/>
              </w:rPr>
              <w:t>场站及管道沿线</w:t>
            </w:r>
          </w:p>
        </w:tc>
      </w:tr>
      <w:tr>
        <w:tblPrEx>
          <w:tblCellMar>
            <w:top w:w="0" w:type="dxa"/>
            <w:left w:w="0" w:type="dxa"/>
            <w:bottom w:w="0" w:type="dxa"/>
            <w:right w:w="0" w:type="dxa"/>
          </w:tblCellMar>
        </w:tblPrEx>
        <w:trPr>
          <w:trHeight w:val="19" w:hRule="atLeast"/>
          <w:jc w:val="center"/>
        </w:trPr>
        <w:tc>
          <w:tcPr>
            <w:tcW w:w="754" w:type="pct"/>
            <w:tcBorders>
              <w:top w:val="single" w:color="000000" w:sz="4" w:space="0"/>
              <w:left w:val="nil"/>
              <w:bottom w:val="single" w:color="000000" w:sz="4" w:space="0"/>
              <w:right w:val="single" w:color="000000" w:sz="4" w:space="0"/>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浅层地下水</w:t>
            </w:r>
          </w:p>
        </w:tc>
        <w:tc>
          <w:tcPr>
            <w:tcW w:w="1143"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地下水环境质量现状调查</w:t>
            </w:r>
          </w:p>
        </w:tc>
        <w:tc>
          <w:tcPr>
            <w:tcW w:w="2151"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sz w:val="21"/>
                <w:szCs w:val="21"/>
              </w:rPr>
              <w:t>K</w:t>
            </w:r>
            <w:r>
              <w:rPr>
                <w:rFonts w:ascii="Times New Roman" w:cs="Times New Roman"/>
                <w:sz w:val="21"/>
                <w:szCs w:val="21"/>
                <w:vertAlign w:val="superscript"/>
              </w:rPr>
              <w:t>+</w:t>
            </w:r>
            <w:r>
              <w:rPr>
                <w:rFonts w:ascii="Times New Roman" w:cs="Times New Roman"/>
                <w:sz w:val="21"/>
                <w:szCs w:val="21"/>
              </w:rPr>
              <w:t>+Na</w:t>
            </w:r>
            <w:r>
              <w:rPr>
                <w:rFonts w:ascii="Times New Roman" w:cs="Times New Roman"/>
                <w:sz w:val="21"/>
                <w:szCs w:val="21"/>
                <w:vertAlign w:val="superscript"/>
              </w:rPr>
              <w:t>+</w:t>
            </w:r>
            <w:r>
              <w:rPr>
                <w:rFonts w:ascii="Times New Roman" w:cs="Times New Roman"/>
                <w:sz w:val="21"/>
                <w:szCs w:val="21"/>
              </w:rPr>
              <w:t>、Ca</w:t>
            </w:r>
            <w:r>
              <w:rPr>
                <w:rFonts w:ascii="Times New Roman" w:cs="Times New Roman"/>
                <w:sz w:val="21"/>
                <w:szCs w:val="21"/>
                <w:vertAlign w:val="superscript"/>
              </w:rPr>
              <w:t>2+</w:t>
            </w:r>
            <w:r>
              <w:rPr>
                <w:rFonts w:ascii="Times New Roman" w:cs="Times New Roman"/>
                <w:sz w:val="21"/>
                <w:szCs w:val="21"/>
              </w:rPr>
              <w:t>、Mg</w:t>
            </w:r>
            <w:r>
              <w:rPr>
                <w:rFonts w:ascii="Times New Roman" w:cs="Times New Roman"/>
                <w:sz w:val="21"/>
                <w:szCs w:val="21"/>
                <w:vertAlign w:val="superscript"/>
              </w:rPr>
              <w:t>2+</w:t>
            </w:r>
            <w:r>
              <w:rPr>
                <w:rFonts w:ascii="Times New Roman" w:cs="Times New Roman"/>
                <w:sz w:val="21"/>
                <w:szCs w:val="21"/>
              </w:rPr>
              <w:t>、CO</w:t>
            </w:r>
            <w:r>
              <w:rPr>
                <w:rFonts w:ascii="Times New Roman" w:cs="Times New Roman"/>
                <w:sz w:val="21"/>
                <w:szCs w:val="21"/>
                <w:vertAlign w:val="subscript"/>
              </w:rPr>
              <w:t>3</w:t>
            </w:r>
            <w:r>
              <w:rPr>
                <w:rFonts w:ascii="Times New Roman" w:cs="Times New Roman"/>
                <w:sz w:val="21"/>
                <w:szCs w:val="21"/>
                <w:vertAlign w:val="superscript"/>
              </w:rPr>
              <w:t>2-</w:t>
            </w:r>
            <w:r>
              <w:rPr>
                <w:rFonts w:ascii="Times New Roman" w:cs="Times New Roman"/>
                <w:sz w:val="21"/>
                <w:szCs w:val="21"/>
              </w:rPr>
              <w:t>、HCO</w:t>
            </w:r>
            <w:r>
              <w:rPr>
                <w:rFonts w:ascii="Times New Roman" w:cs="Times New Roman"/>
                <w:sz w:val="21"/>
                <w:szCs w:val="21"/>
                <w:vertAlign w:val="subscript"/>
              </w:rPr>
              <w:t>3</w:t>
            </w:r>
            <w:r>
              <w:rPr>
                <w:rFonts w:ascii="Times New Roman" w:cs="Times New Roman"/>
                <w:sz w:val="21"/>
                <w:szCs w:val="21"/>
                <w:vertAlign w:val="superscript"/>
              </w:rPr>
              <w:t>-</w:t>
            </w:r>
            <w:r>
              <w:rPr>
                <w:rFonts w:ascii="Times New Roman" w:cs="Times New Roman"/>
                <w:sz w:val="21"/>
                <w:szCs w:val="21"/>
              </w:rPr>
              <w:t>、Cl</w:t>
            </w:r>
            <w:r>
              <w:rPr>
                <w:rFonts w:ascii="Times New Roman" w:cs="Times New Roman"/>
                <w:sz w:val="21"/>
                <w:szCs w:val="21"/>
                <w:vertAlign w:val="superscript"/>
              </w:rPr>
              <w:t>-</w:t>
            </w:r>
            <w:r>
              <w:rPr>
                <w:rFonts w:ascii="Times New Roman" w:cs="Times New Roman"/>
                <w:sz w:val="21"/>
                <w:szCs w:val="21"/>
              </w:rPr>
              <w:t>、SO</w:t>
            </w:r>
            <w:r>
              <w:rPr>
                <w:rFonts w:ascii="Times New Roman" w:cs="Times New Roman"/>
                <w:sz w:val="21"/>
                <w:szCs w:val="21"/>
                <w:vertAlign w:val="subscript"/>
              </w:rPr>
              <w:t>4</w:t>
            </w:r>
            <w:r>
              <w:rPr>
                <w:rFonts w:ascii="Times New Roman" w:cs="Times New Roman"/>
                <w:sz w:val="21"/>
                <w:szCs w:val="21"/>
                <w:vertAlign w:val="superscript"/>
              </w:rPr>
              <w:t>2-</w:t>
            </w:r>
            <w:r>
              <w:rPr>
                <w:rFonts w:ascii="Times New Roman" w:cs="Times New Roman"/>
                <w:sz w:val="21"/>
                <w:szCs w:val="21"/>
              </w:rPr>
              <w:t>；pH、氨氮、硝酸盐、亚硝酸盐、挥发性酚类、氰化物、砷、汞、铬（六价）、总硬度、铅、镉、铁、锰、溶解性总固体、耗氧量、硫酸盐、氯化物、菌落总数、氟化物、总大肠菌群</w:t>
            </w:r>
            <w:r>
              <w:rPr>
                <w:rFonts w:hint="eastAsia" w:ascii="Times New Roman" w:cs="Times New Roman"/>
                <w:sz w:val="21"/>
                <w:szCs w:val="21"/>
              </w:rPr>
              <w:t>、</w:t>
            </w:r>
            <w:r>
              <w:rPr>
                <w:rFonts w:ascii="Times New Roman" w:cs="Times New Roman"/>
                <w:sz w:val="21"/>
                <w:szCs w:val="21"/>
              </w:rPr>
              <w:t>硫化物</w:t>
            </w:r>
          </w:p>
        </w:tc>
        <w:tc>
          <w:tcPr>
            <w:tcW w:w="952" w:type="pct"/>
            <w:tcBorders>
              <w:top w:val="single" w:color="000000" w:sz="4" w:space="0"/>
              <w:left w:val="single" w:color="000000" w:sz="4" w:space="0"/>
              <w:bottom w:val="single" w:color="000000" w:sz="4" w:space="0"/>
              <w:right w:val="nil"/>
            </w:tcBorders>
            <w:vAlign w:val="center"/>
          </w:tcPr>
          <w:p>
            <w:pPr>
              <w:spacing w:line="240" w:lineRule="auto"/>
              <w:ind w:firstLine="0" w:firstLineChars="0"/>
              <w:jc w:val="center"/>
              <w:rPr>
                <w:rFonts w:ascii="Times New Roman" w:cs="Times New Roman"/>
                <w:color w:val="FF0000"/>
                <w:kern w:val="2"/>
                <w:sz w:val="21"/>
                <w:szCs w:val="21"/>
              </w:rPr>
            </w:pPr>
            <w:r>
              <w:rPr>
                <w:rFonts w:ascii="Times New Roman" w:cs="Times New Roman"/>
                <w:color w:val="FF0000"/>
                <w:kern w:val="2"/>
                <w:sz w:val="21"/>
                <w:szCs w:val="21"/>
              </w:rPr>
              <w:t>场站及</w:t>
            </w:r>
            <w:r>
              <w:rPr>
                <w:rFonts w:hint="eastAsia" w:ascii="Times New Roman" w:cs="Times New Roman"/>
                <w:color w:val="FF0000"/>
                <w:kern w:val="2"/>
                <w:sz w:val="21"/>
                <w:szCs w:val="21"/>
              </w:rPr>
              <w:t>周围</w:t>
            </w:r>
          </w:p>
        </w:tc>
      </w:tr>
      <w:tr>
        <w:tblPrEx>
          <w:tblCellMar>
            <w:top w:w="0" w:type="dxa"/>
            <w:left w:w="0" w:type="dxa"/>
            <w:bottom w:w="0" w:type="dxa"/>
            <w:right w:w="0" w:type="dxa"/>
          </w:tblCellMar>
        </w:tblPrEx>
        <w:trPr>
          <w:trHeight w:val="19" w:hRule="atLeast"/>
          <w:jc w:val="center"/>
        </w:trPr>
        <w:tc>
          <w:tcPr>
            <w:tcW w:w="754" w:type="pct"/>
            <w:tcBorders>
              <w:top w:val="single" w:color="000000" w:sz="4" w:space="0"/>
              <w:left w:val="nil"/>
              <w:bottom w:val="single" w:color="000000" w:sz="12" w:space="0"/>
              <w:right w:val="single" w:color="000000" w:sz="4" w:space="0"/>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土壤</w:t>
            </w:r>
          </w:p>
        </w:tc>
        <w:tc>
          <w:tcPr>
            <w:tcW w:w="1143" w:type="pct"/>
            <w:tcBorders>
              <w:top w:val="single" w:color="000000" w:sz="4" w:space="0"/>
              <w:left w:val="single" w:color="000000" w:sz="4" w:space="0"/>
              <w:bottom w:val="single" w:color="000000" w:sz="12" w:space="0"/>
              <w:right w:val="single" w:color="000000" w:sz="4" w:space="0"/>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土壤环境质量现状调查</w:t>
            </w:r>
          </w:p>
        </w:tc>
        <w:tc>
          <w:tcPr>
            <w:tcW w:w="2151" w:type="pct"/>
            <w:tcBorders>
              <w:top w:val="single" w:color="000000" w:sz="4" w:space="0"/>
              <w:left w:val="single" w:color="000000" w:sz="4" w:space="0"/>
              <w:bottom w:val="single" w:color="000000" w:sz="12" w:space="0"/>
              <w:right w:val="single" w:color="000000" w:sz="4"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建设用地：《土壤环境质量 建设用地土壤污染风险管控标准（试行）》（GB 36600-2018）中45项基本项目、</w:t>
            </w:r>
            <w:r>
              <w:rPr>
                <w:rFonts w:ascii="Times New Roman" w:cs="Times New Roman"/>
                <w:bCs/>
                <w:sz w:val="21"/>
                <w:szCs w:val="21"/>
              </w:rPr>
              <w:t>石油烃</w:t>
            </w:r>
            <w:r>
              <w:rPr>
                <w:rFonts w:hint="eastAsia" w:ascii="Times New Roman" w:cs="Times New Roman"/>
                <w:sz w:val="21"/>
                <w:szCs w:val="21"/>
              </w:rPr>
              <w:t>；农用地：</w:t>
            </w:r>
            <w:r>
              <w:rPr>
                <w:rFonts w:ascii="Times New Roman" w:cs="Times New Roman"/>
                <w:sz w:val="21"/>
                <w:szCs w:val="21"/>
              </w:rPr>
              <w:t>pH、镉、汞、砷、铅、铜、镍、铬、锌</w:t>
            </w:r>
            <w:r>
              <w:rPr>
                <w:rFonts w:hint="eastAsia" w:ascii="Times New Roman" w:cs="Times New Roman"/>
                <w:sz w:val="21"/>
                <w:szCs w:val="21"/>
              </w:rPr>
              <w:t>；包气带</w:t>
            </w:r>
          </w:p>
        </w:tc>
        <w:tc>
          <w:tcPr>
            <w:tcW w:w="952" w:type="pct"/>
            <w:tcBorders>
              <w:top w:val="single" w:color="000000" w:sz="4" w:space="0"/>
              <w:left w:val="single" w:color="000000" w:sz="4" w:space="0"/>
              <w:bottom w:val="single" w:color="000000" w:sz="12" w:space="0"/>
              <w:right w:val="nil"/>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场站及</w:t>
            </w:r>
            <w:r>
              <w:rPr>
                <w:rFonts w:hint="eastAsia" w:ascii="Times New Roman" w:cs="Times New Roman"/>
                <w:kern w:val="2"/>
                <w:sz w:val="21"/>
                <w:szCs w:val="21"/>
              </w:rPr>
              <w:t>周围</w:t>
            </w:r>
          </w:p>
        </w:tc>
      </w:tr>
    </w:tbl>
    <w:p>
      <w:pPr>
        <w:keepNext/>
        <w:keepLines/>
        <w:spacing w:before="120"/>
        <w:ind w:firstLine="0" w:firstLineChars="0"/>
        <w:outlineLvl w:val="1"/>
        <w:rPr>
          <w:rFonts w:ascii="Times New Roman" w:cs="Times New Roman"/>
          <w:b/>
          <w:bCs/>
          <w:sz w:val="28"/>
          <w:szCs w:val="32"/>
        </w:rPr>
      </w:pPr>
      <w:bookmarkStart w:id="60" w:name="bookmark5"/>
      <w:bookmarkEnd w:id="60"/>
      <w:bookmarkStart w:id="61" w:name="_Toc19815942"/>
      <w:bookmarkStart w:id="62" w:name="_Toc81515253"/>
      <w:bookmarkStart w:id="63" w:name="_Toc19815935"/>
      <w:r>
        <w:rPr>
          <w:rFonts w:ascii="Times New Roman" w:cs="Times New Roman"/>
          <w:b/>
          <w:bCs/>
          <w:sz w:val="28"/>
          <w:szCs w:val="32"/>
        </w:rPr>
        <w:t>1.4 环境功能区划</w:t>
      </w:r>
      <w:bookmarkEnd w:id="61"/>
      <w:bookmarkEnd w:id="62"/>
    </w:p>
    <w:p>
      <w:pPr>
        <w:keepNext/>
        <w:keepLines/>
        <w:ind w:firstLine="0" w:firstLineChars="0"/>
        <w:outlineLvl w:val="2"/>
        <w:rPr>
          <w:rFonts w:ascii="Times New Roman" w:cs="Times New Roman"/>
          <w:b/>
          <w:szCs w:val="32"/>
        </w:rPr>
      </w:pPr>
      <w:r>
        <w:rPr>
          <w:rFonts w:ascii="Times New Roman" w:cs="Times New Roman"/>
          <w:b/>
          <w:szCs w:val="32"/>
        </w:rPr>
        <w:t>1.4.1 大气环境</w:t>
      </w:r>
    </w:p>
    <w:p>
      <w:pPr>
        <w:pStyle w:val="112"/>
        <w:ind w:firstLine="480"/>
      </w:pPr>
      <w:r>
        <w:t>工程场站及管道沿线位于农村地区，根据《环境空气质量标准》（GB3095-2012），评价区的大气环境功能区划属二类区，执行大气环境功能区二类区标准。</w:t>
      </w:r>
    </w:p>
    <w:p>
      <w:pPr>
        <w:keepNext/>
        <w:keepLines/>
        <w:ind w:firstLine="0" w:firstLineChars="0"/>
        <w:outlineLvl w:val="2"/>
        <w:rPr>
          <w:rFonts w:ascii="Times New Roman" w:cs="Times New Roman"/>
          <w:b/>
          <w:szCs w:val="32"/>
        </w:rPr>
      </w:pPr>
      <w:r>
        <w:rPr>
          <w:rFonts w:ascii="Times New Roman" w:cs="Times New Roman"/>
          <w:b/>
          <w:szCs w:val="32"/>
        </w:rPr>
        <w:t>1.4.2 地表水环境</w:t>
      </w:r>
    </w:p>
    <w:p>
      <w:pPr>
        <w:pStyle w:val="112"/>
        <w:ind w:firstLine="480"/>
      </w:pPr>
      <w:r>
        <w:t>本项目周边地表水为</w:t>
      </w:r>
      <w:r>
        <w:rPr>
          <w:rFonts w:hint="eastAsia"/>
        </w:rPr>
        <w:t>中</w:t>
      </w:r>
      <w:r>
        <w:t>河和后河</w:t>
      </w:r>
      <w:r>
        <w:rPr>
          <w:rFonts w:hint="eastAsia"/>
        </w:rPr>
        <w:t>，</w:t>
      </w:r>
      <w:r>
        <w:t>执行《地表水环境质量标准》（GB3838-2002）Ⅲ类水域。</w:t>
      </w:r>
    </w:p>
    <w:p>
      <w:pPr>
        <w:keepNext/>
        <w:keepLines/>
        <w:ind w:firstLine="0" w:firstLineChars="0"/>
        <w:outlineLvl w:val="2"/>
        <w:rPr>
          <w:rFonts w:ascii="Times New Roman" w:cs="Times New Roman"/>
          <w:b/>
          <w:szCs w:val="32"/>
        </w:rPr>
      </w:pPr>
      <w:r>
        <w:rPr>
          <w:rFonts w:ascii="Times New Roman" w:cs="Times New Roman"/>
          <w:b/>
          <w:szCs w:val="32"/>
        </w:rPr>
        <w:t>1.4.3 地下水环境</w:t>
      </w:r>
    </w:p>
    <w:p>
      <w:pPr>
        <w:topLinePunct w:val="0"/>
        <w:adjustRightInd/>
        <w:ind w:firstLine="480"/>
        <w:rPr>
          <w:rFonts w:ascii="Times New Roman" w:cs="Times New Roman"/>
          <w:kern w:val="2"/>
          <w:szCs w:val="22"/>
        </w:rPr>
      </w:pPr>
      <w:r>
        <w:rPr>
          <w:rFonts w:ascii="Times New Roman" w:cs="Times New Roman"/>
          <w:kern w:val="2"/>
          <w:szCs w:val="22"/>
        </w:rPr>
        <w:t>项目场站及管道沿线地下水环境保护目标主要为周边农户水井</w:t>
      </w:r>
      <w:r>
        <w:rPr>
          <w:rFonts w:hint="eastAsia" w:ascii="Times New Roman" w:cs="Times New Roman"/>
          <w:kern w:val="2"/>
          <w:szCs w:val="22"/>
        </w:rPr>
        <w:t>，</w:t>
      </w:r>
      <w:r>
        <w:rPr>
          <w:rFonts w:ascii="Times New Roman" w:cs="Times New Roman"/>
          <w:kern w:val="2"/>
          <w:szCs w:val="22"/>
        </w:rPr>
        <w:t>执行《地下水质量标准》（GB/T14848-2017）III类标准，项目沿线区域地下水均属于III类地下水功能区。</w:t>
      </w:r>
    </w:p>
    <w:p>
      <w:pPr>
        <w:keepNext/>
        <w:keepLines/>
        <w:ind w:firstLine="0" w:firstLineChars="0"/>
        <w:outlineLvl w:val="2"/>
        <w:rPr>
          <w:rFonts w:ascii="Times New Roman" w:cs="Times New Roman"/>
          <w:b/>
          <w:szCs w:val="32"/>
        </w:rPr>
      </w:pPr>
      <w:r>
        <w:rPr>
          <w:rFonts w:ascii="Times New Roman" w:cs="Times New Roman"/>
          <w:b/>
          <w:szCs w:val="32"/>
        </w:rPr>
        <w:t>1.4.4 声环境</w:t>
      </w:r>
    </w:p>
    <w:p>
      <w:pPr>
        <w:pStyle w:val="112"/>
        <w:ind w:firstLine="480"/>
      </w:pPr>
      <w:r>
        <w:t>工程建设区域内主要为散居农户，属一般居住环境，根据《声环境质量标准》（GB3096-2008），功能区划属2类区域。</w:t>
      </w:r>
    </w:p>
    <w:p>
      <w:pPr>
        <w:keepNext/>
        <w:keepLines/>
        <w:ind w:firstLine="0" w:firstLineChars="0"/>
        <w:outlineLvl w:val="2"/>
        <w:rPr>
          <w:rFonts w:ascii="Times New Roman" w:cs="Times New Roman"/>
          <w:b/>
          <w:szCs w:val="32"/>
        </w:rPr>
      </w:pPr>
      <w:r>
        <w:rPr>
          <w:rFonts w:ascii="Times New Roman" w:cs="Times New Roman"/>
          <w:b/>
          <w:szCs w:val="32"/>
        </w:rPr>
        <w:t>1.4.5 土壤环境</w:t>
      </w:r>
    </w:p>
    <w:p>
      <w:pPr>
        <w:pStyle w:val="112"/>
        <w:ind w:firstLine="480"/>
      </w:pPr>
      <w:r>
        <w:t>项目站场内土壤执行</w:t>
      </w:r>
      <w:r>
        <w:rPr>
          <w:rFonts w:hint="eastAsia"/>
        </w:rPr>
        <w:t>《土壤环境质量 建设用地土壤污染风险管控标准（试行）》（GB 36600-2018）中第二类用地风险筛选值；项目站场</w:t>
      </w:r>
      <w:r>
        <w:t>周边</w:t>
      </w:r>
      <w:r>
        <w:rPr>
          <w:rFonts w:hint="eastAsia"/>
        </w:rPr>
        <w:t>耕地以及管线等临时用地经复垦后</w:t>
      </w:r>
      <w:r>
        <w:t>执行《土壤环境质量</w:t>
      </w:r>
      <w:r>
        <w:rPr>
          <w:rFonts w:hint="eastAsia"/>
        </w:rPr>
        <w:t xml:space="preserve"> </w:t>
      </w:r>
      <w:r>
        <w:t>农用地土壤污染风险管控标准（试行）》（GB15618-2018）表1中其他标准限值。</w:t>
      </w:r>
    </w:p>
    <w:p>
      <w:pPr>
        <w:keepNext/>
        <w:keepLines/>
        <w:ind w:firstLine="0" w:firstLineChars="0"/>
        <w:outlineLvl w:val="2"/>
        <w:rPr>
          <w:rFonts w:ascii="Times New Roman" w:cs="Times New Roman"/>
          <w:b/>
          <w:szCs w:val="32"/>
        </w:rPr>
      </w:pPr>
      <w:r>
        <w:rPr>
          <w:rFonts w:ascii="Times New Roman" w:cs="Times New Roman"/>
          <w:b/>
          <w:szCs w:val="32"/>
        </w:rPr>
        <w:t>1.4.6 生态环境</w:t>
      </w:r>
    </w:p>
    <w:p>
      <w:pPr>
        <w:pStyle w:val="112"/>
        <w:ind w:firstLine="480"/>
        <w:rPr>
          <w:kern w:val="2"/>
          <w:szCs w:val="22"/>
        </w:rPr>
      </w:pPr>
      <w:r>
        <w:t>根据《四川省生态功能区划》，</w:t>
      </w:r>
      <w:r>
        <w:rPr>
          <w:kern w:val="2"/>
          <w:szCs w:val="22"/>
        </w:rPr>
        <w:t>本项目位于四川盆地亚热带湿润气候生态区，属于大巴山水源涵养与土壤保持生态功能区（I-3-2），该生态功能区的主导功能是水源涵养功能，土壤保持功能。面临的主要环境问题是多洪灾，滑坡崩塌强烈发育，水土流失严重。</w:t>
      </w:r>
      <w:r>
        <w:t>项目区不属于特殊生态敏感区和重要生态敏感区，为一般区域。</w:t>
      </w:r>
    </w:p>
    <w:p>
      <w:pPr>
        <w:keepNext/>
        <w:keepLines/>
        <w:spacing w:before="120"/>
        <w:ind w:firstLine="0" w:firstLineChars="0"/>
        <w:outlineLvl w:val="1"/>
        <w:rPr>
          <w:rFonts w:ascii="Times New Roman" w:cs="Times New Roman"/>
          <w:b/>
          <w:bCs/>
          <w:sz w:val="28"/>
          <w:szCs w:val="32"/>
        </w:rPr>
      </w:pPr>
      <w:bookmarkStart w:id="64" w:name="_Toc19815943"/>
      <w:bookmarkStart w:id="65" w:name="_Toc81515254"/>
      <w:r>
        <w:rPr>
          <w:rFonts w:ascii="Times New Roman" w:cs="Times New Roman"/>
          <w:b/>
          <w:bCs/>
          <w:sz w:val="28"/>
          <w:szCs w:val="32"/>
        </w:rPr>
        <w:t>1.5 评价标准</w:t>
      </w:r>
      <w:bookmarkEnd w:id="64"/>
      <w:bookmarkEnd w:id="65"/>
    </w:p>
    <w:p>
      <w:pPr>
        <w:keepNext/>
        <w:keepLines/>
        <w:ind w:firstLine="0" w:firstLineChars="0"/>
        <w:outlineLvl w:val="2"/>
        <w:rPr>
          <w:rFonts w:ascii="Times New Roman" w:cs="Times New Roman"/>
          <w:b/>
          <w:szCs w:val="32"/>
        </w:rPr>
      </w:pPr>
      <w:r>
        <w:rPr>
          <w:rFonts w:ascii="Times New Roman" w:cs="Times New Roman"/>
          <w:b/>
          <w:szCs w:val="32"/>
        </w:rPr>
        <w:t>1.5.1 环境质量标准</w:t>
      </w:r>
    </w:p>
    <w:p>
      <w:pPr>
        <w:pStyle w:val="112"/>
        <w:ind w:firstLine="482"/>
        <w:rPr>
          <w:b/>
          <w:bCs/>
        </w:rPr>
      </w:pPr>
      <w:r>
        <w:rPr>
          <w:b/>
          <w:bCs/>
        </w:rPr>
        <w:t>1、环境空气质量标准</w:t>
      </w:r>
    </w:p>
    <w:p>
      <w:pPr>
        <w:pStyle w:val="112"/>
        <w:ind w:firstLine="480"/>
        <w:rPr>
          <w:kern w:val="2"/>
          <w:szCs w:val="22"/>
        </w:rPr>
      </w:pPr>
      <w:r>
        <w:rPr>
          <w:kern w:val="2"/>
          <w:szCs w:val="22"/>
        </w:rPr>
        <w:t>评价区域环境空气执行《环境空气质量标准》（GB3095-2012）二级标准；硫化氢执行《环境影响评价技术导则</w:t>
      </w:r>
      <w:r>
        <w:rPr>
          <w:rFonts w:hint="eastAsia"/>
          <w:kern w:val="2"/>
          <w:szCs w:val="22"/>
        </w:rPr>
        <w:t xml:space="preserve"> </w:t>
      </w:r>
      <w:r>
        <w:rPr>
          <w:kern w:val="2"/>
          <w:szCs w:val="22"/>
        </w:rPr>
        <w:t>大气环境》（HJ2.2-2018）中附录D相关限值</w:t>
      </w:r>
      <w:r>
        <w:rPr>
          <w:rFonts w:hint="eastAsia"/>
          <w:kern w:val="2"/>
          <w:szCs w:val="22"/>
        </w:rPr>
        <w:t>，非甲烷总烃执行</w:t>
      </w:r>
      <w:r>
        <w:rPr>
          <w:rFonts w:hint="eastAsia"/>
        </w:rPr>
        <w:t>《大气污染物综合排放标准详解》</w:t>
      </w:r>
      <w:r>
        <w:rPr>
          <w:kern w:val="2"/>
          <w:szCs w:val="22"/>
        </w:rPr>
        <w:t>。具体标准限值见表1.5-1。</w:t>
      </w:r>
    </w:p>
    <w:p>
      <w:pPr>
        <w:pStyle w:val="132"/>
        <w:spacing w:line="360" w:lineRule="auto"/>
        <w:ind w:firstLine="480"/>
      </w:pPr>
      <w:bookmarkStart w:id="66" w:name="_Hlk52913361"/>
      <w:r>
        <w:rPr>
          <w:b/>
        </w:rPr>
        <w:t>表1.5-1</w:t>
      </w:r>
      <w:r>
        <w:t xml:space="preserve">  </w:t>
      </w:r>
      <w:r>
        <w:rPr>
          <w:b/>
        </w:rPr>
        <w:t>环境空气质量标准（GB3095-2012）</w:t>
      </w:r>
      <w:r>
        <w:t xml:space="preserve">  </w:t>
      </w:r>
      <w:r>
        <w:rPr>
          <w:b/>
        </w:rPr>
        <w:t>单位：µg/m</w:t>
      </w:r>
      <w:r>
        <w:rPr>
          <w:b/>
          <w:vertAlign w:val="superscript"/>
        </w:rPr>
        <w:t>3</w:t>
      </w:r>
    </w:p>
    <w:tbl>
      <w:tblPr>
        <w:tblStyle w:val="57"/>
        <w:tblW w:w="51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1811"/>
        <w:gridCol w:w="1811"/>
        <w:gridCol w:w="37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tblHeader/>
          <w:jc w:val="center"/>
        </w:trPr>
        <w:tc>
          <w:tcPr>
            <w:tcW w:w="1522" w:type="dxa"/>
            <w:vMerge w:val="restart"/>
            <w:vAlign w:val="center"/>
          </w:tcPr>
          <w:p>
            <w:pPr>
              <w:pStyle w:val="132"/>
              <w:rPr>
                <w:b/>
              </w:rPr>
            </w:pPr>
            <w:r>
              <w:rPr>
                <w:b/>
              </w:rPr>
              <w:t>污染物</w:t>
            </w:r>
          </w:p>
        </w:tc>
        <w:tc>
          <w:tcPr>
            <w:tcW w:w="3622" w:type="dxa"/>
            <w:gridSpan w:val="2"/>
            <w:vAlign w:val="center"/>
          </w:tcPr>
          <w:p>
            <w:pPr>
              <w:pStyle w:val="132"/>
              <w:rPr>
                <w:b/>
              </w:rPr>
            </w:pPr>
            <w:r>
              <w:rPr>
                <w:b/>
              </w:rPr>
              <w:t>浓度限值</w:t>
            </w:r>
          </w:p>
        </w:tc>
        <w:tc>
          <w:tcPr>
            <w:tcW w:w="3709" w:type="dxa"/>
            <w:vMerge w:val="restart"/>
            <w:vAlign w:val="center"/>
          </w:tcPr>
          <w:p>
            <w:pPr>
              <w:pStyle w:val="132"/>
              <w:rPr>
                <w:b/>
              </w:rPr>
            </w:pPr>
            <w:r>
              <w:rPr>
                <w:b/>
              </w:rPr>
              <w:t>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 w:hRule="atLeast"/>
          <w:tblHeader/>
          <w:jc w:val="center"/>
        </w:trPr>
        <w:tc>
          <w:tcPr>
            <w:tcW w:w="1522" w:type="dxa"/>
            <w:vMerge w:val="continue"/>
            <w:vAlign w:val="center"/>
          </w:tcPr>
          <w:p>
            <w:pPr>
              <w:pStyle w:val="132"/>
              <w:rPr>
                <w:b/>
              </w:rPr>
            </w:pPr>
          </w:p>
        </w:tc>
        <w:tc>
          <w:tcPr>
            <w:tcW w:w="1811" w:type="dxa"/>
            <w:vAlign w:val="center"/>
          </w:tcPr>
          <w:p>
            <w:pPr>
              <w:pStyle w:val="132"/>
              <w:rPr>
                <w:b/>
              </w:rPr>
            </w:pPr>
            <w:r>
              <w:rPr>
                <w:b/>
              </w:rPr>
              <w:t>取值时间</w:t>
            </w:r>
          </w:p>
        </w:tc>
        <w:tc>
          <w:tcPr>
            <w:tcW w:w="1811" w:type="dxa"/>
            <w:vAlign w:val="center"/>
          </w:tcPr>
          <w:p>
            <w:pPr>
              <w:pStyle w:val="132"/>
              <w:rPr>
                <w:b/>
              </w:rPr>
            </w:pPr>
            <w:r>
              <w:rPr>
                <w:b/>
              </w:rPr>
              <w:t>标准限值</w:t>
            </w:r>
          </w:p>
        </w:tc>
        <w:tc>
          <w:tcPr>
            <w:tcW w:w="3709" w:type="dxa"/>
            <w:vMerge w:val="continue"/>
            <w:vAlign w:val="center"/>
          </w:tcPr>
          <w:p>
            <w:pPr>
              <w:pStyle w:val="132"/>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restart"/>
            <w:vAlign w:val="center"/>
          </w:tcPr>
          <w:p>
            <w:pPr>
              <w:pStyle w:val="132"/>
            </w:pPr>
            <w:r>
              <w:t>PM</w:t>
            </w:r>
            <w:r>
              <w:rPr>
                <w:vertAlign w:val="subscript"/>
              </w:rPr>
              <w:t>10</w:t>
            </w:r>
          </w:p>
        </w:tc>
        <w:tc>
          <w:tcPr>
            <w:tcW w:w="1811" w:type="dxa"/>
            <w:vAlign w:val="center"/>
          </w:tcPr>
          <w:p>
            <w:pPr>
              <w:pStyle w:val="132"/>
            </w:pPr>
            <w:r>
              <w:t>年平均</w:t>
            </w:r>
          </w:p>
        </w:tc>
        <w:tc>
          <w:tcPr>
            <w:tcW w:w="1811" w:type="dxa"/>
            <w:vAlign w:val="center"/>
          </w:tcPr>
          <w:p>
            <w:pPr>
              <w:pStyle w:val="132"/>
            </w:pPr>
            <w:r>
              <w:t>70μg/m</w:t>
            </w:r>
            <w:r>
              <w:rPr>
                <w:vertAlign w:val="superscript"/>
              </w:rPr>
              <w:t>3</w:t>
            </w:r>
          </w:p>
        </w:tc>
        <w:tc>
          <w:tcPr>
            <w:tcW w:w="3709" w:type="dxa"/>
            <w:vMerge w:val="restart"/>
            <w:vAlign w:val="center"/>
          </w:tcPr>
          <w:p>
            <w:pPr>
              <w:pStyle w:val="132"/>
            </w:pPr>
            <w: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continue"/>
            <w:vAlign w:val="center"/>
          </w:tcPr>
          <w:p>
            <w:pPr>
              <w:pStyle w:val="132"/>
              <w:rPr>
                <w:vertAlign w:val="subscript"/>
              </w:rPr>
            </w:pPr>
          </w:p>
        </w:tc>
        <w:tc>
          <w:tcPr>
            <w:tcW w:w="1811" w:type="dxa"/>
            <w:vAlign w:val="center"/>
          </w:tcPr>
          <w:p>
            <w:pPr>
              <w:pStyle w:val="132"/>
            </w:pPr>
            <w:r>
              <w:t>24小时平均</w:t>
            </w:r>
          </w:p>
        </w:tc>
        <w:tc>
          <w:tcPr>
            <w:tcW w:w="1811" w:type="dxa"/>
            <w:vAlign w:val="center"/>
          </w:tcPr>
          <w:p>
            <w:pPr>
              <w:pStyle w:val="132"/>
            </w:pPr>
            <w:r>
              <w:t>150μg/m</w:t>
            </w:r>
            <w:r>
              <w:rPr>
                <w:vertAlign w:val="superscript"/>
              </w:rPr>
              <w:t>3</w:t>
            </w:r>
          </w:p>
        </w:tc>
        <w:tc>
          <w:tcPr>
            <w:tcW w:w="3709" w:type="dxa"/>
            <w:vMerge w:val="continue"/>
            <w:vAlign w:val="center"/>
          </w:tcPr>
          <w:p>
            <w:pPr>
              <w:pStyle w:val="132"/>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restart"/>
            <w:vAlign w:val="center"/>
          </w:tcPr>
          <w:p>
            <w:pPr>
              <w:pStyle w:val="132"/>
            </w:pPr>
            <w:r>
              <w:t>PM</w:t>
            </w:r>
            <w:r>
              <w:rPr>
                <w:vertAlign w:val="subscript"/>
              </w:rPr>
              <w:t>2.5</w:t>
            </w:r>
          </w:p>
        </w:tc>
        <w:tc>
          <w:tcPr>
            <w:tcW w:w="1811" w:type="dxa"/>
            <w:vAlign w:val="center"/>
          </w:tcPr>
          <w:p>
            <w:pPr>
              <w:pStyle w:val="132"/>
            </w:pPr>
            <w:r>
              <w:t>年平均</w:t>
            </w:r>
          </w:p>
        </w:tc>
        <w:tc>
          <w:tcPr>
            <w:tcW w:w="1811" w:type="dxa"/>
            <w:vAlign w:val="center"/>
          </w:tcPr>
          <w:p>
            <w:pPr>
              <w:pStyle w:val="132"/>
            </w:pPr>
            <w:r>
              <w:t>35μg/m</w:t>
            </w:r>
            <w:r>
              <w:rPr>
                <w:vertAlign w:val="superscript"/>
              </w:rPr>
              <w:t>3</w:t>
            </w:r>
          </w:p>
        </w:tc>
        <w:tc>
          <w:tcPr>
            <w:tcW w:w="3709" w:type="dxa"/>
            <w:vMerge w:val="continue"/>
            <w:vAlign w:val="center"/>
          </w:tcPr>
          <w:p>
            <w:pPr>
              <w:pStyle w:val="132"/>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continue"/>
            <w:vAlign w:val="center"/>
          </w:tcPr>
          <w:p>
            <w:pPr>
              <w:pStyle w:val="132"/>
              <w:rPr>
                <w:vertAlign w:val="subscript"/>
              </w:rPr>
            </w:pPr>
          </w:p>
        </w:tc>
        <w:tc>
          <w:tcPr>
            <w:tcW w:w="1811" w:type="dxa"/>
            <w:vAlign w:val="center"/>
          </w:tcPr>
          <w:p>
            <w:pPr>
              <w:pStyle w:val="132"/>
            </w:pPr>
            <w:r>
              <w:t>24小时平均</w:t>
            </w:r>
          </w:p>
        </w:tc>
        <w:tc>
          <w:tcPr>
            <w:tcW w:w="1811" w:type="dxa"/>
            <w:vAlign w:val="center"/>
          </w:tcPr>
          <w:p>
            <w:pPr>
              <w:pStyle w:val="132"/>
            </w:pPr>
            <w:r>
              <w:t>75μg/m</w:t>
            </w:r>
            <w:r>
              <w:rPr>
                <w:vertAlign w:val="superscript"/>
              </w:rPr>
              <w:t>3</w:t>
            </w:r>
          </w:p>
        </w:tc>
        <w:tc>
          <w:tcPr>
            <w:tcW w:w="3709" w:type="dxa"/>
            <w:vMerge w:val="continue"/>
            <w:vAlign w:val="center"/>
          </w:tcPr>
          <w:p>
            <w:pPr>
              <w:pStyle w:val="132"/>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restart"/>
            <w:vAlign w:val="center"/>
          </w:tcPr>
          <w:p>
            <w:pPr>
              <w:pStyle w:val="132"/>
              <w:rPr>
                <w:vertAlign w:val="subscript"/>
              </w:rPr>
            </w:pPr>
            <w:r>
              <w:t>SO</w:t>
            </w:r>
            <w:r>
              <w:rPr>
                <w:vertAlign w:val="subscript"/>
              </w:rPr>
              <w:t>2</w:t>
            </w:r>
          </w:p>
        </w:tc>
        <w:tc>
          <w:tcPr>
            <w:tcW w:w="1811" w:type="dxa"/>
            <w:vAlign w:val="center"/>
          </w:tcPr>
          <w:p>
            <w:pPr>
              <w:pStyle w:val="132"/>
            </w:pPr>
            <w:r>
              <w:t>年平均</w:t>
            </w:r>
          </w:p>
        </w:tc>
        <w:tc>
          <w:tcPr>
            <w:tcW w:w="1811" w:type="dxa"/>
            <w:vAlign w:val="center"/>
          </w:tcPr>
          <w:p>
            <w:pPr>
              <w:pStyle w:val="132"/>
            </w:pPr>
            <w:r>
              <w:t>60μg/m</w:t>
            </w:r>
            <w:r>
              <w:rPr>
                <w:vertAlign w:val="superscript"/>
              </w:rPr>
              <w:t>3</w:t>
            </w:r>
          </w:p>
        </w:tc>
        <w:tc>
          <w:tcPr>
            <w:tcW w:w="3709" w:type="dxa"/>
            <w:vMerge w:val="continue"/>
            <w:vAlign w:val="center"/>
          </w:tcPr>
          <w:p>
            <w:pPr>
              <w:pStyle w:val="132"/>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522" w:type="dxa"/>
            <w:vMerge w:val="continue"/>
            <w:vAlign w:val="center"/>
          </w:tcPr>
          <w:p>
            <w:pPr>
              <w:pStyle w:val="132"/>
            </w:pPr>
          </w:p>
        </w:tc>
        <w:tc>
          <w:tcPr>
            <w:tcW w:w="1811" w:type="dxa"/>
            <w:vAlign w:val="center"/>
          </w:tcPr>
          <w:p>
            <w:pPr>
              <w:pStyle w:val="132"/>
            </w:pPr>
            <w:r>
              <w:t>24小时平均</w:t>
            </w:r>
          </w:p>
        </w:tc>
        <w:tc>
          <w:tcPr>
            <w:tcW w:w="1811" w:type="dxa"/>
            <w:vAlign w:val="center"/>
          </w:tcPr>
          <w:p>
            <w:pPr>
              <w:pStyle w:val="132"/>
            </w:pPr>
            <w:r>
              <w:t>150μg/m</w:t>
            </w:r>
            <w:r>
              <w:rPr>
                <w:vertAlign w:val="superscript"/>
              </w:rPr>
              <w:t>3</w:t>
            </w:r>
          </w:p>
        </w:tc>
        <w:tc>
          <w:tcPr>
            <w:tcW w:w="3709" w:type="dxa"/>
            <w:vMerge w:val="continue"/>
            <w:vAlign w:val="center"/>
          </w:tcPr>
          <w:p>
            <w:pPr>
              <w:pStyle w:val="132"/>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522" w:type="dxa"/>
            <w:vMerge w:val="continue"/>
            <w:vAlign w:val="center"/>
          </w:tcPr>
          <w:p>
            <w:pPr>
              <w:pStyle w:val="132"/>
            </w:pPr>
          </w:p>
        </w:tc>
        <w:tc>
          <w:tcPr>
            <w:tcW w:w="1811" w:type="dxa"/>
            <w:vAlign w:val="center"/>
          </w:tcPr>
          <w:p>
            <w:pPr>
              <w:pStyle w:val="132"/>
            </w:pPr>
            <w:r>
              <w:t>1小时平均</w:t>
            </w:r>
          </w:p>
        </w:tc>
        <w:tc>
          <w:tcPr>
            <w:tcW w:w="1811" w:type="dxa"/>
            <w:vAlign w:val="center"/>
          </w:tcPr>
          <w:p>
            <w:pPr>
              <w:pStyle w:val="132"/>
            </w:pPr>
            <w:r>
              <w:t>500μg/m</w:t>
            </w:r>
            <w:r>
              <w:rPr>
                <w:vertAlign w:val="superscript"/>
              </w:rPr>
              <w:t>3</w:t>
            </w:r>
          </w:p>
        </w:tc>
        <w:tc>
          <w:tcPr>
            <w:tcW w:w="3709" w:type="dxa"/>
            <w:vMerge w:val="continue"/>
            <w:vAlign w:val="center"/>
          </w:tcPr>
          <w:p>
            <w:pPr>
              <w:pStyle w:val="132"/>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restart"/>
            <w:vAlign w:val="center"/>
          </w:tcPr>
          <w:p>
            <w:pPr>
              <w:pStyle w:val="132"/>
            </w:pPr>
            <w:r>
              <w:t>NO</w:t>
            </w:r>
            <w:r>
              <w:rPr>
                <w:vertAlign w:val="subscript"/>
              </w:rPr>
              <w:t>2</w:t>
            </w:r>
          </w:p>
        </w:tc>
        <w:tc>
          <w:tcPr>
            <w:tcW w:w="1811" w:type="dxa"/>
            <w:vAlign w:val="center"/>
          </w:tcPr>
          <w:p>
            <w:pPr>
              <w:pStyle w:val="132"/>
            </w:pPr>
            <w:r>
              <w:t>年平均</w:t>
            </w:r>
          </w:p>
        </w:tc>
        <w:tc>
          <w:tcPr>
            <w:tcW w:w="1811" w:type="dxa"/>
            <w:vAlign w:val="center"/>
          </w:tcPr>
          <w:p>
            <w:pPr>
              <w:pStyle w:val="132"/>
            </w:pPr>
            <w:r>
              <w:t>40μg/m</w:t>
            </w:r>
            <w:r>
              <w:rPr>
                <w:vertAlign w:val="superscript"/>
              </w:rPr>
              <w:t>3</w:t>
            </w:r>
          </w:p>
        </w:tc>
        <w:tc>
          <w:tcPr>
            <w:tcW w:w="3709" w:type="dxa"/>
            <w:vMerge w:val="continue"/>
            <w:vAlign w:val="center"/>
          </w:tcPr>
          <w:p>
            <w:pPr>
              <w:pStyle w:val="132"/>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continue"/>
            <w:vAlign w:val="center"/>
          </w:tcPr>
          <w:p>
            <w:pPr>
              <w:pStyle w:val="132"/>
            </w:pPr>
          </w:p>
        </w:tc>
        <w:tc>
          <w:tcPr>
            <w:tcW w:w="1811" w:type="dxa"/>
            <w:vAlign w:val="center"/>
          </w:tcPr>
          <w:p>
            <w:pPr>
              <w:pStyle w:val="132"/>
            </w:pPr>
            <w:r>
              <w:t>24小时平均</w:t>
            </w:r>
          </w:p>
        </w:tc>
        <w:tc>
          <w:tcPr>
            <w:tcW w:w="1811" w:type="dxa"/>
            <w:vAlign w:val="center"/>
          </w:tcPr>
          <w:p>
            <w:pPr>
              <w:pStyle w:val="132"/>
            </w:pPr>
            <w:r>
              <w:t>80μg/m</w:t>
            </w:r>
            <w:r>
              <w:rPr>
                <w:vertAlign w:val="superscript"/>
              </w:rPr>
              <w:t>3</w:t>
            </w:r>
          </w:p>
        </w:tc>
        <w:tc>
          <w:tcPr>
            <w:tcW w:w="3709" w:type="dxa"/>
            <w:vMerge w:val="continue"/>
            <w:vAlign w:val="center"/>
          </w:tcPr>
          <w:p>
            <w:pPr>
              <w:pStyle w:val="132"/>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continue"/>
            <w:vAlign w:val="center"/>
          </w:tcPr>
          <w:p>
            <w:pPr>
              <w:pStyle w:val="132"/>
            </w:pPr>
          </w:p>
        </w:tc>
        <w:tc>
          <w:tcPr>
            <w:tcW w:w="1811" w:type="dxa"/>
            <w:vAlign w:val="center"/>
          </w:tcPr>
          <w:p>
            <w:pPr>
              <w:pStyle w:val="132"/>
            </w:pPr>
            <w:r>
              <w:t>1小时平均</w:t>
            </w:r>
          </w:p>
        </w:tc>
        <w:tc>
          <w:tcPr>
            <w:tcW w:w="1811" w:type="dxa"/>
            <w:vAlign w:val="center"/>
          </w:tcPr>
          <w:p>
            <w:pPr>
              <w:pStyle w:val="132"/>
            </w:pPr>
            <w:r>
              <w:t>200μg/m</w:t>
            </w:r>
            <w:r>
              <w:rPr>
                <w:vertAlign w:val="superscript"/>
              </w:rPr>
              <w:t>3</w:t>
            </w:r>
          </w:p>
        </w:tc>
        <w:tc>
          <w:tcPr>
            <w:tcW w:w="3709" w:type="dxa"/>
            <w:vMerge w:val="continue"/>
            <w:vAlign w:val="center"/>
          </w:tcPr>
          <w:p>
            <w:pPr>
              <w:pStyle w:val="132"/>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restart"/>
            <w:vAlign w:val="center"/>
          </w:tcPr>
          <w:p>
            <w:pPr>
              <w:pStyle w:val="132"/>
            </w:pPr>
            <w:r>
              <w:t>TSP</w:t>
            </w:r>
          </w:p>
        </w:tc>
        <w:tc>
          <w:tcPr>
            <w:tcW w:w="1811" w:type="dxa"/>
            <w:vAlign w:val="center"/>
          </w:tcPr>
          <w:p>
            <w:pPr>
              <w:pStyle w:val="132"/>
            </w:pPr>
            <w:r>
              <w:t>年平均</w:t>
            </w:r>
          </w:p>
        </w:tc>
        <w:tc>
          <w:tcPr>
            <w:tcW w:w="1811" w:type="dxa"/>
            <w:vAlign w:val="center"/>
          </w:tcPr>
          <w:p>
            <w:pPr>
              <w:pStyle w:val="132"/>
            </w:pPr>
            <w:r>
              <w:t>200μg/m</w:t>
            </w:r>
            <w:r>
              <w:rPr>
                <w:vertAlign w:val="superscript"/>
              </w:rPr>
              <w:t>3</w:t>
            </w:r>
          </w:p>
        </w:tc>
        <w:tc>
          <w:tcPr>
            <w:tcW w:w="3709" w:type="dxa"/>
            <w:vMerge w:val="continue"/>
            <w:vAlign w:val="center"/>
          </w:tcPr>
          <w:p>
            <w:pPr>
              <w:pStyle w:val="132"/>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continue"/>
            <w:vAlign w:val="center"/>
          </w:tcPr>
          <w:p>
            <w:pPr>
              <w:pStyle w:val="132"/>
            </w:pPr>
          </w:p>
        </w:tc>
        <w:tc>
          <w:tcPr>
            <w:tcW w:w="1811" w:type="dxa"/>
            <w:vAlign w:val="center"/>
          </w:tcPr>
          <w:p>
            <w:pPr>
              <w:pStyle w:val="132"/>
            </w:pPr>
            <w:r>
              <w:t>24小时平均</w:t>
            </w:r>
          </w:p>
        </w:tc>
        <w:tc>
          <w:tcPr>
            <w:tcW w:w="1811" w:type="dxa"/>
            <w:vAlign w:val="center"/>
          </w:tcPr>
          <w:p>
            <w:pPr>
              <w:pStyle w:val="132"/>
            </w:pPr>
            <w:r>
              <w:t>300μg/m</w:t>
            </w:r>
            <w:r>
              <w:rPr>
                <w:vertAlign w:val="superscript"/>
              </w:rPr>
              <w:t>3</w:t>
            </w:r>
          </w:p>
        </w:tc>
        <w:tc>
          <w:tcPr>
            <w:tcW w:w="3709" w:type="dxa"/>
            <w:vMerge w:val="continue"/>
            <w:vAlign w:val="center"/>
          </w:tcPr>
          <w:p>
            <w:pPr>
              <w:pStyle w:val="132"/>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restart"/>
            <w:vAlign w:val="center"/>
          </w:tcPr>
          <w:p>
            <w:pPr>
              <w:pStyle w:val="132"/>
            </w:pPr>
            <w:r>
              <w:t>CO</w:t>
            </w:r>
          </w:p>
        </w:tc>
        <w:tc>
          <w:tcPr>
            <w:tcW w:w="1811" w:type="dxa"/>
            <w:vAlign w:val="center"/>
          </w:tcPr>
          <w:p>
            <w:pPr>
              <w:pStyle w:val="132"/>
            </w:pPr>
            <w:r>
              <w:t>24小时平均</w:t>
            </w:r>
          </w:p>
        </w:tc>
        <w:tc>
          <w:tcPr>
            <w:tcW w:w="1811" w:type="dxa"/>
            <w:vAlign w:val="center"/>
          </w:tcPr>
          <w:p>
            <w:pPr>
              <w:pStyle w:val="132"/>
            </w:pPr>
            <w:r>
              <w:t>4mg/m</w:t>
            </w:r>
            <w:r>
              <w:rPr>
                <w:vertAlign w:val="superscript"/>
              </w:rPr>
              <w:t>3</w:t>
            </w:r>
          </w:p>
        </w:tc>
        <w:tc>
          <w:tcPr>
            <w:tcW w:w="3709" w:type="dxa"/>
            <w:vMerge w:val="continue"/>
            <w:vAlign w:val="center"/>
          </w:tcPr>
          <w:p>
            <w:pPr>
              <w:pStyle w:val="132"/>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continue"/>
            <w:vAlign w:val="center"/>
          </w:tcPr>
          <w:p>
            <w:pPr>
              <w:pStyle w:val="132"/>
            </w:pPr>
          </w:p>
        </w:tc>
        <w:tc>
          <w:tcPr>
            <w:tcW w:w="1811" w:type="dxa"/>
            <w:vAlign w:val="center"/>
          </w:tcPr>
          <w:p>
            <w:pPr>
              <w:pStyle w:val="132"/>
            </w:pPr>
            <w:r>
              <w:t>1小时平均</w:t>
            </w:r>
          </w:p>
        </w:tc>
        <w:tc>
          <w:tcPr>
            <w:tcW w:w="1811" w:type="dxa"/>
            <w:vAlign w:val="center"/>
          </w:tcPr>
          <w:p>
            <w:pPr>
              <w:pStyle w:val="132"/>
            </w:pPr>
            <w:r>
              <w:t>10mg/m</w:t>
            </w:r>
            <w:r>
              <w:rPr>
                <w:vertAlign w:val="superscript"/>
              </w:rPr>
              <w:t>3</w:t>
            </w:r>
          </w:p>
        </w:tc>
        <w:tc>
          <w:tcPr>
            <w:tcW w:w="3709" w:type="dxa"/>
            <w:vMerge w:val="continue"/>
            <w:vAlign w:val="center"/>
          </w:tcPr>
          <w:p>
            <w:pPr>
              <w:pStyle w:val="132"/>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restart"/>
            <w:vAlign w:val="center"/>
          </w:tcPr>
          <w:p>
            <w:pPr>
              <w:pStyle w:val="132"/>
            </w:pPr>
            <w:r>
              <w:rPr>
                <w:iCs/>
                <w:kern w:val="0"/>
                <w:szCs w:val="21"/>
              </w:rPr>
              <w:t>O</w:t>
            </w:r>
            <w:r>
              <w:rPr>
                <w:iCs/>
                <w:kern w:val="0"/>
                <w:szCs w:val="21"/>
                <w:vertAlign w:val="subscript"/>
              </w:rPr>
              <w:t>3</w:t>
            </w:r>
          </w:p>
        </w:tc>
        <w:tc>
          <w:tcPr>
            <w:tcW w:w="1811" w:type="dxa"/>
          </w:tcPr>
          <w:p>
            <w:pPr>
              <w:pStyle w:val="132"/>
            </w:pPr>
            <w:r>
              <w:rPr>
                <w:iCs/>
                <w:szCs w:val="21"/>
              </w:rPr>
              <w:t>8小时平均</w:t>
            </w:r>
          </w:p>
        </w:tc>
        <w:tc>
          <w:tcPr>
            <w:tcW w:w="1811" w:type="dxa"/>
          </w:tcPr>
          <w:p>
            <w:pPr>
              <w:pStyle w:val="132"/>
            </w:pPr>
            <w:r>
              <w:rPr>
                <w:iCs/>
                <w:szCs w:val="21"/>
              </w:rPr>
              <w:t>160</w:t>
            </w:r>
            <w:r>
              <w:rPr>
                <w:iCs/>
                <w:kern w:val="0"/>
                <w:szCs w:val="21"/>
              </w:rPr>
              <w:t>μg/m</w:t>
            </w:r>
            <w:r>
              <w:rPr>
                <w:iCs/>
                <w:kern w:val="0"/>
                <w:szCs w:val="21"/>
                <w:vertAlign w:val="superscript"/>
              </w:rPr>
              <w:t>3</w:t>
            </w:r>
          </w:p>
        </w:tc>
        <w:tc>
          <w:tcPr>
            <w:tcW w:w="3709" w:type="dxa"/>
            <w:vMerge w:val="continue"/>
            <w:vAlign w:val="center"/>
          </w:tcPr>
          <w:p>
            <w:pPr>
              <w:pStyle w:val="132"/>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Merge w:val="continue"/>
            <w:vAlign w:val="center"/>
          </w:tcPr>
          <w:p>
            <w:pPr>
              <w:pStyle w:val="132"/>
            </w:pPr>
          </w:p>
        </w:tc>
        <w:tc>
          <w:tcPr>
            <w:tcW w:w="1811" w:type="dxa"/>
          </w:tcPr>
          <w:p>
            <w:pPr>
              <w:pStyle w:val="132"/>
            </w:pPr>
            <w:r>
              <w:rPr>
                <w:iCs/>
                <w:szCs w:val="21"/>
              </w:rPr>
              <w:t>1小时平均</w:t>
            </w:r>
          </w:p>
        </w:tc>
        <w:tc>
          <w:tcPr>
            <w:tcW w:w="1811" w:type="dxa"/>
          </w:tcPr>
          <w:p>
            <w:pPr>
              <w:pStyle w:val="132"/>
            </w:pPr>
            <w:r>
              <w:rPr>
                <w:iCs/>
                <w:szCs w:val="21"/>
              </w:rPr>
              <w:t>200</w:t>
            </w:r>
            <w:r>
              <w:rPr>
                <w:iCs/>
                <w:kern w:val="0"/>
                <w:szCs w:val="21"/>
              </w:rPr>
              <w:t>μg/m</w:t>
            </w:r>
            <w:r>
              <w:rPr>
                <w:iCs/>
                <w:kern w:val="0"/>
                <w:szCs w:val="21"/>
                <w:vertAlign w:val="superscript"/>
              </w:rPr>
              <w:t>3</w:t>
            </w:r>
          </w:p>
        </w:tc>
        <w:tc>
          <w:tcPr>
            <w:tcW w:w="3709" w:type="dxa"/>
            <w:vMerge w:val="continue"/>
            <w:vAlign w:val="center"/>
          </w:tcPr>
          <w:p>
            <w:pPr>
              <w:pStyle w:val="132"/>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Align w:val="center"/>
          </w:tcPr>
          <w:p>
            <w:pPr>
              <w:pStyle w:val="132"/>
            </w:pPr>
            <w:r>
              <w:t>硫化氢</w:t>
            </w:r>
          </w:p>
        </w:tc>
        <w:tc>
          <w:tcPr>
            <w:tcW w:w="1811" w:type="dxa"/>
            <w:vAlign w:val="center"/>
          </w:tcPr>
          <w:p>
            <w:pPr>
              <w:pStyle w:val="132"/>
              <w:rPr>
                <w:iCs/>
                <w:szCs w:val="21"/>
              </w:rPr>
            </w:pPr>
            <w:r>
              <w:t>1小时平均</w:t>
            </w:r>
          </w:p>
        </w:tc>
        <w:tc>
          <w:tcPr>
            <w:tcW w:w="1811" w:type="dxa"/>
            <w:vAlign w:val="center"/>
          </w:tcPr>
          <w:p>
            <w:pPr>
              <w:pStyle w:val="132"/>
              <w:rPr>
                <w:iCs/>
                <w:szCs w:val="21"/>
              </w:rPr>
            </w:pPr>
            <w:r>
              <w:t>10</w:t>
            </w:r>
            <w:r>
              <w:rPr>
                <w:iCs/>
                <w:kern w:val="0"/>
                <w:szCs w:val="21"/>
              </w:rPr>
              <w:t>μ</w:t>
            </w:r>
            <w:r>
              <w:t>g/m</w:t>
            </w:r>
            <w:r>
              <w:rPr>
                <w:vertAlign w:val="superscript"/>
              </w:rPr>
              <w:t>3</w:t>
            </w:r>
          </w:p>
        </w:tc>
        <w:tc>
          <w:tcPr>
            <w:tcW w:w="3709" w:type="dxa"/>
            <w:vAlign w:val="center"/>
          </w:tcPr>
          <w:p>
            <w:pPr>
              <w:pStyle w:val="132"/>
            </w:pPr>
            <w:r>
              <w:rPr>
                <w:szCs w:val="21"/>
              </w:rPr>
              <w:t>《环境影响评价技术导则大气环境》（HJ2.2-2018）中附录D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1522" w:type="dxa"/>
            <w:vAlign w:val="center"/>
          </w:tcPr>
          <w:p>
            <w:pPr>
              <w:pStyle w:val="132"/>
            </w:pPr>
            <w:r>
              <w:rPr>
                <w:rFonts w:hint="eastAsia"/>
              </w:rPr>
              <w:t>非甲烷总烃</w:t>
            </w:r>
          </w:p>
        </w:tc>
        <w:tc>
          <w:tcPr>
            <w:tcW w:w="1811" w:type="dxa"/>
            <w:vAlign w:val="center"/>
          </w:tcPr>
          <w:p>
            <w:pPr>
              <w:pStyle w:val="132"/>
            </w:pPr>
            <w:r>
              <w:t>1小时平均</w:t>
            </w:r>
          </w:p>
        </w:tc>
        <w:tc>
          <w:tcPr>
            <w:tcW w:w="1811" w:type="dxa"/>
            <w:vAlign w:val="center"/>
          </w:tcPr>
          <w:p>
            <w:pPr>
              <w:pStyle w:val="132"/>
            </w:pPr>
            <w:r>
              <w:rPr>
                <w:rFonts w:hint="eastAsia"/>
              </w:rPr>
              <w:t>2.0mg/m</w:t>
            </w:r>
            <w:r>
              <w:rPr>
                <w:rFonts w:hint="eastAsia"/>
                <w:vertAlign w:val="superscript"/>
              </w:rPr>
              <w:t>3</w:t>
            </w:r>
          </w:p>
        </w:tc>
        <w:tc>
          <w:tcPr>
            <w:tcW w:w="3709" w:type="dxa"/>
            <w:vAlign w:val="center"/>
          </w:tcPr>
          <w:p>
            <w:pPr>
              <w:pStyle w:val="132"/>
            </w:pPr>
            <w:r>
              <w:rPr>
                <w:rFonts w:hint="eastAsia"/>
              </w:rPr>
              <w:t>《大气污染物综合排放标准详解》</w:t>
            </w:r>
          </w:p>
        </w:tc>
      </w:tr>
      <w:bookmarkEnd w:id="66"/>
    </w:tbl>
    <w:p>
      <w:pPr>
        <w:ind w:firstLine="482"/>
        <w:rPr>
          <w:rFonts w:ascii="Times New Roman" w:cs="Times New Roman"/>
          <w:b/>
        </w:rPr>
      </w:pPr>
      <w:r>
        <w:rPr>
          <w:rFonts w:ascii="Times New Roman" w:cs="Times New Roman"/>
          <w:b/>
        </w:rPr>
        <w:t>2、地表水环境质量标准</w:t>
      </w:r>
    </w:p>
    <w:p>
      <w:pPr>
        <w:topLinePunct w:val="0"/>
        <w:adjustRightInd/>
        <w:ind w:firstLine="480"/>
        <w:rPr>
          <w:rFonts w:ascii="Times New Roman" w:cs="Times New Roman"/>
          <w:kern w:val="2"/>
          <w:szCs w:val="22"/>
        </w:rPr>
      </w:pPr>
      <w:r>
        <w:rPr>
          <w:rFonts w:ascii="Times New Roman" w:cs="Times New Roman"/>
          <w:kern w:val="2"/>
          <w:szCs w:val="22"/>
        </w:rPr>
        <w:t>本项目的地表水环境执行《地表水环境质量标准》（GB3838-2002）中的Ⅲ类标准，见表1.5-2。</w:t>
      </w:r>
    </w:p>
    <w:p>
      <w:pPr>
        <w:pStyle w:val="37"/>
        <w:rPr>
          <w:rFonts w:cs="Times New Roman"/>
          <w:szCs w:val="21"/>
        </w:rPr>
      </w:pPr>
      <w:r>
        <w:rPr>
          <w:rFonts w:cs="Times New Roman"/>
        </w:rPr>
        <w:t>表1.5-2  地表水环境质量标准（GB3838－2002）  单位：mg/L</w:t>
      </w:r>
    </w:p>
    <w:tbl>
      <w:tblPr>
        <w:tblStyle w:val="57"/>
        <w:tblW w:w="5188" w:type="pct"/>
        <w:jc w:val="center"/>
        <w:tblLayout w:type="fixed"/>
        <w:tblCellMar>
          <w:top w:w="0" w:type="dxa"/>
          <w:left w:w="0" w:type="dxa"/>
          <w:bottom w:w="0" w:type="dxa"/>
          <w:right w:w="0" w:type="dxa"/>
        </w:tblCellMar>
      </w:tblPr>
      <w:tblGrid>
        <w:gridCol w:w="1229"/>
        <w:gridCol w:w="820"/>
        <w:gridCol w:w="807"/>
        <w:gridCol w:w="955"/>
        <w:gridCol w:w="957"/>
        <w:gridCol w:w="955"/>
        <w:gridCol w:w="982"/>
        <w:gridCol w:w="1020"/>
        <w:gridCol w:w="893"/>
      </w:tblGrid>
      <w:tr>
        <w:tblPrEx>
          <w:tblCellMar>
            <w:top w:w="0" w:type="dxa"/>
            <w:left w:w="0" w:type="dxa"/>
            <w:bottom w:w="0" w:type="dxa"/>
            <w:right w:w="0" w:type="dxa"/>
          </w:tblCellMar>
        </w:tblPrEx>
        <w:trPr>
          <w:trHeight w:val="339" w:hRule="exact"/>
          <w:jc w:val="center"/>
        </w:trPr>
        <w:tc>
          <w:tcPr>
            <w:tcW w:w="713" w:type="pct"/>
            <w:tcBorders>
              <w:top w:val="single" w:color="000000" w:sz="12" w:space="0"/>
              <w:left w:val="nil"/>
              <w:bottom w:val="single" w:color="000000" w:sz="4" w:space="0"/>
              <w:right w:val="single" w:color="000000" w:sz="4" w:space="0"/>
            </w:tcBorders>
            <w:vAlign w:val="center"/>
          </w:tcPr>
          <w:p>
            <w:pPr>
              <w:pStyle w:val="132"/>
              <w:rPr>
                <w:b/>
                <w:bCs/>
              </w:rPr>
            </w:pPr>
            <w:r>
              <w:rPr>
                <w:b/>
                <w:bCs/>
              </w:rPr>
              <w:t>评价因子</w:t>
            </w:r>
          </w:p>
        </w:tc>
        <w:tc>
          <w:tcPr>
            <w:tcW w:w="476" w:type="pct"/>
            <w:tcBorders>
              <w:top w:val="single" w:color="000000" w:sz="12" w:space="0"/>
              <w:left w:val="single" w:color="000000" w:sz="4" w:space="0"/>
              <w:bottom w:val="single" w:color="000000" w:sz="4" w:space="0"/>
              <w:right w:val="single" w:color="000000" w:sz="4" w:space="0"/>
            </w:tcBorders>
            <w:vAlign w:val="center"/>
          </w:tcPr>
          <w:p>
            <w:pPr>
              <w:pStyle w:val="132"/>
              <w:rPr>
                <w:b/>
                <w:bCs/>
              </w:rPr>
            </w:pPr>
            <w:r>
              <w:rPr>
                <w:b/>
                <w:bCs/>
              </w:rPr>
              <w:t>pH</w:t>
            </w:r>
          </w:p>
        </w:tc>
        <w:tc>
          <w:tcPr>
            <w:tcW w:w="468" w:type="pct"/>
            <w:tcBorders>
              <w:top w:val="single" w:color="000000" w:sz="12" w:space="0"/>
              <w:left w:val="single" w:color="000000" w:sz="4" w:space="0"/>
              <w:bottom w:val="single" w:color="000000" w:sz="4" w:space="0"/>
              <w:right w:val="single" w:color="000000" w:sz="4" w:space="0"/>
            </w:tcBorders>
            <w:vAlign w:val="center"/>
          </w:tcPr>
          <w:p>
            <w:pPr>
              <w:pStyle w:val="132"/>
              <w:rPr>
                <w:b/>
                <w:bCs/>
              </w:rPr>
            </w:pPr>
            <w:r>
              <w:rPr>
                <w:b/>
                <w:bCs/>
              </w:rPr>
              <w:t>COD</w:t>
            </w:r>
          </w:p>
        </w:tc>
        <w:tc>
          <w:tcPr>
            <w:tcW w:w="554" w:type="pct"/>
            <w:tcBorders>
              <w:top w:val="single" w:color="000000" w:sz="12" w:space="0"/>
              <w:left w:val="single" w:color="000000" w:sz="4" w:space="0"/>
              <w:bottom w:val="single" w:color="000000" w:sz="4" w:space="0"/>
              <w:right w:val="single" w:color="000000" w:sz="4" w:space="0"/>
            </w:tcBorders>
            <w:vAlign w:val="center"/>
          </w:tcPr>
          <w:p>
            <w:pPr>
              <w:pStyle w:val="132"/>
              <w:rPr>
                <w:b/>
                <w:bCs/>
              </w:rPr>
            </w:pPr>
            <w:r>
              <w:rPr>
                <w:b/>
                <w:bCs/>
              </w:rPr>
              <w:t>BOD</w:t>
            </w:r>
            <w:r>
              <w:rPr>
                <w:b/>
                <w:bCs/>
                <w:vertAlign w:val="subscript"/>
              </w:rPr>
              <w:t>5</w:t>
            </w:r>
          </w:p>
        </w:tc>
        <w:tc>
          <w:tcPr>
            <w:tcW w:w="555" w:type="pct"/>
            <w:tcBorders>
              <w:top w:val="single" w:color="000000" w:sz="12" w:space="0"/>
              <w:left w:val="single" w:color="000000" w:sz="4" w:space="0"/>
              <w:bottom w:val="single" w:color="000000" w:sz="4" w:space="0"/>
              <w:right w:val="single" w:color="000000" w:sz="4" w:space="0"/>
            </w:tcBorders>
            <w:vAlign w:val="center"/>
          </w:tcPr>
          <w:p>
            <w:pPr>
              <w:pStyle w:val="132"/>
              <w:rPr>
                <w:b/>
                <w:bCs/>
              </w:rPr>
            </w:pPr>
            <w:r>
              <w:rPr>
                <w:b/>
                <w:bCs/>
              </w:rPr>
              <w:t>氨氮</w:t>
            </w:r>
          </w:p>
        </w:tc>
        <w:tc>
          <w:tcPr>
            <w:tcW w:w="554" w:type="pct"/>
            <w:tcBorders>
              <w:top w:val="single" w:color="000000" w:sz="12" w:space="0"/>
              <w:left w:val="single" w:color="000000" w:sz="4" w:space="0"/>
              <w:bottom w:val="single" w:color="000000" w:sz="4" w:space="0"/>
              <w:right w:val="single" w:color="auto" w:sz="4" w:space="0"/>
            </w:tcBorders>
            <w:vAlign w:val="center"/>
          </w:tcPr>
          <w:p>
            <w:pPr>
              <w:pStyle w:val="132"/>
              <w:rPr>
                <w:b/>
                <w:bCs/>
              </w:rPr>
            </w:pPr>
            <w:r>
              <w:rPr>
                <w:rFonts w:hint="eastAsia"/>
                <w:b/>
                <w:bCs/>
              </w:rPr>
              <w:t>挥发酚</w:t>
            </w:r>
          </w:p>
        </w:tc>
        <w:tc>
          <w:tcPr>
            <w:tcW w:w="570" w:type="pct"/>
            <w:tcBorders>
              <w:top w:val="single" w:color="000000" w:sz="12" w:space="0"/>
              <w:left w:val="single" w:color="auto" w:sz="4" w:space="0"/>
              <w:bottom w:val="single" w:color="000000" w:sz="4" w:space="0"/>
              <w:right w:val="single" w:color="auto" w:sz="4" w:space="0"/>
            </w:tcBorders>
            <w:vAlign w:val="center"/>
          </w:tcPr>
          <w:p>
            <w:pPr>
              <w:pStyle w:val="132"/>
              <w:rPr>
                <w:b/>
                <w:bCs/>
              </w:rPr>
            </w:pPr>
            <w:r>
              <w:rPr>
                <w:b/>
                <w:bCs/>
              </w:rPr>
              <w:t>硫化物</w:t>
            </w:r>
          </w:p>
        </w:tc>
        <w:tc>
          <w:tcPr>
            <w:tcW w:w="592" w:type="pct"/>
            <w:tcBorders>
              <w:top w:val="single" w:color="000000" w:sz="12" w:space="0"/>
              <w:left w:val="single" w:color="auto" w:sz="4" w:space="0"/>
              <w:bottom w:val="single" w:color="000000" w:sz="4" w:space="0"/>
              <w:right w:val="nil"/>
            </w:tcBorders>
            <w:vAlign w:val="center"/>
          </w:tcPr>
          <w:p>
            <w:pPr>
              <w:pStyle w:val="132"/>
              <w:rPr>
                <w:b/>
                <w:bCs/>
              </w:rPr>
            </w:pPr>
            <w:r>
              <w:rPr>
                <w:b/>
                <w:bCs/>
              </w:rPr>
              <w:t>石油类</w:t>
            </w:r>
          </w:p>
        </w:tc>
        <w:tc>
          <w:tcPr>
            <w:tcW w:w="518" w:type="pct"/>
            <w:tcBorders>
              <w:top w:val="single" w:color="000000" w:sz="12" w:space="0"/>
              <w:left w:val="single" w:color="auto" w:sz="4" w:space="0"/>
              <w:bottom w:val="single" w:color="000000" w:sz="4" w:space="0"/>
              <w:right w:val="nil"/>
            </w:tcBorders>
            <w:vAlign w:val="center"/>
          </w:tcPr>
          <w:p>
            <w:pPr>
              <w:pStyle w:val="132"/>
              <w:rPr>
                <w:b/>
                <w:bCs/>
              </w:rPr>
            </w:pPr>
            <w:r>
              <w:rPr>
                <w:b/>
                <w:bCs/>
              </w:rPr>
              <w:t>氯化物</w:t>
            </w:r>
          </w:p>
        </w:tc>
      </w:tr>
      <w:tr>
        <w:tblPrEx>
          <w:tblCellMar>
            <w:top w:w="0" w:type="dxa"/>
            <w:left w:w="0" w:type="dxa"/>
            <w:bottom w:w="0" w:type="dxa"/>
            <w:right w:w="0" w:type="dxa"/>
          </w:tblCellMar>
        </w:tblPrEx>
        <w:trPr>
          <w:trHeight w:val="349" w:hRule="exact"/>
          <w:jc w:val="center"/>
        </w:trPr>
        <w:tc>
          <w:tcPr>
            <w:tcW w:w="713" w:type="pct"/>
            <w:tcBorders>
              <w:top w:val="single" w:color="000000" w:sz="4" w:space="0"/>
              <w:left w:val="nil"/>
              <w:bottom w:val="single" w:color="000000" w:sz="12" w:space="0"/>
              <w:right w:val="single" w:color="000000" w:sz="4" w:space="0"/>
            </w:tcBorders>
            <w:vAlign w:val="center"/>
          </w:tcPr>
          <w:p>
            <w:pPr>
              <w:pStyle w:val="132"/>
            </w:pPr>
            <w:r>
              <w:t>浓度限制</w:t>
            </w:r>
          </w:p>
        </w:tc>
        <w:tc>
          <w:tcPr>
            <w:tcW w:w="476" w:type="pct"/>
            <w:tcBorders>
              <w:top w:val="single" w:color="000000" w:sz="4" w:space="0"/>
              <w:left w:val="single" w:color="000000" w:sz="4" w:space="0"/>
              <w:bottom w:val="single" w:color="000000" w:sz="12" w:space="0"/>
              <w:right w:val="single" w:color="000000" w:sz="4" w:space="0"/>
            </w:tcBorders>
            <w:vAlign w:val="center"/>
          </w:tcPr>
          <w:p>
            <w:pPr>
              <w:pStyle w:val="132"/>
            </w:pPr>
            <w:r>
              <w:t>6~9</w:t>
            </w:r>
          </w:p>
        </w:tc>
        <w:tc>
          <w:tcPr>
            <w:tcW w:w="468" w:type="pct"/>
            <w:tcBorders>
              <w:top w:val="single" w:color="000000" w:sz="4" w:space="0"/>
              <w:left w:val="single" w:color="000000" w:sz="4" w:space="0"/>
              <w:bottom w:val="single" w:color="000000" w:sz="12" w:space="0"/>
              <w:right w:val="single" w:color="000000" w:sz="4" w:space="0"/>
            </w:tcBorders>
            <w:vAlign w:val="center"/>
          </w:tcPr>
          <w:p>
            <w:pPr>
              <w:pStyle w:val="132"/>
            </w:pPr>
            <w:r>
              <w:t>≤20</w:t>
            </w:r>
          </w:p>
        </w:tc>
        <w:tc>
          <w:tcPr>
            <w:tcW w:w="554" w:type="pct"/>
            <w:tcBorders>
              <w:top w:val="single" w:color="000000" w:sz="4" w:space="0"/>
              <w:left w:val="single" w:color="000000" w:sz="4" w:space="0"/>
              <w:bottom w:val="single" w:color="000000" w:sz="12" w:space="0"/>
              <w:right w:val="single" w:color="000000" w:sz="4" w:space="0"/>
            </w:tcBorders>
            <w:vAlign w:val="center"/>
          </w:tcPr>
          <w:p>
            <w:pPr>
              <w:pStyle w:val="132"/>
            </w:pPr>
            <w:r>
              <w:t>≤4</w:t>
            </w:r>
          </w:p>
        </w:tc>
        <w:tc>
          <w:tcPr>
            <w:tcW w:w="555" w:type="pct"/>
            <w:tcBorders>
              <w:top w:val="single" w:color="000000" w:sz="4" w:space="0"/>
              <w:left w:val="single" w:color="000000" w:sz="4" w:space="0"/>
              <w:bottom w:val="single" w:color="000000" w:sz="12" w:space="0"/>
              <w:right w:val="single" w:color="000000" w:sz="4" w:space="0"/>
            </w:tcBorders>
            <w:vAlign w:val="center"/>
          </w:tcPr>
          <w:p>
            <w:pPr>
              <w:pStyle w:val="132"/>
            </w:pPr>
            <w:r>
              <w:t>≤1.0</w:t>
            </w:r>
          </w:p>
        </w:tc>
        <w:tc>
          <w:tcPr>
            <w:tcW w:w="554" w:type="pct"/>
            <w:tcBorders>
              <w:top w:val="single" w:color="000000" w:sz="4" w:space="0"/>
              <w:left w:val="single" w:color="000000" w:sz="4" w:space="0"/>
              <w:bottom w:val="single" w:color="000000" w:sz="12" w:space="0"/>
              <w:right w:val="single" w:color="auto" w:sz="4" w:space="0"/>
            </w:tcBorders>
            <w:vAlign w:val="center"/>
          </w:tcPr>
          <w:p>
            <w:pPr>
              <w:pStyle w:val="132"/>
            </w:pPr>
            <w:r>
              <w:t>≤0.</w:t>
            </w:r>
            <w:r>
              <w:rPr>
                <w:rFonts w:hint="eastAsia"/>
              </w:rPr>
              <w:t>005</w:t>
            </w:r>
          </w:p>
        </w:tc>
        <w:tc>
          <w:tcPr>
            <w:tcW w:w="570" w:type="pct"/>
            <w:tcBorders>
              <w:top w:val="single" w:color="000000" w:sz="4" w:space="0"/>
              <w:left w:val="single" w:color="auto" w:sz="4" w:space="0"/>
              <w:bottom w:val="single" w:color="000000" w:sz="12" w:space="0"/>
              <w:right w:val="single" w:color="auto" w:sz="4" w:space="0"/>
            </w:tcBorders>
            <w:vAlign w:val="center"/>
          </w:tcPr>
          <w:p>
            <w:pPr>
              <w:pStyle w:val="132"/>
            </w:pPr>
            <w:r>
              <w:t>≤0.1</w:t>
            </w:r>
          </w:p>
        </w:tc>
        <w:tc>
          <w:tcPr>
            <w:tcW w:w="592" w:type="pct"/>
            <w:tcBorders>
              <w:top w:val="single" w:color="000000" w:sz="4" w:space="0"/>
              <w:left w:val="single" w:color="auto" w:sz="4" w:space="0"/>
              <w:bottom w:val="single" w:color="000000" w:sz="12" w:space="0"/>
              <w:right w:val="nil"/>
            </w:tcBorders>
            <w:vAlign w:val="center"/>
          </w:tcPr>
          <w:p>
            <w:pPr>
              <w:pStyle w:val="132"/>
            </w:pPr>
            <w:r>
              <w:t>≤0.05</w:t>
            </w:r>
          </w:p>
        </w:tc>
        <w:tc>
          <w:tcPr>
            <w:tcW w:w="518" w:type="pct"/>
            <w:tcBorders>
              <w:top w:val="single" w:color="000000" w:sz="4" w:space="0"/>
              <w:left w:val="single" w:color="auto" w:sz="4" w:space="0"/>
              <w:bottom w:val="single" w:color="000000" w:sz="12" w:space="0"/>
              <w:right w:val="nil"/>
            </w:tcBorders>
            <w:vAlign w:val="center"/>
          </w:tcPr>
          <w:p>
            <w:pPr>
              <w:pStyle w:val="132"/>
            </w:pPr>
            <w:r>
              <w:t>≤250</w:t>
            </w:r>
          </w:p>
        </w:tc>
      </w:tr>
    </w:tbl>
    <w:p>
      <w:pPr>
        <w:ind w:firstLine="482"/>
        <w:rPr>
          <w:rFonts w:ascii="Times New Roman" w:cs="Times New Roman"/>
          <w:b/>
        </w:rPr>
      </w:pPr>
      <w:r>
        <w:rPr>
          <w:rFonts w:ascii="Times New Roman" w:cs="Times New Roman"/>
          <w:b/>
        </w:rPr>
        <w:t>3、地下水环境质量标准</w:t>
      </w:r>
    </w:p>
    <w:p>
      <w:pPr>
        <w:topLinePunct w:val="0"/>
        <w:adjustRightInd/>
        <w:ind w:firstLine="480"/>
        <w:rPr>
          <w:rFonts w:ascii="Times New Roman" w:cs="Times New Roman"/>
          <w:kern w:val="2"/>
          <w:szCs w:val="22"/>
        </w:rPr>
      </w:pPr>
      <w:r>
        <w:rPr>
          <w:rFonts w:ascii="Times New Roman" w:cs="Times New Roman"/>
          <w:kern w:val="2"/>
          <w:szCs w:val="22"/>
        </w:rPr>
        <w:t>本项目的地下水环境执行《地下水质量标准》（GB/T14848-2017）中的Ⅲ类标准，见表1.5-3。</w:t>
      </w:r>
    </w:p>
    <w:p>
      <w:pPr>
        <w:pStyle w:val="37"/>
        <w:rPr>
          <w:rFonts w:cs="Times New Roman"/>
        </w:rPr>
      </w:pPr>
      <w:r>
        <w:rPr>
          <w:rFonts w:cs="Times New Roman"/>
        </w:rPr>
        <w:t>表1.5-3  地下水质量标准（GB/T14848-2017）  单位：mg/L、pH无量纲</w:t>
      </w:r>
    </w:p>
    <w:tbl>
      <w:tblPr>
        <w:tblStyle w:val="57"/>
        <w:tblW w:w="5275"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28" w:type="dxa"/>
          <w:left w:w="0" w:type="dxa"/>
          <w:bottom w:w="28" w:type="dxa"/>
          <w:right w:w="0" w:type="dxa"/>
        </w:tblCellMar>
      </w:tblPr>
      <w:tblGrid>
        <w:gridCol w:w="703"/>
        <w:gridCol w:w="2053"/>
        <w:gridCol w:w="1864"/>
        <w:gridCol w:w="892"/>
        <w:gridCol w:w="1870"/>
        <w:gridCol w:w="149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232" w:hRule="atLeast"/>
          <w:tblHeader/>
          <w:jc w:val="center"/>
        </w:trPr>
        <w:tc>
          <w:tcPr>
            <w:tcW w:w="703" w:type="dxa"/>
            <w:tcMar>
              <w:top w:w="0" w:type="dxa"/>
              <w:left w:w="108" w:type="dxa"/>
              <w:bottom w:w="0" w:type="dxa"/>
              <w:right w:w="108" w:type="dxa"/>
            </w:tcMar>
            <w:vAlign w:val="center"/>
          </w:tcPr>
          <w:p>
            <w:pPr>
              <w:pStyle w:val="134"/>
              <w:adjustRightInd w:val="0"/>
              <w:snapToGrid w:val="0"/>
              <w:ind w:firstLine="0" w:firstLineChars="0"/>
              <w:jc w:val="center"/>
              <w:rPr>
                <w:b/>
                <w:bCs/>
                <w:szCs w:val="21"/>
              </w:rPr>
            </w:pPr>
            <w:r>
              <w:rPr>
                <w:b/>
                <w:bCs/>
                <w:szCs w:val="21"/>
              </w:rPr>
              <w:t>序号</w:t>
            </w:r>
          </w:p>
        </w:tc>
        <w:tc>
          <w:tcPr>
            <w:tcW w:w="2053" w:type="dxa"/>
            <w:tcMar>
              <w:top w:w="0" w:type="dxa"/>
              <w:left w:w="108" w:type="dxa"/>
              <w:bottom w:w="0" w:type="dxa"/>
              <w:right w:w="108" w:type="dxa"/>
            </w:tcMar>
            <w:vAlign w:val="center"/>
          </w:tcPr>
          <w:p>
            <w:pPr>
              <w:pStyle w:val="134"/>
              <w:adjustRightInd w:val="0"/>
              <w:snapToGrid w:val="0"/>
              <w:ind w:firstLine="0" w:firstLineChars="0"/>
              <w:jc w:val="center"/>
              <w:rPr>
                <w:b/>
                <w:bCs/>
                <w:szCs w:val="21"/>
              </w:rPr>
            </w:pPr>
            <w:r>
              <w:rPr>
                <w:b/>
                <w:bCs/>
                <w:szCs w:val="21"/>
              </w:rPr>
              <w:t>项目</w:t>
            </w:r>
          </w:p>
        </w:tc>
        <w:tc>
          <w:tcPr>
            <w:tcW w:w="1864" w:type="dxa"/>
            <w:tcMar>
              <w:top w:w="0" w:type="dxa"/>
              <w:left w:w="108" w:type="dxa"/>
              <w:bottom w:w="0" w:type="dxa"/>
              <w:right w:w="108" w:type="dxa"/>
            </w:tcMar>
            <w:vAlign w:val="center"/>
          </w:tcPr>
          <w:p>
            <w:pPr>
              <w:pStyle w:val="134"/>
              <w:adjustRightInd w:val="0"/>
              <w:snapToGrid w:val="0"/>
              <w:ind w:firstLine="0" w:firstLineChars="0"/>
              <w:jc w:val="center"/>
              <w:rPr>
                <w:b/>
                <w:bCs/>
                <w:szCs w:val="21"/>
              </w:rPr>
            </w:pPr>
            <w:r>
              <w:rPr>
                <w:b/>
                <w:bCs/>
                <w:szCs w:val="21"/>
              </w:rPr>
              <w:t>Ⅲ类（mg/L）</w:t>
            </w:r>
          </w:p>
        </w:tc>
        <w:tc>
          <w:tcPr>
            <w:tcW w:w="892" w:type="dxa"/>
            <w:vAlign w:val="center"/>
          </w:tcPr>
          <w:p>
            <w:pPr>
              <w:pStyle w:val="134"/>
              <w:adjustRightInd w:val="0"/>
              <w:snapToGrid w:val="0"/>
              <w:ind w:firstLine="0" w:firstLineChars="0"/>
              <w:jc w:val="center"/>
              <w:rPr>
                <w:b/>
                <w:bCs/>
                <w:szCs w:val="21"/>
              </w:rPr>
            </w:pPr>
            <w:r>
              <w:rPr>
                <w:b/>
                <w:bCs/>
                <w:szCs w:val="21"/>
              </w:rPr>
              <w:t>序号</w:t>
            </w:r>
          </w:p>
        </w:tc>
        <w:tc>
          <w:tcPr>
            <w:tcW w:w="1870" w:type="dxa"/>
            <w:vAlign w:val="center"/>
          </w:tcPr>
          <w:p>
            <w:pPr>
              <w:pStyle w:val="134"/>
              <w:adjustRightInd w:val="0"/>
              <w:snapToGrid w:val="0"/>
              <w:ind w:firstLine="0" w:firstLineChars="0"/>
              <w:jc w:val="center"/>
              <w:rPr>
                <w:b/>
                <w:bCs/>
                <w:szCs w:val="21"/>
              </w:rPr>
            </w:pPr>
            <w:r>
              <w:rPr>
                <w:b/>
                <w:bCs/>
                <w:szCs w:val="21"/>
              </w:rPr>
              <w:t>项目</w:t>
            </w:r>
          </w:p>
        </w:tc>
        <w:tc>
          <w:tcPr>
            <w:tcW w:w="1495" w:type="dxa"/>
            <w:vAlign w:val="center"/>
          </w:tcPr>
          <w:p>
            <w:pPr>
              <w:pStyle w:val="134"/>
              <w:adjustRightInd w:val="0"/>
              <w:snapToGrid w:val="0"/>
              <w:ind w:firstLine="0" w:firstLineChars="0"/>
              <w:jc w:val="center"/>
              <w:rPr>
                <w:b/>
                <w:bCs/>
                <w:szCs w:val="21"/>
              </w:rPr>
            </w:pPr>
            <w:r>
              <w:rPr>
                <w:b/>
                <w:bCs/>
                <w:szCs w:val="21"/>
              </w:rPr>
              <w:t>Ⅲ类（mg/L）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232" w:hRule="atLeast"/>
          <w:jc w:val="center"/>
        </w:trPr>
        <w:tc>
          <w:tcPr>
            <w:tcW w:w="703"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rPr>
              <w:t>1</w:t>
            </w:r>
          </w:p>
        </w:tc>
        <w:tc>
          <w:tcPr>
            <w:tcW w:w="2053"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rPr>
              <w:t>pH值（无量纲）</w:t>
            </w:r>
          </w:p>
        </w:tc>
        <w:tc>
          <w:tcPr>
            <w:tcW w:w="1864" w:type="dxa"/>
            <w:vAlign w:val="center"/>
          </w:tcPr>
          <w:p>
            <w:pPr>
              <w:pStyle w:val="134"/>
              <w:adjustRightInd w:val="0"/>
              <w:snapToGrid w:val="0"/>
              <w:ind w:firstLine="0" w:firstLineChars="0"/>
              <w:jc w:val="center"/>
              <w:rPr>
                <w:szCs w:val="21"/>
              </w:rPr>
            </w:pPr>
            <w:r>
              <w:rPr>
                <w:szCs w:val="21"/>
              </w:rPr>
              <w:t>6.5~8.5</w:t>
            </w:r>
          </w:p>
        </w:tc>
        <w:tc>
          <w:tcPr>
            <w:tcW w:w="892" w:type="dxa"/>
            <w:vAlign w:val="center"/>
          </w:tcPr>
          <w:p>
            <w:pPr>
              <w:pStyle w:val="134"/>
              <w:adjustRightInd w:val="0"/>
              <w:snapToGrid w:val="0"/>
              <w:ind w:firstLine="0" w:firstLineChars="0"/>
              <w:jc w:val="center"/>
              <w:rPr>
                <w:szCs w:val="21"/>
              </w:rPr>
            </w:pPr>
            <w:r>
              <w:rPr>
                <w:szCs w:val="21"/>
              </w:rPr>
              <w:t>12</w:t>
            </w:r>
          </w:p>
        </w:tc>
        <w:tc>
          <w:tcPr>
            <w:tcW w:w="1870" w:type="dxa"/>
            <w:vAlign w:val="center"/>
          </w:tcPr>
          <w:p>
            <w:pPr>
              <w:pStyle w:val="134"/>
              <w:adjustRightInd w:val="0"/>
              <w:snapToGrid w:val="0"/>
              <w:ind w:firstLine="0" w:firstLineChars="0"/>
              <w:jc w:val="center"/>
              <w:rPr>
                <w:szCs w:val="21"/>
              </w:rPr>
            </w:pPr>
            <w:r>
              <w:rPr>
                <w:szCs w:val="21"/>
                <w:lang w:val="zh-CN"/>
              </w:rPr>
              <w:t>汞</w:t>
            </w:r>
          </w:p>
        </w:tc>
        <w:tc>
          <w:tcPr>
            <w:tcW w:w="1495" w:type="dxa"/>
            <w:vAlign w:val="center"/>
          </w:tcPr>
          <w:p>
            <w:pPr>
              <w:pStyle w:val="134"/>
              <w:adjustRightInd w:val="0"/>
              <w:snapToGrid w:val="0"/>
              <w:ind w:firstLine="0" w:firstLineChars="0"/>
              <w:jc w:val="center"/>
              <w:rPr>
                <w:szCs w:val="21"/>
              </w:rPr>
            </w:pPr>
            <w:r>
              <w:rPr>
                <w:szCs w:val="21"/>
              </w:rPr>
              <w:t>0.001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232" w:hRule="atLeast"/>
          <w:jc w:val="center"/>
        </w:trPr>
        <w:tc>
          <w:tcPr>
            <w:tcW w:w="703"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rPr>
              <w:t>2</w:t>
            </w:r>
          </w:p>
        </w:tc>
        <w:tc>
          <w:tcPr>
            <w:tcW w:w="2053"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lang w:val="zh-CN"/>
              </w:rPr>
              <w:t>氨氮</w:t>
            </w:r>
          </w:p>
        </w:tc>
        <w:tc>
          <w:tcPr>
            <w:tcW w:w="1864" w:type="dxa"/>
            <w:vAlign w:val="center"/>
          </w:tcPr>
          <w:p>
            <w:pPr>
              <w:pStyle w:val="134"/>
              <w:adjustRightInd w:val="0"/>
              <w:snapToGrid w:val="0"/>
              <w:ind w:firstLine="0" w:firstLineChars="0"/>
              <w:jc w:val="center"/>
              <w:rPr>
                <w:szCs w:val="21"/>
              </w:rPr>
            </w:pPr>
            <w:r>
              <w:rPr>
                <w:szCs w:val="21"/>
              </w:rPr>
              <w:t>0.5</w:t>
            </w:r>
          </w:p>
        </w:tc>
        <w:tc>
          <w:tcPr>
            <w:tcW w:w="892" w:type="dxa"/>
            <w:vAlign w:val="center"/>
          </w:tcPr>
          <w:p>
            <w:pPr>
              <w:pStyle w:val="134"/>
              <w:adjustRightInd w:val="0"/>
              <w:snapToGrid w:val="0"/>
              <w:ind w:firstLine="0" w:firstLineChars="0"/>
              <w:jc w:val="center"/>
              <w:rPr>
                <w:szCs w:val="21"/>
              </w:rPr>
            </w:pPr>
            <w:r>
              <w:rPr>
                <w:szCs w:val="21"/>
              </w:rPr>
              <w:t>13</w:t>
            </w:r>
          </w:p>
        </w:tc>
        <w:tc>
          <w:tcPr>
            <w:tcW w:w="1870" w:type="dxa"/>
            <w:vAlign w:val="center"/>
          </w:tcPr>
          <w:p>
            <w:pPr>
              <w:pStyle w:val="134"/>
              <w:adjustRightInd w:val="0"/>
              <w:snapToGrid w:val="0"/>
              <w:ind w:firstLine="0" w:firstLineChars="0"/>
              <w:jc w:val="center"/>
              <w:rPr>
                <w:szCs w:val="21"/>
              </w:rPr>
            </w:pPr>
            <w:r>
              <w:rPr>
                <w:szCs w:val="21"/>
                <w:lang w:val="zh-CN"/>
              </w:rPr>
              <w:t>六价铬</w:t>
            </w:r>
          </w:p>
        </w:tc>
        <w:tc>
          <w:tcPr>
            <w:tcW w:w="1495" w:type="dxa"/>
            <w:vAlign w:val="center"/>
          </w:tcPr>
          <w:p>
            <w:pPr>
              <w:pStyle w:val="134"/>
              <w:adjustRightInd w:val="0"/>
              <w:snapToGrid w:val="0"/>
              <w:ind w:firstLine="0" w:firstLineChars="0"/>
              <w:jc w:val="center"/>
              <w:rPr>
                <w:szCs w:val="21"/>
              </w:rPr>
            </w:pPr>
            <w:r>
              <w:rPr>
                <w:szCs w:val="21"/>
              </w:rPr>
              <w:t>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232" w:hRule="atLeast"/>
          <w:jc w:val="center"/>
        </w:trPr>
        <w:tc>
          <w:tcPr>
            <w:tcW w:w="703"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rPr>
              <w:t>3</w:t>
            </w:r>
          </w:p>
        </w:tc>
        <w:tc>
          <w:tcPr>
            <w:tcW w:w="2053"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lang w:val="zh-CN"/>
              </w:rPr>
              <w:t>硝酸盐</w:t>
            </w:r>
          </w:p>
        </w:tc>
        <w:tc>
          <w:tcPr>
            <w:tcW w:w="1864"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rPr>
              <w:t>20</w:t>
            </w:r>
          </w:p>
        </w:tc>
        <w:tc>
          <w:tcPr>
            <w:tcW w:w="892" w:type="dxa"/>
            <w:vAlign w:val="center"/>
          </w:tcPr>
          <w:p>
            <w:pPr>
              <w:pStyle w:val="134"/>
              <w:adjustRightInd w:val="0"/>
              <w:snapToGrid w:val="0"/>
              <w:ind w:firstLine="0" w:firstLineChars="0"/>
              <w:jc w:val="center"/>
              <w:rPr>
                <w:szCs w:val="21"/>
              </w:rPr>
            </w:pPr>
            <w:r>
              <w:rPr>
                <w:szCs w:val="21"/>
              </w:rPr>
              <w:t>14</w:t>
            </w:r>
          </w:p>
        </w:tc>
        <w:tc>
          <w:tcPr>
            <w:tcW w:w="1870" w:type="dxa"/>
            <w:vAlign w:val="center"/>
          </w:tcPr>
          <w:p>
            <w:pPr>
              <w:pStyle w:val="134"/>
              <w:adjustRightInd w:val="0"/>
              <w:snapToGrid w:val="0"/>
              <w:ind w:firstLine="0" w:firstLineChars="0"/>
              <w:jc w:val="center"/>
              <w:rPr>
                <w:szCs w:val="21"/>
              </w:rPr>
            </w:pPr>
            <w:r>
              <w:rPr>
                <w:szCs w:val="21"/>
                <w:lang w:val="zh-CN"/>
              </w:rPr>
              <w:t>铅</w:t>
            </w:r>
          </w:p>
        </w:tc>
        <w:tc>
          <w:tcPr>
            <w:tcW w:w="1495" w:type="dxa"/>
            <w:vAlign w:val="center"/>
          </w:tcPr>
          <w:p>
            <w:pPr>
              <w:pStyle w:val="134"/>
              <w:adjustRightInd w:val="0"/>
              <w:snapToGrid w:val="0"/>
              <w:ind w:firstLine="0" w:firstLineChars="0"/>
              <w:jc w:val="center"/>
              <w:rPr>
                <w:szCs w:val="21"/>
              </w:rPr>
            </w:pPr>
            <w:r>
              <w:rPr>
                <w:szCs w:val="21"/>
              </w:rPr>
              <w:t>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232" w:hRule="atLeast"/>
          <w:jc w:val="center"/>
        </w:trPr>
        <w:tc>
          <w:tcPr>
            <w:tcW w:w="703"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rPr>
              <w:t>4</w:t>
            </w:r>
          </w:p>
        </w:tc>
        <w:tc>
          <w:tcPr>
            <w:tcW w:w="2053"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lang w:val="zh-CN"/>
              </w:rPr>
              <w:t>亚硝酸盐</w:t>
            </w:r>
          </w:p>
        </w:tc>
        <w:tc>
          <w:tcPr>
            <w:tcW w:w="1864"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rPr>
              <w:t>1.00</w:t>
            </w:r>
          </w:p>
        </w:tc>
        <w:tc>
          <w:tcPr>
            <w:tcW w:w="892" w:type="dxa"/>
            <w:vAlign w:val="center"/>
          </w:tcPr>
          <w:p>
            <w:pPr>
              <w:pStyle w:val="134"/>
              <w:adjustRightInd w:val="0"/>
              <w:snapToGrid w:val="0"/>
              <w:ind w:firstLine="0" w:firstLineChars="0"/>
              <w:jc w:val="center"/>
              <w:rPr>
                <w:szCs w:val="21"/>
              </w:rPr>
            </w:pPr>
            <w:r>
              <w:rPr>
                <w:szCs w:val="21"/>
              </w:rPr>
              <w:t>15</w:t>
            </w:r>
          </w:p>
        </w:tc>
        <w:tc>
          <w:tcPr>
            <w:tcW w:w="1870" w:type="dxa"/>
            <w:vAlign w:val="center"/>
          </w:tcPr>
          <w:p>
            <w:pPr>
              <w:pStyle w:val="134"/>
              <w:adjustRightInd w:val="0"/>
              <w:snapToGrid w:val="0"/>
              <w:ind w:firstLine="0" w:firstLineChars="0"/>
              <w:jc w:val="center"/>
              <w:rPr>
                <w:szCs w:val="21"/>
              </w:rPr>
            </w:pPr>
            <w:r>
              <w:rPr>
                <w:szCs w:val="21"/>
                <w:lang w:val="zh-CN"/>
              </w:rPr>
              <w:t>镉</w:t>
            </w:r>
          </w:p>
        </w:tc>
        <w:tc>
          <w:tcPr>
            <w:tcW w:w="1495" w:type="dxa"/>
            <w:vAlign w:val="center"/>
          </w:tcPr>
          <w:p>
            <w:pPr>
              <w:pStyle w:val="134"/>
              <w:adjustRightInd w:val="0"/>
              <w:snapToGrid w:val="0"/>
              <w:ind w:firstLine="0" w:firstLineChars="0"/>
              <w:jc w:val="center"/>
              <w:rPr>
                <w:szCs w:val="21"/>
              </w:rPr>
            </w:pPr>
            <w:r>
              <w:rPr>
                <w:szCs w:val="21"/>
              </w:rPr>
              <w:t>0.005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232" w:hRule="atLeast"/>
          <w:jc w:val="center"/>
        </w:trPr>
        <w:tc>
          <w:tcPr>
            <w:tcW w:w="703"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rPr>
              <w:t>5</w:t>
            </w:r>
          </w:p>
        </w:tc>
        <w:tc>
          <w:tcPr>
            <w:tcW w:w="2053"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lang w:val="zh-CN"/>
              </w:rPr>
              <w:t>挥发性酚类</w:t>
            </w:r>
          </w:p>
        </w:tc>
        <w:tc>
          <w:tcPr>
            <w:tcW w:w="1864"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rPr>
              <w:t>0.002</w:t>
            </w:r>
          </w:p>
        </w:tc>
        <w:tc>
          <w:tcPr>
            <w:tcW w:w="892" w:type="dxa"/>
            <w:vAlign w:val="center"/>
          </w:tcPr>
          <w:p>
            <w:pPr>
              <w:pStyle w:val="134"/>
              <w:adjustRightInd w:val="0"/>
              <w:snapToGrid w:val="0"/>
              <w:ind w:firstLine="0" w:firstLineChars="0"/>
              <w:jc w:val="center"/>
              <w:rPr>
                <w:szCs w:val="21"/>
              </w:rPr>
            </w:pPr>
            <w:r>
              <w:rPr>
                <w:szCs w:val="21"/>
              </w:rPr>
              <w:t>16</w:t>
            </w:r>
          </w:p>
        </w:tc>
        <w:tc>
          <w:tcPr>
            <w:tcW w:w="1870" w:type="dxa"/>
            <w:vAlign w:val="center"/>
          </w:tcPr>
          <w:p>
            <w:pPr>
              <w:pStyle w:val="134"/>
              <w:adjustRightInd w:val="0"/>
              <w:snapToGrid w:val="0"/>
              <w:ind w:firstLine="0" w:firstLineChars="0"/>
              <w:jc w:val="center"/>
              <w:rPr>
                <w:szCs w:val="21"/>
              </w:rPr>
            </w:pPr>
            <w:r>
              <w:rPr>
                <w:szCs w:val="21"/>
                <w:lang w:val="zh-CN"/>
              </w:rPr>
              <w:t>铁</w:t>
            </w:r>
          </w:p>
        </w:tc>
        <w:tc>
          <w:tcPr>
            <w:tcW w:w="1495" w:type="dxa"/>
            <w:vAlign w:val="center"/>
          </w:tcPr>
          <w:p>
            <w:pPr>
              <w:pStyle w:val="134"/>
              <w:adjustRightInd w:val="0"/>
              <w:snapToGrid w:val="0"/>
              <w:ind w:firstLine="0" w:firstLineChars="0"/>
              <w:jc w:val="center"/>
              <w:rPr>
                <w:szCs w:val="21"/>
              </w:rPr>
            </w:pPr>
            <w:r>
              <w:rPr>
                <w:szCs w:val="21"/>
              </w:rPr>
              <w:t>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232" w:hRule="atLeast"/>
          <w:jc w:val="center"/>
        </w:trPr>
        <w:tc>
          <w:tcPr>
            <w:tcW w:w="703"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rPr>
              <w:t>6</w:t>
            </w:r>
          </w:p>
        </w:tc>
        <w:tc>
          <w:tcPr>
            <w:tcW w:w="2053"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lang w:val="zh-CN"/>
              </w:rPr>
              <w:t>总硬度</w:t>
            </w:r>
          </w:p>
        </w:tc>
        <w:tc>
          <w:tcPr>
            <w:tcW w:w="1864"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rPr>
              <w:t>450</w:t>
            </w:r>
          </w:p>
        </w:tc>
        <w:tc>
          <w:tcPr>
            <w:tcW w:w="892" w:type="dxa"/>
            <w:vAlign w:val="center"/>
          </w:tcPr>
          <w:p>
            <w:pPr>
              <w:pStyle w:val="134"/>
              <w:adjustRightInd w:val="0"/>
              <w:snapToGrid w:val="0"/>
              <w:ind w:firstLine="0" w:firstLineChars="0"/>
              <w:jc w:val="center"/>
              <w:rPr>
                <w:szCs w:val="21"/>
              </w:rPr>
            </w:pPr>
            <w:r>
              <w:rPr>
                <w:szCs w:val="21"/>
              </w:rPr>
              <w:t>17</w:t>
            </w:r>
          </w:p>
        </w:tc>
        <w:tc>
          <w:tcPr>
            <w:tcW w:w="1870" w:type="dxa"/>
            <w:vAlign w:val="center"/>
          </w:tcPr>
          <w:p>
            <w:pPr>
              <w:pStyle w:val="134"/>
              <w:adjustRightInd w:val="0"/>
              <w:snapToGrid w:val="0"/>
              <w:ind w:firstLine="0" w:firstLineChars="0"/>
              <w:jc w:val="center"/>
              <w:rPr>
                <w:szCs w:val="21"/>
              </w:rPr>
            </w:pPr>
            <w:r>
              <w:rPr>
                <w:szCs w:val="21"/>
                <w:lang w:val="zh-CN"/>
              </w:rPr>
              <w:t>锰</w:t>
            </w:r>
          </w:p>
        </w:tc>
        <w:tc>
          <w:tcPr>
            <w:tcW w:w="1495" w:type="dxa"/>
            <w:vAlign w:val="center"/>
          </w:tcPr>
          <w:p>
            <w:pPr>
              <w:pStyle w:val="134"/>
              <w:adjustRightInd w:val="0"/>
              <w:snapToGrid w:val="0"/>
              <w:ind w:firstLine="0" w:firstLineChars="0"/>
              <w:jc w:val="center"/>
              <w:rPr>
                <w:szCs w:val="21"/>
              </w:rPr>
            </w:pPr>
            <w:r>
              <w:rPr>
                <w:szCs w:val="21"/>
              </w:rPr>
              <w:t>0.10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232" w:hRule="atLeast"/>
          <w:jc w:val="center"/>
        </w:trPr>
        <w:tc>
          <w:tcPr>
            <w:tcW w:w="703"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rPr>
              <w:t>7</w:t>
            </w:r>
          </w:p>
        </w:tc>
        <w:tc>
          <w:tcPr>
            <w:tcW w:w="2053"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lang w:val="zh-CN"/>
              </w:rPr>
              <w:t>溶解性总固体</w:t>
            </w:r>
          </w:p>
        </w:tc>
        <w:tc>
          <w:tcPr>
            <w:tcW w:w="1864"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rPr>
              <w:t>1000</w:t>
            </w:r>
          </w:p>
        </w:tc>
        <w:tc>
          <w:tcPr>
            <w:tcW w:w="892" w:type="dxa"/>
            <w:vAlign w:val="center"/>
          </w:tcPr>
          <w:p>
            <w:pPr>
              <w:pStyle w:val="134"/>
              <w:adjustRightInd w:val="0"/>
              <w:snapToGrid w:val="0"/>
              <w:ind w:firstLine="0" w:firstLineChars="0"/>
              <w:jc w:val="center"/>
              <w:rPr>
                <w:szCs w:val="21"/>
              </w:rPr>
            </w:pPr>
            <w:r>
              <w:rPr>
                <w:szCs w:val="21"/>
              </w:rPr>
              <w:t>18</w:t>
            </w:r>
          </w:p>
        </w:tc>
        <w:tc>
          <w:tcPr>
            <w:tcW w:w="1870" w:type="dxa"/>
            <w:vAlign w:val="center"/>
          </w:tcPr>
          <w:p>
            <w:pPr>
              <w:pStyle w:val="134"/>
              <w:adjustRightInd w:val="0"/>
              <w:snapToGrid w:val="0"/>
              <w:ind w:firstLine="0" w:firstLineChars="0"/>
              <w:jc w:val="center"/>
              <w:rPr>
                <w:szCs w:val="21"/>
              </w:rPr>
            </w:pPr>
            <w:r>
              <w:rPr>
                <w:szCs w:val="21"/>
              </w:rPr>
              <w:t>氟化物</w:t>
            </w:r>
          </w:p>
        </w:tc>
        <w:tc>
          <w:tcPr>
            <w:tcW w:w="1495" w:type="dxa"/>
            <w:vAlign w:val="center"/>
          </w:tcPr>
          <w:p>
            <w:pPr>
              <w:pStyle w:val="134"/>
              <w:adjustRightInd w:val="0"/>
              <w:snapToGrid w:val="0"/>
              <w:ind w:firstLine="0" w:firstLineChars="0"/>
              <w:jc w:val="center"/>
              <w:rPr>
                <w:szCs w:val="21"/>
              </w:rPr>
            </w:pPr>
            <w:r>
              <w:rPr>
                <w:szCs w:val="21"/>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232" w:hRule="atLeast"/>
          <w:jc w:val="center"/>
        </w:trPr>
        <w:tc>
          <w:tcPr>
            <w:tcW w:w="703"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rPr>
              <w:t>8</w:t>
            </w:r>
          </w:p>
        </w:tc>
        <w:tc>
          <w:tcPr>
            <w:tcW w:w="2053"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lang w:val="zh-CN"/>
              </w:rPr>
              <w:t>硫酸盐</w:t>
            </w:r>
          </w:p>
        </w:tc>
        <w:tc>
          <w:tcPr>
            <w:tcW w:w="1864"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rPr>
              <w:t>250</w:t>
            </w:r>
          </w:p>
        </w:tc>
        <w:tc>
          <w:tcPr>
            <w:tcW w:w="892" w:type="dxa"/>
            <w:vAlign w:val="center"/>
          </w:tcPr>
          <w:p>
            <w:pPr>
              <w:pStyle w:val="134"/>
              <w:adjustRightInd w:val="0"/>
              <w:snapToGrid w:val="0"/>
              <w:ind w:firstLine="0" w:firstLineChars="0"/>
              <w:jc w:val="center"/>
              <w:rPr>
                <w:szCs w:val="21"/>
              </w:rPr>
            </w:pPr>
            <w:r>
              <w:rPr>
                <w:rFonts w:hint="eastAsia"/>
                <w:szCs w:val="21"/>
              </w:rPr>
              <w:t>19</w:t>
            </w:r>
          </w:p>
        </w:tc>
        <w:tc>
          <w:tcPr>
            <w:tcW w:w="1870" w:type="dxa"/>
            <w:vAlign w:val="center"/>
          </w:tcPr>
          <w:p>
            <w:pPr>
              <w:pStyle w:val="134"/>
              <w:adjustRightInd w:val="0"/>
              <w:snapToGrid w:val="0"/>
              <w:ind w:firstLine="0" w:firstLineChars="0"/>
              <w:jc w:val="center"/>
              <w:rPr>
                <w:szCs w:val="21"/>
              </w:rPr>
            </w:pPr>
            <w:r>
              <w:rPr>
                <w:szCs w:val="21"/>
              </w:rPr>
              <w:t>氰化物</w:t>
            </w:r>
          </w:p>
        </w:tc>
        <w:tc>
          <w:tcPr>
            <w:tcW w:w="1495" w:type="dxa"/>
            <w:vAlign w:val="center"/>
          </w:tcPr>
          <w:p>
            <w:pPr>
              <w:pStyle w:val="134"/>
              <w:adjustRightInd w:val="0"/>
              <w:snapToGrid w:val="0"/>
              <w:ind w:firstLine="0" w:firstLineChars="0"/>
              <w:jc w:val="center"/>
              <w:rPr>
                <w:szCs w:val="21"/>
              </w:rPr>
            </w:pPr>
            <w:r>
              <w:rPr>
                <w:szCs w:val="21"/>
              </w:rPr>
              <w:t>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232" w:hRule="atLeast"/>
          <w:jc w:val="center"/>
        </w:trPr>
        <w:tc>
          <w:tcPr>
            <w:tcW w:w="703"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rPr>
              <w:t>9</w:t>
            </w:r>
          </w:p>
        </w:tc>
        <w:tc>
          <w:tcPr>
            <w:tcW w:w="2053" w:type="dxa"/>
            <w:tcMar>
              <w:top w:w="0" w:type="dxa"/>
              <w:left w:w="108" w:type="dxa"/>
              <w:bottom w:w="0" w:type="dxa"/>
              <w:right w:w="108" w:type="dxa"/>
            </w:tcMar>
            <w:vAlign w:val="center"/>
          </w:tcPr>
          <w:p>
            <w:pPr>
              <w:pStyle w:val="134"/>
              <w:adjustRightInd w:val="0"/>
              <w:snapToGrid w:val="0"/>
              <w:ind w:firstLine="0" w:firstLineChars="0"/>
              <w:jc w:val="center"/>
              <w:rPr>
                <w:bCs/>
                <w:szCs w:val="21"/>
              </w:rPr>
            </w:pPr>
            <w:r>
              <w:rPr>
                <w:szCs w:val="21"/>
                <w:lang w:val="zh-CN"/>
              </w:rPr>
              <w:t>氯化物</w:t>
            </w:r>
          </w:p>
        </w:tc>
        <w:tc>
          <w:tcPr>
            <w:tcW w:w="1864"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rPr>
              <w:t>250</w:t>
            </w:r>
          </w:p>
        </w:tc>
        <w:tc>
          <w:tcPr>
            <w:tcW w:w="892" w:type="dxa"/>
            <w:vAlign w:val="center"/>
          </w:tcPr>
          <w:p>
            <w:pPr>
              <w:pStyle w:val="134"/>
              <w:adjustRightInd w:val="0"/>
              <w:snapToGrid w:val="0"/>
              <w:ind w:firstLine="0" w:firstLineChars="0"/>
              <w:jc w:val="center"/>
              <w:rPr>
                <w:szCs w:val="21"/>
              </w:rPr>
            </w:pPr>
            <w:r>
              <w:rPr>
                <w:rFonts w:hint="eastAsia"/>
                <w:szCs w:val="21"/>
              </w:rPr>
              <w:t>20</w:t>
            </w:r>
          </w:p>
        </w:tc>
        <w:tc>
          <w:tcPr>
            <w:tcW w:w="1870" w:type="dxa"/>
            <w:vAlign w:val="center"/>
          </w:tcPr>
          <w:p>
            <w:pPr>
              <w:pStyle w:val="134"/>
              <w:adjustRightInd w:val="0"/>
              <w:snapToGrid w:val="0"/>
              <w:ind w:firstLine="0" w:firstLineChars="0"/>
              <w:jc w:val="center"/>
              <w:rPr>
                <w:szCs w:val="21"/>
              </w:rPr>
            </w:pPr>
            <w:r>
              <w:rPr>
                <w:rFonts w:hint="eastAsia"/>
                <w:szCs w:val="21"/>
              </w:rPr>
              <w:t>菌落总数</w:t>
            </w:r>
          </w:p>
        </w:tc>
        <w:tc>
          <w:tcPr>
            <w:tcW w:w="1495" w:type="dxa"/>
            <w:vAlign w:val="center"/>
          </w:tcPr>
          <w:p>
            <w:pPr>
              <w:pStyle w:val="134"/>
              <w:adjustRightInd w:val="0"/>
              <w:snapToGrid w:val="0"/>
              <w:ind w:firstLine="0" w:firstLineChars="0"/>
              <w:jc w:val="center"/>
              <w:rPr>
                <w:szCs w:val="21"/>
              </w:rPr>
            </w:pPr>
            <w:r>
              <w:rPr>
                <w:rFonts w:hint="eastAsia"/>
                <w:szCs w:val="21"/>
              </w:rPr>
              <w:t>100（CFU/mL）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232" w:hRule="atLeast"/>
          <w:jc w:val="center"/>
        </w:trPr>
        <w:tc>
          <w:tcPr>
            <w:tcW w:w="703"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rPr>
              <w:t>10</w:t>
            </w:r>
          </w:p>
        </w:tc>
        <w:tc>
          <w:tcPr>
            <w:tcW w:w="2053" w:type="dxa"/>
            <w:tcMar>
              <w:top w:w="0" w:type="dxa"/>
              <w:left w:w="108" w:type="dxa"/>
              <w:bottom w:w="0" w:type="dxa"/>
              <w:right w:w="108" w:type="dxa"/>
            </w:tcMar>
            <w:vAlign w:val="center"/>
          </w:tcPr>
          <w:p>
            <w:pPr>
              <w:pStyle w:val="134"/>
              <w:adjustRightInd w:val="0"/>
              <w:snapToGrid w:val="0"/>
              <w:ind w:firstLine="0" w:firstLineChars="0"/>
              <w:jc w:val="center"/>
              <w:rPr>
                <w:szCs w:val="21"/>
                <w:lang w:val="zh-CN"/>
              </w:rPr>
            </w:pPr>
            <w:r>
              <w:rPr>
                <w:szCs w:val="21"/>
                <w:lang w:val="zh-CN"/>
              </w:rPr>
              <w:t>硫化物</w:t>
            </w:r>
          </w:p>
        </w:tc>
        <w:tc>
          <w:tcPr>
            <w:tcW w:w="1864"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rFonts w:hint="eastAsia"/>
                <w:szCs w:val="21"/>
              </w:rPr>
              <w:t>0.02</w:t>
            </w:r>
          </w:p>
        </w:tc>
        <w:tc>
          <w:tcPr>
            <w:tcW w:w="892" w:type="dxa"/>
            <w:vAlign w:val="center"/>
          </w:tcPr>
          <w:p>
            <w:pPr>
              <w:pStyle w:val="134"/>
              <w:adjustRightInd w:val="0"/>
              <w:snapToGrid w:val="0"/>
              <w:ind w:firstLine="0" w:firstLineChars="0"/>
              <w:jc w:val="center"/>
              <w:rPr>
                <w:szCs w:val="21"/>
              </w:rPr>
            </w:pPr>
            <w:r>
              <w:rPr>
                <w:rFonts w:hint="eastAsia"/>
                <w:szCs w:val="21"/>
              </w:rPr>
              <w:t>21</w:t>
            </w:r>
          </w:p>
        </w:tc>
        <w:tc>
          <w:tcPr>
            <w:tcW w:w="1870" w:type="dxa"/>
            <w:vAlign w:val="center"/>
          </w:tcPr>
          <w:p>
            <w:pPr>
              <w:pStyle w:val="134"/>
              <w:adjustRightInd w:val="0"/>
              <w:snapToGrid w:val="0"/>
              <w:ind w:firstLine="0" w:firstLineChars="0"/>
              <w:jc w:val="center"/>
              <w:rPr>
                <w:szCs w:val="21"/>
              </w:rPr>
            </w:pPr>
            <w:r>
              <w:rPr>
                <w:rFonts w:hint="eastAsia"/>
                <w:szCs w:val="21"/>
              </w:rPr>
              <w:t>总大肠菌群</w:t>
            </w:r>
          </w:p>
        </w:tc>
        <w:tc>
          <w:tcPr>
            <w:tcW w:w="1495" w:type="dxa"/>
            <w:vAlign w:val="center"/>
          </w:tcPr>
          <w:p>
            <w:pPr>
              <w:pStyle w:val="134"/>
              <w:adjustRightInd w:val="0"/>
              <w:snapToGrid w:val="0"/>
              <w:ind w:firstLine="0" w:firstLineChars="0"/>
              <w:jc w:val="center"/>
              <w:rPr>
                <w:szCs w:val="21"/>
              </w:rPr>
            </w:pPr>
            <w:r>
              <w:rPr>
                <w:rFonts w:hint="eastAsia"/>
                <w:szCs w:val="21"/>
              </w:rPr>
              <w:t>3.0（MPN/100mL）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232" w:hRule="atLeast"/>
          <w:jc w:val="center"/>
        </w:trPr>
        <w:tc>
          <w:tcPr>
            <w:tcW w:w="703"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rPr>
              <w:t>11</w:t>
            </w:r>
          </w:p>
        </w:tc>
        <w:tc>
          <w:tcPr>
            <w:tcW w:w="2053"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lang w:val="zh-CN"/>
              </w:rPr>
              <w:t>砷</w:t>
            </w:r>
          </w:p>
        </w:tc>
        <w:tc>
          <w:tcPr>
            <w:tcW w:w="1864" w:type="dxa"/>
            <w:tcMar>
              <w:top w:w="0" w:type="dxa"/>
              <w:left w:w="108" w:type="dxa"/>
              <w:bottom w:w="0" w:type="dxa"/>
              <w:right w:w="108" w:type="dxa"/>
            </w:tcMar>
            <w:vAlign w:val="center"/>
          </w:tcPr>
          <w:p>
            <w:pPr>
              <w:pStyle w:val="134"/>
              <w:adjustRightInd w:val="0"/>
              <w:snapToGrid w:val="0"/>
              <w:ind w:firstLine="0" w:firstLineChars="0"/>
              <w:jc w:val="center"/>
              <w:rPr>
                <w:szCs w:val="21"/>
              </w:rPr>
            </w:pPr>
            <w:r>
              <w:rPr>
                <w:szCs w:val="21"/>
              </w:rPr>
              <w:t>0.01</w:t>
            </w:r>
          </w:p>
        </w:tc>
        <w:tc>
          <w:tcPr>
            <w:tcW w:w="892" w:type="dxa"/>
            <w:vAlign w:val="center"/>
          </w:tcPr>
          <w:p>
            <w:pPr>
              <w:pStyle w:val="134"/>
              <w:adjustRightInd w:val="0"/>
              <w:snapToGrid w:val="0"/>
              <w:ind w:firstLine="0" w:firstLineChars="0"/>
              <w:jc w:val="center"/>
              <w:rPr>
                <w:szCs w:val="21"/>
              </w:rPr>
            </w:pPr>
          </w:p>
        </w:tc>
        <w:tc>
          <w:tcPr>
            <w:tcW w:w="1870" w:type="dxa"/>
            <w:vAlign w:val="center"/>
          </w:tcPr>
          <w:p>
            <w:pPr>
              <w:pStyle w:val="134"/>
              <w:adjustRightInd w:val="0"/>
              <w:snapToGrid w:val="0"/>
              <w:ind w:firstLine="0" w:firstLineChars="0"/>
              <w:jc w:val="center"/>
              <w:rPr>
                <w:szCs w:val="21"/>
              </w:rPr>
            </w:pPr>
          </w:p>
        </w:tc>
        <w:tc>
          <w:tcPr>
            <w:tcW w:w="1495" w:type="dxa"/>
            <w:vAlign w:val="center"/>
          </w:tcPr>
          <w:p>
            <w:pPr>
              <w:pStyle w:val="134"/>
              <w:adjustRightInd w:val="0"/>
              <w:snapToGrid w:val="0"/>
              <w:ind w:firstLine="0" w:firstLineChars="0"/>
              <w:jc w:val="center"/>
              <w:rPr>
                <w:szCs w:val="21"/>
              </w:rPr>
            </w:pPr>
          </w:p>
        </w:tc>
      </w:tr>
    </w:tbl>
    <w:p>
      <w:pPr>
        <w:ind w:firstLine="482"/>
        <w:rPr>
          <w:rFonts w:ascii="Times New Roman" w:cs="Times New Roman"/>
          <w:b/>
        </w:rPr>
      </w:pPr>
      <w:r>
        <w:rPr>
          <w:rFonts w:ascii="Times New Roman" w:cs="Times New Roman"/>
          <w:b/>
        </w:rPr>
        <w:t>4、声环境质量标准</w:t>
      </w:r>
    </w:p>
    <w:p>
      <w:pPr>
        <w:pStyle w:val="112"/>
        <w:ind w:firstLine="480"/>
      </w:pPr>
      <w:r>
        <w:t>声环境质量执行《声环境质量标准》（GB3096-2008）中的2类声环境功能区标准。</w:t>
      </w:r>
    </w:p>
    <w:p>
      <w:pPr>
        <w:pStyle w:val="37"/>
        <w:rPr>
          <w:rFonts w:cs="Times New Roman"/>
        </w:rPr>
      </w:pPr>
      <w:r>
        <w:rPr>
          <w:rFonts w:cs="Times New Roman"/>
        </w:rPr>
        <w:t>表1.5-4  环境噪声标准限值（GB3096-2008）  单位：dB（A）</w:t>
      </w:r>
    </w:p>
    <w:tbl>
      <w:tblPr>
        <w:tblStyle w:val="57"/>
        <w:tblW w:w="5323"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200"/>
        <w:gridCol w:w="3321"/>
        <w:gridCol w:w="332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6" w:hRule="exact"/>
          <w:jc w:val="center"/>
        </w:trPr>
        <w:tc>
          <w:tcPr>
            <w:tcW w:w="1244" w:type="pct"/>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声环境功能区类别</w:t>
            </w:r>
          </w:p>
        </w:tc>
        <w:tc>
          <w:tcPr>
            <w:tcW w:w="1878" w:type="pct"/>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昼间</w:t>
            </w:r>
          </w:p>
        </w:tc>
        <w:tc>
          <w:tcPr>
            <w:tcW w:w="1878" w:type="pct"/>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夜间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6" w:hRule="exact"/>
          <w:jc w:val="center"/>
        </w:trPr>
        <w:tc>
          <w:tcPr>
            <w:tcW w:w="1244" w:type="pct"/>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2类</w:t>
            </w:r>
          </w:p>
        </w:tc>
        <w:tc>
          <w:tcPr>
            <w:tcW w:w="1878" w:type="pct"/>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60</w:t>
            </w:r>
          </w:p>
        </w:tc>
        <w:tc>
          <w:tcPr>
            <w:tcW w:w="1878" w:type="pct"/>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50</w:t>
            </w:r>
          </w:p>
        </w:tc>
      </w:tr>
    </w:tbl>
    <w:p>
      <w:pPr>
        <w:pStyle w:val="112"/>
        <w:ind w:firstLine="482"/>
        <w:rPr>
          <w:b/>
          <w:bCs/>
        </w:rPr>
      </w:pPr>
      <w:r>
        <w:rPr>
          <w:b/>
          <w:bCs/>
        </w:rPr>
        <w:t>5、土壤环境质量标准</w:t>
      </w:r>
    </w:p>
    <w:p>
      <w:pPr>
        <w:pStyle w:val="112"/>
        <w:ind w:firstLine="480"/>
      </w:pPr>
      <w:r>
        <w:t>项目</w:t>
      </w:r>
      <w:r>
        <w:rPr>
          <w:rFonts w:hint="eastAsia"/>
        </w:rPr>
        <w:t>周边</w:t>
      </w:r>
      <w:r>
        <w:t>区域属于农业用地，土壤环境质量执行《土壤环境质量</w:t>
      </w:r>
      <w:r>
        <w:rPr>
          <w:rFonts w:hint="eastAsia"/>
        </w:rPr>
        <w:t xml:space="preserve"> </w:t>
      </w:r>
      <w:r>
        <w:t>农用地土壤污染风险管控标准（试行）》（GB15618-2018）中风险筛选值标准</w:t>
      </w:r>
      <w:r>
        <w:rPr>
          <w:rFonts w:hint="eastAsia"/>
        </w:rPr>
        <w:t>；项目涉及的普陆4集气平台内土壤执行</w:t>
      </w:r>
      <w:r>
        <w:t>《土壤环境质量 建设用地土壤污染风险管控标准（试行）》（GB 36600-2018）</w:t>
      </w:r>
      <w:r>
        <w:rPr>
          <w:rFonts w:hint="eastAsia"/>
        </w:rPr>
        <w:t>第二类用地</w:t>
      </w:r>
      <w:r>
        <w:t>风险筛选值。</w:t>
      </w:r>
    </w:p>
    <w:p>
      <w:pPr>
        <w:pStyle w:val="37"/>
        <w:rPr>
          <w:rFonts w:cs="Times New Roman"/>
        </w:rPr>
      </w:pPr>
      <w:r>
        <w:rPr>
          <w:rFonts w:cs="Times New Roman"/>
        </w:rPr>
        <w:t>表1.5-5  农用地土壤污染风险筛选值（基本项目）   单位mg/kg</w:t>
      </w:r>
    </w:p>
    <w:tbl>
      <w:tblPr>
        <w:tblStyle w:val="5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4"/>
        <w:gridCol w:w="720"/>
        <w:gridCol w:w="1398"/>
        <w:gridCol w:w="1221"/>
        <w:gridCol w:w="1430"/>
        <w:gridCol w:w="1761"/>
        <w:gridCol w:w="12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789" w:type="dxa"/>
            <w:vMerge w:val="restart"/>
            <w:tcBorders>
              <w:top w:val="single" w:color="000000" w:sz="12" w:space="0"/>
              <w:left w:val="nil"/>
              <w:bottom w:val="single" w:color="000000" w:sz="2" w:space="0"/>
              <w:right w:val="single" w:color="000000" w:sz="2" w:space="0"/>
            </w:tcBorders>
            <w:vAlign w:val="center"/>
          </w:tcPr>
          <w:p>
            <w:pPr>
              <w:pStyle w:val="37"/>
              <w:spacing w:line="240" w:lineRule="auto"/>
              <w:rPr>
                <w:rFonts w:cs="Times New Roman"/>
              </w:rPr>
            </w:pPr>
            <w:r>
              <w:rPr>
                <w:rFonts w:cs="Times New Roman"/>
              </w:rPr>
              <w:t>序号</w:t>
            </w:r>
          </w:p>
        </w:tc>
        <w:tc>
          <w:tcPr>
            <w:tcW w:w="2265" w:type="dxa"/>
            <w:gridSpan w:val="2"/>
            <w:vMerge w:val="restart"/>
            <w:tcBorders>
              <w:top w:val="single" w:color="000000" w:sz="12" w:space="0"/>
              <w:left w:val="single" w:color="000000" w:sz="2" w:space="0"/>
              <w:bottom w:val="single" w:color="000000" w:sz="2" w:space="0"/>
              <w:right w:val="single" w:color="000000" w:sz="2" w:space="0"/>
            </w:tcBorders>
            <w:vAlign w:val="center"/>
          </w:tcPr>
          <w:p>
            <w:pPr>
              <w:pStyle w:val="37"/>
              <w:spacing w:line="240" w:lineRule="auto"/>
              <w:rPr>
                <w:rFonts w:cs="Times New Roman"/>
              </w:rPr>
            </w:pPr>
            <w:r>
              <w:rPr>
                <w:rFonts w:cs="Times New Roman"/>
              </w:rPr>
              <w:t>污染物项目</w:t>
            </w:r>
          </w:p>
        </w:tc>
        <w:tc>
          <w:tcPr>
            <w:tcW w:w="6083" w:type="dxa"/>
            <w:gridSpan w:val="4"/>
            <w:tcBorders>
              <w:top w:val="single" w:color="000000" w:sz="12" w:space="0"/>
              <w:left w:val="single" w:color="000000" w:sz="2" w:space="0"/>
              <w:bottom w:val="single" w:color="000000" w:sz="2" w:space="0"/>
              <w:right w:val="nil"/>
            </w:tcBorders>
            <w:vAlign w:val="center"/>
          </w:tcPr>
          <w:p>
            <w:pPr>
              <w:pStyle w:val="37"/>
              <w:spacing w:line="240" w:lineRule="auto"/>
              <w:rPr>
                <w:rFonts w:cs="Times New Roman"/>
              </w:rPr>
            </w:pPr>
            <w:r>
              <w:rPr>
                <w:rFonts w:cs="Times New Roman"/>
              </w:rPr>
              <w:t>风险筛选值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789" w:type="dxa"/>
            <w:vMerge w:val="continue"/>
            <w:tcBorders>
              <w:top w:val="single" w:color="000000" w:sz="2" w:space="0"/>
              <w:left w:val="nil"/>
              <w:bottom w:val="single" w:color="000000" w:sz="2" w:space="0"/>
              <w:right w:val="single" w:color="000000" w:sz="2" w:space="0"/>
            </w:tcBorders>
            <w:vAlign w:val="center"/>
          </w:tcPr>
          <w:p>
            <w:pPr>
              <w:pStyle w:val="37"/>
              <w:spacing w:line="240" w:lineRule="auto"/>
              <w:rPr>
                <w:rFonts w:cs="Times New Roman"/>
              </w:rPr>
            </w:pPr>
          </w:p>
        </w:tc>
        <w:tc>
          <w:tcPr>
            <w:tcW w:w="2265" w:type="dxa"/>
            <w:gridSpan w:val="2"/>
            <w:vMerge w:val="continue"/>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rPr>
            </w:pP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rPr>
            </w:pPr>
            <w:r>
              <w:rPr>
                <w:rFonts w:cs="Times New Roman"/>
              </w:rPr>
              <w:t>pH≤5.5</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rPr>
            </w:pPr>
            <w:r>
              <w:rPr>
                <w:rFonts w:cs="Times New Roman"/>
              </w:rPr>
              <w:t>5.5＜pH≤6.5</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rPr>
            </w:pPr>
            <w:r>
              <w:rPr>
                <w:rFonts w:cs="Times New Roman"/>
              </w:rPr>
              <w:t>6.5＜pH≤7.5</w:t>
            </w:r>
          </w:p>
        </w:tc>
        <w:tc>
          <w:tcPr>
            <w:tcW w:w="1339" w:type="dxa"/>
            <w:tcBorders>
              <w:top w:val="single" w:color="000000" w:sz="2" w:space="0"/>
              <w:left w:val="single" w:color="000000" w:sz="2" w:space="0"/>
              <w:bottom w:val="single" w:color="000000" w:sz="2" w:space="0"/>
              <w:right w:val="nil"/>
            </w:tcBorders>
            <w:vAlign w:val="center"/>
          </w:tcPr>
          <w:p>
            <w:pPr>
              <w:pStyle w:val="37"/>
              <w:spacing w:line="240" w:lineRule="auto"/>
              <w:rPr>
                <w:rFonts w:cs="Times New Roman"/>
              </w:rPr>
            </w:pPr>
            <w:r>
              <w:rPr>
                <w:rFonts w:cs="Times New Roman"/>
              </w:rPr>
              <w:t>pH＞7.5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89" w:type="dxa"/>
            <w:vMerge w:val="restart"/>
            <w:tcBorders>
              <w:top w:val="single" w:color="000000" w:sz="2" w:space="0"/>
              <w:left w:val="nil"/>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1</w:t>
            </w:r>
          </w:p>
        </w:tc>
        <w:tc>
          <w:tcPr>
            <w:tcW w:w="763" w:type="dxa"/>
            <w:vMerge w:val="restart"/>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镉</w:t>
            </w: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水田</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0.3</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0.4</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0.6</w:t>
            </w:r>
          </w:p>
        </w:tc>
        <w:tc>
          <w:tcPr>
            <w:tcW w:w="1339" w:type="dxa"/>
            <w:tcBorders>
              <w:top w:val="single" w:color="000000" w:sz="2" w:space="0"/>
              <w:left w:val="single" w:color="000000" w:sz="2" w:space="0"/>
              <w:bottom w:val="single" w:color="000000" w:sz="2" w:space="0"/>
              <w:right w:val="nil"/>
            </w:tcBorders>
            <w:vAlign w:val="center"/>
          </w:tcPr>
          <w:p>
            <w:pPr>
              <w:pStyle w:val="37"/>
              <w:spacing w:line="240" w:lineRule="auto"/>
              <w:rPr>
                <w:rFonts w:cs="Times New Roman"/>
                <w:b w:val="0"/>
                <w:bCs/>
              </w:rPr>
            </w:pPr>
            <w:r>
              <w:rPr>
                <w:rFonts w:cs="Times New Roman"/>
                <w:b w:val="0"/>
                <w:bCs/>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789" w:type="dxa"/>
            <w:vMerge w:val="continue"/>
            <w:tcBorders>
              <w:top w:val="single" w:color="000000" w:sz="2" w:space="0"/>
              <w:left w:val="nil"/>
              <w:bottom w:val="single" w:color="000000" w:sz="2" w:space="0"/>
              <w:right w:val="single" w:color="000000" w:sz="2" w:space="0"/>
            </w:tcBorders>
            <w:vAlign w:val="center"/>
          </w:tcPr>
          <w:p>
            <w:pPr>
              <w:pStyle w:val="37"/>
              <w:spacing w:line="240" w:lineRule="auto"/>
              <w:rPr>
                <w:rFonts w:cs="Times New Roman"/>
                <w:b w:val="0"/>
                <w:bCs/>
              </w:rPr>
            </w:pPr>
          </w:p>
        </w:tc>
        <w:tc>
          <w:tcPr>
            <w:tcW w:w="763" w:type="dxa"/>
            <w:vMerge w:val="continue"/>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其他</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0.3</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0.3</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0.3</w:t>
            </w:r>
          </w:p>
        </w:tc>
        <w:tc>
          <w:tcPr>
            <w:tcW w:w="1339" w:type="dxa"/>
            <w:tcBorders>
              <w:top w:val="single" w:color="000000" w:sz="2" w:space="0"/>
              <w:left w:val="single" w:color="000000" w:sz="2" w:space="0"/>
              <w:bottom w:val="single" w:color="000000" w:sz="2" w:space="0"/>
              <w:right w:val="nil"/>
            </w:tcBorders>
            <w:vAlign w:val="center"/>
          </w:tcPr>
          <w:p>
            <w:pPr>
              <w:pStyle w:val="37"/>
              <w:spacing w:line="240" w:lineRule="auto"/>
              <w:rPr>
                <w:rFonts w:cs="Times New Roman"/>
                <w:b w:val="0"/>
                <w:bCs/>
              </w:rPr>
            </w:pPr>
            <w:r>
              <w:rPr>
                <w:rFonts w:cs="Times New Roman"/>
                <w:b w:val="0"/>
                <w:bCs/>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789" w:type="dxa"/>
            <w:vMerge w:val="restart"/>
            <w:tcBorders>
              <w:top w:val="single" w:color="000000" w:sz="2" w:space="0"/>
              <w:left w:val="nil"/>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2</w:t>
            </w:r>
          </w:p>
        </w:tc>
        <w:tc>
          <w:tcPr>
            <w:tcW w:w="763" w:type="dxa"/>
            <w:vMerge w:val="restart"/>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汞</w:t>
            </w: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水田</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0.5</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0.5</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0.6</w:t>
            </w:r>
          </w:p>
        </w:tc>
        <w:tc>
          <w:tcPr>
            <w:tcW w:w="1339" w:type="dxa"/>
            <w:tcBorders>
              <w:top w:val="single" w:color="000000" w:sz="2" w:space="0"/>
              <w:left w:val="single" w:color="000000" w:sz="2" w:space="0"/>
              <w:bottom w:val="single" w:color="000000" w:sz="2" w:space="0"/>
              <w:right w:val="nil"/>
            </w:tcBorders>
            <w:vAlign w:val="center"/>
          </w:tcPr>
          <w:p>
            <w:pPr>
              <w:pStyle w:val="37"/>
              <w:spacing w:line="240" w:lineRule="auto"/>
              <w:rPr>
                <w:rFonts w:cs="Times New Roman"/>
                <w:b w:val="0"/>
                <w:bCs/>
              </w:rPr>
            </w:pPr>
            <w:r>
              <w:rPr>
                <w:rFonts w:cs="Times New Roman"/>
                <w:b w:val="0"/>
                <w:bCs/>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89" w:type="dxa"/>
            <w:vMerge w:val="continue"/>
            <w:tcBorders>
              <w:top w:val="single" w:color="000000" w:sz="2" w:space="0"/>
              <w:left w:val="nil"/>
              <w:bottom w:val="single" w:color="000000" w:sz="2" w:space="0"/>
              <w:right w:val="single" w:color="000000" w:sz="2" w:space="0"/>
            </w:tcBorders>
            <w:vAlign w:val="center"/>
          </w:tcPr>
          <w:p>
            <w:pPr>
              <w:pStyle w:val="37"/>
              <w:spacing w:line="240" w:lineRule="auto"/>
              <w:rPr>
                <w:rFonts w:cs="Times New Roman"/>
                <w:b w:val="0"/>
                <w:bCs/>
              </w:rPr>
            </w:pPr>
          </w:p>
        </w:tc>
        <w:tc>
          <w:tcPr>
            <w:tcW w:w="763" w:type="dxa"/>
            <w:vMerge w:val="continue"/>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其他</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1.3</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1.8</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2.4</w:t>
            </w:r>
          </w:p>
        </w:tc>
        <w:tc>
          <w:tcPr>
            <w:tcW w:w="1339" w:type="dxa"/>
            <w:tcBorders>
              <w:top w:val="single" w:color="000000" w:sz="2" w:space="0"/>
              <w:left w:val="single" w:color="000000" w:sz="2" w:space="0"/>
              <w:bottom w:val="single" w:color="000000" w:sz="2" w:space="0"/>
              <w:right w:val="nil"/>
            </w:tcBorders>
            <w:vAlign w:val="center"/>
          </w:tcPr>
          <w:p>
            <w:pPr>
              <w:pStyle w:val="37"/>
              <w:spacing w:line="240" w:lineRule="auto"/>
              <w:rPr>
                <w:rFonts w:cs="Times New Roman"/>
                <w:b w:val="0"/>
                <w:bCs/>
              </w:rPr>
            </w:pPr>
            <w:r>
              <w:rPr>
                <w:rFonts w:cs="Times New Roman"/>
                <w:b w:val="0"/>
                <w:bCs/>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789" w:type="dxa"/>
            <w:vMerge w:val="restart"/>
            <w:tcBorders>
              <w:top w:val="single" w:color="000000" w:sz="2" w:space="0"/>
              <w:left w:val="nil"/>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3</w:t>
            </w:r>
          </w:p>
        </w:tc>
        <w:tc>
          <w:tcPr>
            <w:tcW w:w="763" w:type="dxa"/>
            <w:vMerge w:val="restart"/>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砷</w:t>
            </w: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水田</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30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30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25</w:t>
            </w:r>
          </w:p>
        </w:tc>
        <w:tc>
          <w:tcPr>
            <w:tcW w:w="1339" w:type="dxa"/>
            <w:tcBorders>
              <w:top w:val="single" w:color="000000" w:sz="2" w:space="0"/>
              <w:left w:val="single" w:color="000000" w:sz="2" w:space="0"/>
              <w:bottom w:val="single" w:color="000000" w:sz="2" w:space="0"/>
              <w:right w:val="nil"/>
            </w:tcBorders>
            <w:vAlign w:val="center"/>
          </w:tcPr>
          <w:p>
            <w:pPr>
              <w:pStyle w:val="37"/>
              <w:spacing w:line="240" w:lineRule="auto"/>
              <w:rPr>
                <w:rFonts w:cs="Times New Roman"/>
                <w:b w:val="0"/>
                <w:bCs/>
              </w:rPr>
            </w:pPr>
            <w:r>
              <w:rPr>
                <w:rFonts w:cs="Times New Roman"/>
                <w:b w:val="0"/>
                <w:bCs/>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89" w:type="dxa"/>
            <w:vMerge w:val="continue"/>
            <w:tcBorders>
              <w:top w:val="single" w:color="000000" w:sz="2" w:space="0"/>
              <w:left w:val="nil"/>
              <w:bottom w:val="single" w:color="000000" w:sz="2" w:space="0"/>
              <w:right w:val="single" w:color="000000" w:sz="2" w:space="0"/>
            </w:tcBorders>
            <w:vAlign w:val="center"/>
          </w:tcPr>
          <w:p>
            <w:pPr>
              <w:pStyle w:val="37"/>
              <w:spacing w:line="240" w:lineRule="auto"/>
              <w:rPr>
                <w:rFonts w:cs="Times New Roman"/>
                <w:b w:val="0"/>
                <w:bCs/>
              </w:rPr>
            </w:pPr>
          </w:p>
        </w:tc>
        <w:tc>
          <w:tcPr>
            <w:tcW w:w="763" w:type="dxa"/>
            <w:vMerge w:val="continue"/>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其他</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40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40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30</w:t>
            </w:r>
          </w:p>
        </w:tc>
        <w:tc>
          <w:tcPr>
            <w:tcW w:w="1339" w:type="dxa"/>
            <w:tcBorders>
              <w:top w:val="single" w:color="000000" w:sz="2" w:space="0"/>
              <w:left w:val="single" w:color="000000" w:sz="2" w:space="0"/>
              <w:bottom w:val="single" w:color="000000" w:sz="2" w:space="0"/>
              <w:right w:val="nil"/>
            </w:tcBorders>
            <w:vAlign w:val="center"/>
          </w:tcPr>
          <w:p>
            <w:pPr>
              <w:pStyle w:val="37"/>
              <w:spacing w:line="240" w:lineRule="auto"/>
              <w:rPr>
                <w:rFonts w:cs="Times New Roman"/>
                <w:b w:val="0"/>
                <w:bCs/>
              </w:rPr>
            </w:pPr>
            <w:r>
              <w:rPr>
                <w:rFonts w:cs="Times New Roman"/>
                <w:b w:val="0"/>
                <w:bCs/>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789" w:type="dxa"/>
            <w:vMerge w:val="restart"/>
            <w:tcBorders>
              <w:top w:val="single" w:color="000000" w:sz="2" w:space="0"/>
              <w:left w:val="nil"/>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4</w:t>
            </w:r>
          </w:p>
        </w:tc>
        <w:tc>
          <w:tcPr>
            <w:tcW w:w="763" w:type="dxa"/>
            <w:vMerge w:val="restart"/>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铅</w:t>
            </w: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水田</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80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100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140</w:t>
            </w:r>
          </w:p>
        </w:tc>
        <w:tc>
          <w:tcPr>
            <w:tcW w:w="1339" w:type="dxa"/>
            <w:tcBorders>
              <w:top w:val="single" w:color="000000" w:sz="2" w:space="0"/>
              <w:left w:val="single" w:color="000000" w:sz="2" w:space="0"/>
              <w:bottom w:val="single" w:color="000000" w:sz="2" w:space="0"/>
              <w:right w:val="nil"/>
            </w:tcBorders>
            <w:vAlign w:val="center"/>
          </w:tcPr>
          <w:p>
            <w:pPr>
              <w:pStyle w:val="37"/>
              <w:spacing w:line="240" w:lineRule="auto"/>
              <w:rPr>
                <w:rFonts w:cs="Times New Roman"/>
                <w:b w:val="0"/>
                <w:bCs/>
              </w:rPr>
            </w:pPr>
            <w:r>
              <w:rPr>
                <w:rFonts w:cs="Times New Roman"/>
                <w:b w:val="0"/>
                <w:bCs/>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789" w:type="dxa"/>
            <w:vMerge w:val="continue"/>
            <w:tcBorders>
              <w:top w:val="single" w:color="000000" w:sz="2" w:space="0"/>
              <w:left w:val="nil"/>
              <w:bottom w:val="single" w:color="000000" w:sz="2" w:space="0"/>
              <w:right w:val="single" w:color="000000" w:sz="2" w:space="0"/>
            </w:tcBorders>
            <w:vAlign w:val="center"/>
          </w:tcPr>
          <w:p>
            <w:pPr>
              <w:pStyle w:val="37"/>
              <w:spacing w:line="240" w:lineRule="auto"/>
              <w:rPr>
                <w:rFonts w:cs="Times New Roman"/>
                <w:b w:val="0"/>
                <w:bCs/>
              </w:rPr>
            </w:pPr>
          </w:p>
        </w:tc>
        <w:tc>
          <w:tcPr>
            <w:tcW w:w="763" w:type="dxa"/>
            <w:vMerge w:val="continue"/>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其他</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70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90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120</w:t>
            </w:r>
          </w:p>
        </w:tc>
        <w:tc>
          <w:tcPr>
            <w:tcW w:w="1339" w:type="dxa"/>
            <w:tcBorders>
              <w:top w:val="single" w:color="000000" w:sz="2" w:space="0"/>
              <w:left w:val="single" w:color="000000" w:sz="2" w:space="0"/>
              <w:bottom w:val="single" w:color="000000" w:sz="2" w:space="0"/>
              <w:right w:val="nil"/>
            </w:tcBorders>
            <w:vAlign w:val="center"/>
          </w:tcPr>
          <w:p>
            <w:pPr>
              <w:pStyle w:val="37"/>
              <w:spacing w:line="240" w:lineRule="auto"/>
              <w:rPr>
                <w:rFonts w:cs="Times New Roman"/>
                <w:b w:val="0"/>
                <w:bCs/>
              </w:rPr>
            </w:pPr>
            <w:r>
              <w:rPr>
                <w:rFonts w:cs="Times New Roman"/>
                <w:b w:val="0"/>
                <w:bCs/>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789" w:type="dxa"/>
            <w:vMerge w:val="restart"/>
            <w:tcBorders>
              <w:top w:val="single" w:color="000000" w:sz="2" w:space="0"/>
              <w:left w:val="nil"/>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5</w:t>
            </w:r>
          </w:p>
        </w:tc>
        <w:tc>
          <w:tcPr>
            <w:tcW w:w="763" w:type="dxa"/>
            <w:vMerge w:val="restart"/>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铬</w:t>
            </w: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水田</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250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250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300</w:t>
            </w:r>
          </w:p>
        </w:tc>
        <w:tc>
          <w:tcPr>
            <w:tcW w:w="1339" w:type="dxa"/>
            <w:tcBorders>
              <w:top w:val="single" w:color="000000" w:sz="2" w:space="0"/>
              <w:left w:val="single" w:color="000000" w:sz="2" w:space="0"/>
              <w:bottom w:val="single" w:color="000000" w:sz="2" w:space="0"/>
              <w:right w:val="nil"/>
            </w:tcBorders>
            <w:vAlign w:val="center"/>
          </w:tcPr>
          <w:p>
            <w:pPr>
              <w:pStyle w:val="37"/>
              <w:spacing w:line="240" w:lineRule="auto"/>
              <w:rPr>
                <w:rFonts w:cs="Times New Roman"/>
                <w:b w:val="0"/>
                <w:bCs/>
              </w:rPr>
            </w:pPr>
            <w:r>
              <w:rPr>
                <w:rFonts w:cs="Times New Roman"/>
                <w:b w:val="0"/>
                <w:bCs/>
              </w:rPr>
              <w: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89" w:type="dxa"/>
            <w:vMerge w:val="continue"/>
            <w:tcBorders>
              <w:top w:val="single" w:color="000000" w:sz="2" w:space="0"/>
              <w:left w:val="nil"/>
              <w:bottom w:val="single" w:color="000000" w:sz="2" w:space="0"/>
              <w:right w:val="single" w:color="000000" w:sz="2" w:space="0"/>
            </w:tcBorders>
            <w:vAlign w:val="center"/>
          </w:tcPr>
          <w:p>
            <w:pPr>
              <w:pStyle w:val="37"/>
              <w:spacing w:line="240" w:lineRule="auto"/>
              <w:rPr>
                <w:rFonts w:cs="Times New Roman"/>
                <w:b w:val="0"/>
                <w:bCs/>
              </w:rPr>
            </w:pPr>
          </w:p>
        </w:tc>
        <w:tc>
          <w:tcPr>
            <w:tcW w:w="763" w:type="dxa"/>
            <w:vMerge w:val="continue"/>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其他</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150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150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200</w:t>
            </w:r>
          </w:p>
        </w:tc>
        <w:tc>
          <w:tcPr>
            <w:tcW w:w="1339" w:type="dxa"/>
            <w:tcBorders>
              <w:top w:val="single" w:color="000000" w:sz="2" w:space="0"/>
              <w:left w:val="single" w:color="000000" w:sz="2" w:space="0"/>
              <w:bottom w:val="single" w:color="000000" w:sz="2" w:space="0"/>
              <w:right w:val="nil"/>
            </w:tcBorders>
            <w:vAlign w:val="center"/>
          </w:tcPr>
          <w:p>
            <w:pPr>
              <w:pStyle w:val="37"/>
              <w:spacing w:line="240" w:lineRule="auto"/>
              <w:rPr>
                <w:rFonts w:cs="Times New Roman"/>
                <w:b w:val="0"/>
                <w:bCs/>
              </w:rPr>
            </w:pPr>
            <w:r>
              <w:rPr>
                <w:rFonts w:cs="Times New Roman"/>
                <w:b w:val="0"/>
                <w:bCs/>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789" w:type="dxa"/>
            <w:vMerge w:val="restart"/>
            <w:tcBorders>
              <w:top w:val="single" w:color="000000" w:sz="2" w:space="0"/>
              <w:left w:val="nil"/>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6</w:t>
            </w:r>
          </w:p>
        </w:tc>
        <w:tc>
          <w:tcPr>
            <w:tcW w:w="763" w:type="dxa"/>
            <w:vMerge w:val="restart"/>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铜</w:t>
            </w: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果园</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150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150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200</w:t>
            </w:r>
          </w:p>
        </w:tc>
        <w:tc>
          <w:tcPr>
            <w:tcW w:w="1339" w:type="dxa"/>
            <w:tcBorders>
              <w:top w:val="single" w:color="000000" w:sz="2" w:space="0"/>
              <w:left w:val="single" w:color="000000" w:sz="2" w:space="0"/>
              <w:bottom w:val="single" w:color="000000" w:sz="2" w:space="0"/>
              <w:right w:val="nil"/>
            </w:tcBorders>
            <w:vAlign w:val="center"/>
          </w:tcPr>
          <w:p>
            <w:pPr>
              <w:pStyle w:val="37"/>
              <w:spacing w:line="240" w:lineRule="auto"/>
              <w:rPr>
                <w:rFonts w:cs="Times New Roman"/>
                <w:b w:val="0"/>
                <w:bCs/>
              </w:rPr>
            </w:pPr>
            <w:r>
              <w:rPr>
                <w:rFonts w:cs="Times New Roman"/>
                <w:b w:val="0"/>
                <w:bCs/>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 w:hRule="atLeast"/>
          <w:jc w:val="center"/>
        </w:trPr>
        <w:tc>
          <w:tcPr>
            <w:tcW w:w="789" w:type="dxa"/>
            <w:vMerge w:val="continue"/>
            <w:tcBorders>
              <w:top w:val="single" w:color="000000" w:sz="2" w:space="0"/>
              <w:left w:val="nil"/>
              <w:bottom w:val="single" w:color="000000" w:sz="2" w:space="0"/>
              <w:right w:val="single" w:color="000000" w:sz="2" w:space="0"/>
            </w:tcBorders>
            <w:vAlign w:val="center"/>
          </w:tcPr>
          <w:p>
            <w:pPr>
              <w:pStyle w:val="37"/>
              <w:spacing w:line="240" w:lineRule="auto"/>
              <w:rPr>
                <w:rFonts w:cs="Times New Roman"/>
                <w:b w:val="0"/>
                <w:bCs/>
              </w:rPr>
            </w:pPr>
          </w:p>
        </w:tc>
        <w:tc>
          <w:tcPr>
            <w:tcW w:w="763" w:type="dxa"/>
            <w:vMerge w:val="continue"/>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其他</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50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50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100</w:t>
            </w:r>
          </w:p>
        </w:tc>
        <w:tc>
          <w:tcPr>
            <w:tcW w:w="1339" w:type="dxa"/>
            <w:tcBorders>
              <w:top w:val="single" w:color="000000" w:sz="2" w:space="0"/>
              <w:left w:val="single" w:color="000000" w:sz="2" w:space="0"/>
              <w:bottom w:val="single" w:color="000000" w:sz="2" w:space="0"/>
              <w:right w:val="nil"/>
            </w:tcBorders>
            <w:vAlign w:val="center"/>
          </w:tcPr>
          <w:p>
            <w:pPr>
              <w:pStyle w:val="37"/>
              <w:spacing w:line="240" w:lineRule="auto"/>
              <w:rPr>
                <w:rFonts w:cs="Times New Roman"/>
                <w:b w:val="0"/>
                <w:bCs/>
              </w:rPr>
            </w:pPr>
            <w:r>
              <w:rPr>
                <w:rFonts w:cs="Times New Roman"/>
                <w:b w:val="0"/>
                <w:bCs/>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 w:hRule="atLeast"/>
          <w:jc w:val="center"/>
        </w:trPr>
        <w:tc>
          <w:tcPr>
            <w:tcW w:w="789" w:type="dxa"/>
            <w:tcBorders>
              <w:top w:val="single" w:color="000000" w:sz="2" w:space="0"/>
              <w:left w:val="nil"/>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7</w:t>
            </w:r>
          </w:p>
        </w:tc>
        <w:tc>
          <w:tcPr>
            <w:tcW w:w="2265" w:type="dxa"/>
            <w:gridSpan w:val="2"/>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镍</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60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70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100</w:t>
            </w:r>
          </w:p>
        </w:tc>
        <w:tc>
          <w:tcPr>
            <w:tcW w:w="1339" w:type="dxa"/>
            <w:tcBorders>
              <w:top w:val="single" w:color="000000" w:sz="2" w:space="0"/>
              <w:left w:val="single" w:color="000000" w:sz="2" w:space="0"/>
              <w:bottom w:val="single" w:color="000000" w:sz="2" w:space="0"/>
              <w:right w:val="nil"/>
            </w:tcBorders>
            <w:vAlign w:val="center"/>
          </w:tcPr>
          <w:p>
            <w:pPr>
              <w:pStyle w:val="37"/>
              <w:spacing w:line="240" w:lineRule="auto"/>
              <w:rPr>
                <w:rFonts w:cs="Times New Roman"/>
                <w:b w:val="0"/>
                <w:bCs/>
              </w:rPr>
            </w:pPr>
            <w:r>
              <w:rPr>
                <w:rFonts w:cs="Times New Roman"/>
                <w:b w:val="0"/>
                <w:bCs/>
              </w:rPr>
              <w:t>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789" w:type="dxa"/>
            <w:tcBorders>
              <w:top w:val="single" w:color="000000" w:sz="2" w:space="0"/>
              <w:left w:val="nil"/>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8</w:t>
            </w:r>
          </w:p>
        </w:tc>
        <w:tc>
          <w:tcPr>
            <w:tcW w:w="2265" w:type="dxa"/>
            <w:gridSpan w:val="2"/>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锌</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200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200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37"/>
              <w:spacing w:line="240" w:lineRule="auto"/>
              <w:rPr>
                <w:rFonts w:cs="Times New Roman"/>
                <w:b w:val="0"/>
                <w:bCs/>
              </w:rPr>
            </w:pPr>
            <w:r>
              <w:rPr>
                <w:rFonts w:cs="Times New Roman"/>
                <w:b w:val="0"/>
                <w:bCs/>
              </w:rPr>
              <w:t>250</w:t>
            </w:r>
          </w:p>
        </w:tc>
        <w:tc>
          <w:tcPr>
            <w:tcW w:w="1339" w:type="dxa"/>
            <w:tcBorders>
              <w:top w:val="single" w:color="000000" w:sz="2" w:space="0"/>
              <w:left w:val="single" w:color="000000" w:sz="2" w:space="0"/>
              <w:bottom w:val="single" w:color="000000" w:sz="2" w:space="0"/>
              <w:right w:val="nil"/>
            </w:tcBorders>
            <w:vAlign w:val="center"/>
          </w:tcPr>
          <w:p>
            <w:pPr>
              <w:pStyle w:val="37"/>
              <w:spacing w:line="240" w:lineRule="auto"/>
              <w:rPr>
                <w:rFonts w:cs="Times New Roman"/>
                <w:b w:val="0"/>
                <w:bCs/>
              </w:rPr>
            </w:pPr>
            <w:r>
              <w:rPr>
                <w:rFonts w:cs="Times New Roman"/>
                <w:b w:val="0"/>
                <w:bCs/>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37" w:type="dxa"/>
            <w:gridSpan w:val="7"/>
            <w:tcBorders>
              <w:top w:val="single" w:color="000000" w:sz="2" w:space="0"/>
              <w:left w:val="nil"/>
              <w:bottom w:val="single" w:color="000000" w:sz="12" w:space="0"/>
              <w:right w:val="nil"/>
            </w:tcBorders>
            <w:vAlign w:val="center"/>
          </w:tcPr>
          <w:p>
            <w:pPr>
              <w:pStyle w:val="37"/>
              <w:spacing w:line="240" w:lineRule="auto"/>
              <w:rPr>
                <w:rFonts w:cs="Times New Roman"/>
                <w:b w:val="0"/>
                <w:bCs/>
              </w:rPr>
            </w:pPr>
            <w:r>
              <w:rPr>
                <w:rFonts w:cs="Times New Roman"/>
                <w:b w:val="0"/>
                <w:bCs/>
              </w:rPr>
              <w:t>注：重金属和类金属砷均按元素总量计。对于水旱轮作地，采用较严格的风险筛选值。</w:t>
            </w:r>
          </w:p>
        </w:tc>
      </w:tr>
    </w:tbl>
    <w:p>
      <w:pPr>
        <w:pStyle w:val="112"/>
        <w:ind w:firstLine="422"/>
        <w:rPr>
          <w:b/>
          <w:sz w:val="21"/>
          <w:szCs w:val="21"/>
        </w:rPr>
      </w:pPr>
      <w:r>
        <w:rPr>
          <w:b/>
          <w:sz w:val="21"/>
          <w:szCs w:val="21"/>
        </w:rPr>
        <w:t>表1.5-</w:t>
      </w:r>
      <w:r>
        <w:rPr>
          <w:rFonts w:hint="eastAsia"/>
          <w:b/>
          <w:sz w:val="21"/>
          <w:szCs w:val="21"/>
        </w:rPr>
        <w:t>6  土壤环境质量 建设用地土壤污染风险管控标准（试行） 单位：mg/kg</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9"/>
        <w:gridCol w:w="2489"/>
        <w:gridCol w:w="2489"/>
        <w:gridCol w:w="26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9" w:type="dxa"/>
            <w:vMerge w:val="restart"/>
            <w:vAlign w:val="center"/>
          </w:tcPr>
          <w:p>
            <w:pPr>
              <w:pStyle w:val="107"/>
              <w:rPr>
                <w:b/>
                <w:sz w:val="21"/>
                <w:szCs w:val="21"/>
              </w:rPr>
            </w:pPr>
            <w:r>
              <w:rPr>
                <w:b/>
                <w:sz w:val="21"/>
                <w:szCs w:val="21"/>
              </w:rPr>
              <w:t>序号</w:t>
            </w:r>
          </w:p>
        </w:tc>
        <w:tc>
          <w:tcPr>
            <w:tcW w:w="2489" w:type="dxa"/>
            <w:vMerge w:val="restart"/>
            <w:vAlign w:val="center"/>
          </w:tcPr>
          <w:p>
            <w:pPr>
              <w:pStyle w:val="107"/>
              <w:rPr>
                <w:b/>
                <w:sz w:val="21"/>
                <w:szCs w:val="21"/>
              </w:rPr>
            </w:pPr>
            <w:r>
              <w:rPr>
                <w:b/>
                <w:sz w:val="21"/>
                <w:szCs w:val="21"/>
              </w:rPr>
              <w:t>污染物项目</w:t>
            </w:r>
          </w:p>
        </w:tc>
        <w:tc>
          <w:tcPr>
            <w:tcW w:w="2489" w:type="dxa"/>
            <w:vAlign w:val="center"/>
          </w:tcPr>
          <w:p>
            <w:pPr>
              <w:pStyle w:val="107"/>
              <w:rPr>
                <w:b/>
                <w:sz w:val="21"/>
                <w:szCs w:val="21"/>
              </w:rPr>
            </w:pPr>
            <w:r>
              <w:rPr>
                <w:b/>
                <w:sz w:val="21"/>
                <w:szCs w:val="21"/>
              </w:rPr>
              <w:t>筛选值</w:t>
            </w:r>
          </w:p>
        </w:tc>
        <w:tc>
          <w:tcPr>
            <w:tcW w:w="2645" w:type="dxa"/>
            <w:vAlign w:val="center"/>
          </w:tcPr>
          <w:p>
            <w:pPr>
              <w:pStyle w:val="107"/>
              <w:rPr>
                <w:b/>
                <w:sz w:val="21"/>
                <w:szCs w:val="21"/>
              </w:rPr>
            </w:pPr>
            <w:r>
              <w:rPr>
                <w:b/>
                <w:sz w:val="21"/>
                <w:szCs w:val="21"/>
              </w:rPr>
              <w:t>管制值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Merge w:val="continue"/>
            <w:vAlign w:val="center"/>
          </w:tcPr>
          <w:p>
            <w:pPr>
              <w:pStyle w:val="107"/>
              <w:rPr>
                <w:b/>
                <w:sz w:val="21"/>
                <w:szCs w:val="21"/>
              </w:rPr>
            </w:pPr>
          </w:p>
        </w:tc>
        <w:tc>
          <w:tcPr>
            <w:tcW w:w="2693" w:type="dxa"/>
            <w:vMerge w:val="continue"/>
            <w:vAlign w:val="center"/>
          </w:tcPr>
          <w:p>
            <w:pPr>
              <w:pStyle w:val="107"/>
              <w:rPr>
                <w:b/>
                <w:sz w:val="21"/>
                <w:szCs w:val="21"/>
              </w:rPr>
            </w:pPr>
          </w:p>
        </w:tc>
        <w:tc>
          <w:tcPr>
            <w:tcW w:w="2693" w:type="dxa"/>
            <w:vAlign w:val="center"/>
          </w:tcPr>
          <w:p>
            <w:pPr>
              <w:pStyle w:val="107"/>
              <w:rPr>
                <w:b/>
                <w:sz w:val="21"/>
                <w:szCs w:val="21"/>
              </w:rPr>
            </w:pPr>
            <w:r>
              <w:rPr>
                <w:b/>
                <w:sz w:val="21"/>
                <w:szCs w:val="21"/>
              </w:rPr>
              <w:t>第二类用地</w:t>
            </w:r>
          </w:p>
        </w:tc>
        <w:tc>
          <w:tcPr>
            <w:tcW w:w="2863" w:type="dxa"/>
            <w:vAlign w:val="center"/>
          </w:tcPr>
          <w:p>
            <w:pPr>
              <w:pStyle w:val="107"/>
              <w:rPr>
                <w:b/>
                <w:sz w:val="21"/>
                <w:szCs w:val="21"/>
              </w:rPr>
            </w:pPr>
            <w:r>
              <w:rPr>
                <w:b/>
                <w:sz w:val="21"/>
                <w:szCs w:val="21"/>
              </w:rPr>
              <w:t>第二类用地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208" w:type="dxa"/>
            <w:gridSpan w:val="4"/>
            <w:vAlign w:val="center"/>
          </w:tcPr>
          <w:p>
            <w:pPr>
              <w:pStyle w:val="107"/>
              <w:jc w:val="both"/>
              <w:rPr>
                <w:sz w:val="21"/>
                <w:szCs w:val="21"/>
              </w:rPr>
            </w:pPr>
            <w:r>
              <w:rPr>
                <w:sz w:val="21"/>
                <w:szCs w:val="21"/>
              </w:rPr>
              <w:t>重金属和无机物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1</w:t>
            </w:r>
          </w:p>
        </w:tc>
        <w:tc>
          <w:tcPr>
            <w:tcW w:w="2693" w:type="dxa"/>
            <w:vAlign w:val="center"/>
          </w:tcPr>
          <w:p>
            <w:pPr>
              <w:pStyle w:val="107"/>
              <w:rPr>
                <w:sz w:val="21"/>
                <w:szCs w:val="21"/>
              </w:rPr>
            </w:pPr>
            <w:r>
              <w:rPr>
                <w:sz w:val="21"/>
                <w:szCs w:val="21"/>
              </w:rPr>
              <w:t>砷</w:t>
            </w:r>
          </w:p>
        </w:tc>
        <w:tc>
          <w:tcPr>
            <w:tcW w:w="2693" w:type="dxa"/>
            <w:vAlign w:val="center"/>
          </w:tcPr>
          <w:p>
            <w:pPr>
              <w:pStyle w:val="107"/>
              <w:rPr>
                <w:sz w:val="21"/>
                <w:szCs w:val="21"/>
              </w:rPr>
            </w:pPr>
            <w:r>
              <w:rPr>
                <w:sz w:val="21"/>
                <w:szCs w:val="21"/>
              </w:rPr>
              <w:t>60</w:t>
            </w:r>
          </w:p>
        </w:tc>
        <w:tc>
          <w:tcPr>
            <w:tcW w:w="2863" w:type="dxa"/>
            <w:vAlign w:val="center"/>
          </w:tcPr>
          <w:p>
            <w:pPr>
              <w:pStyle w:val="107"/>
              <w:rPr>
                <w:sz w:val="21"/>
                <w:szCs w:val="21"/>
              </w:rPr>
            </w:pPr>
            <w:r>
              <w:rPr>
                <w:sz w:val="21"/>
                <w:szCs w:val="21"/>
              </w:rPr>
              <w:t>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2</w:t>
            </w:r>
          </w:p>
        </w:tc>
        <w:tc>
          <w:tcPr>
            <w:tcW w:w="2693" w:type="dxa"/>
            <w:vAlign w:val="center"/>
          </w:tcPr>
          <w:p>
            <w:pPr>
              <w:pStyle w:val="107"/>
              <w:rPr>
                <w:sz w:val="21"/>
                <w:szCs w:val="21"/>
              </w:rPr>
            </w:pPr>
            <w:r>
              <w:rPr>
                <w:sz w:val="21"/>
                <w:szCs w:val="21"/>
              </w:rPr>
              <w:t>镉</w:t>
            </w:r>
          </w:p>
        </w:tc>
        <w:tc>
          <w:tcPr>
            <w:tcW w:w="2693" w:type="dxa"/>
            <w:vAlign w:val="center"/>
          </w:tcPr>
          <w:p>
            <w:pPr>
              <w:pStyle w:val="107"/>
              <w:rPr>
                <w:sz w:val="21"/>
                <w:szCs w:val="21"/>
              </w:rPr>
            </w:pPr>
            <w:r>
              <w:rPr>
                <w:sz w:val="21"/>
                <w:szCs w:val="21"/>
              </w:rPr>
              <w:t>65</w:t>
            </w:r>
          </w:p>
        </w:tc>
        <w:tc>
          <w:tcPr>
            <w:tcW w:w="2863" w:type="dxa"/>
            <w:vAlign w:val="center"/>
          </w:tcPr>
          <w:p>
            <w:pPr>
              <w:pStyle w:val="107"/>
              <w:rPr>
                <w:sz w:val="21"/>
                <w:szCs w:val="21"/>
              </w:rPr>
            </w:pPr>
            <w:r>
              <w:rPr>
                <w:sz w:val="21"/>
                <w:szCs w:val="21"/>
              </w:rPr>
              <w:t>172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3</w:t>
            </w:r>
          </w:p>
        </w:tc>
        <w:tc>
          <w:tcPr>
            <w:tcW w:w="2693" w:type="dxa"/>
            <w:vAlign w:val="center"/>
          </w:tcPr>
          <w:p>
            <w:pPr>
              <w:pStyle w:val="107"/>
              <w:rPr>
                <w:sz w:val="21"/>
                <w:szCs w:val="21"/>
              </w:rPr>
            </w:pPr>
            <w:r>
              <w:rPr>
                <w:sz w:val="21"/>
                <w:szCs w:val="21"/>
              </w:rPr>
              <w:t>铬（六价）</w:t>
            </w:r>
          </w:p>
        </w:tc>
        <w:tc>
          <w:tcPr>
            <w:tcW w:w="2693" w:type="dxa"/>
            <w:vAlign w:val="center"/>
          </w:tcPr>
          <w:p>
            <w:pPr>
              <w:pStyle w:val="107"/>
              <w:rPr>
                <w:sz w:val="21"/>
                <w:szCs w:val="21"/>
              </w:rPr>
            </w:pPr>
            <w:r>
              <w:rPr>
                <w:sz w:val="21"/>
                <w:szCs w:val="21"/>
              </w:rPr>
              <w:t>5.7</w:t>
            </w:r>
          </w:p>
        </w:tc>
        <w:tc>
          <w:tcPr>
            <w:tcW w:w="2863" w:type="dxa"/>
            <w:vAlign w:val="center"/>
          </w:tcPr>
          <w:p>
            <w:pPr>
              <w:pStyle w:val="107"/>
              <w:rPr>
                <w:sz w:val="21"/>
                <w:szCs w:val="21"/>
              </w:rPr>
            </w:pPr>
            <w:r>
              <w:rPr>
                <w:sz w:val="21"/>
                <w:szCs w:val="21"/>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4</w:t>
            </w:r>
          </w:p>
        </w:tc>
        <w:tc>
          <w:tcPr>
            <w:tcW w:w="2693" w:type="dxa"/>
            <w:vAlign w:val="center"/>
          </w:tcPr>
          <w:p>
            <w:pPr>
              <w:pStyle w:val="107"/>
              <w:rPr>
                <w:sz w:val="21"/>
                <w:szCs w:val="21"/>
              </w:rPr>
            </w:pPr>
            <w:r>
              <w:rPr>
                <w:sz w:val="21"/>
                <w:szCs w:val="21"/>
              </w:rPr>
              <w:t>铜</w:t>
            </w:r>
          </w:p>
        </w:tc>
        <w:tc>
          <w:tcPr>
            <w:tcW w:w="2693" w:type="dxa"/>
            <w:vAlign w:val="center"/>
          </w:tcPr>
          <w:p>
            <w:pPr>
              <w:pStyle w:val="107"/>
              <w:rPr>
                <w:sz w:val="21"/>
                <w:szCs w:val="21"/>
              </w:rPr>
            </w:pPr>
            <w:r>
              <w:rPr>
                <w:sz w:val="21"/>
                <w:szCs w:val="21"/>
              </w:rPr>
              <w:t>18000</w:t>
            </w:r>
          </w:p>
        </w:tc>
        <w:tc>
          <w:tcPr>
            <w:tcW w:w="2863" w:type="dxa"/>
            <w:vAlign w:val="center"/>
          </w:tcPr>
          <w:p>
            <w:pPr>
              <w:pStyle w:val="107"/>
              <w:rPr>
                <w:sz w:val="21"/>
                <w:szCs w:val="21"/>
              </w:rPr>
            </w:pPr>
            <w:r>
              <w:rPr>
                <w:sz w:val="21"/>
                <w:szCs w:val="21"/>
              </w:rPr>
              <w:t>36000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5</w:t>
            </w:r>
          </w:p>
        </w:tc>
        <w:tc>
          <w:tcPr>
            <w:tcW w:w="2693" w:type="dxa"/>
            <w:vAlign w:val="center"/>
          </w:tcPr>
          <w:p>
            <w:pPr>
              <w:pStyle w:val="107"/>
              <w:rPr>
                <w:sz w:val="21"/>
                <w:szCs w:val="21"/>
              </w:rPr>
            </w:pPr>
            <w:r>
              <w:rPr>
                <w:sz w:val="21"/>
                <w:szCs w:val="21"/>
              </w:rPr>
              <w:t>铅</w:t>
            </w:r>
          </w:p>
        </w:tc>
        <w:tc>
          <w:tcPr>
            <w:tcW w:w="2693" w:type="dxa"/>
            <w:vAlign w:val="center"/>
          </w:tcPr>
          <w:p>
            <w:pPr>
              <w:pStyle w:val="107"/>
              <w:rPr>
                <w:sz w:val="21"/>
                <w:szCs w:val="21"/>
              </w:rPr>
            </w:pPr>
            <w:r>
              <w:rPr>
                <w:sz w:val="21"/>
                <w:szCs w:val="21"/>
              </w:rPr>
              <w:t>800</w:t>
            </w:r>
          </w:p>
        </w:tc>
        <w:tc>
          <w:tcPr>
            <w:tcW w:w="2863" w:type="dxa"/>
            <w:vAlign w:val="center"/>
          </w:tcPr>
          <w:p>
            <w:pPr>
              <w:pStyle w:val="107"/>
              <w:rPr>
                <w:sz w:val="21"/>
                <w:szCs w:val="21"/>
              </w:rPr>
            </w:pPr>
            <w:r>
              <w:rPr>
                <w:sz w:val="21"/>
                <w:szCs w:val="21"/>
              </w:rPr>
              <w:t>2500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6</w:t>
            </w:r>
          </w:p>
        </w:tc>
        <w:tc>
          <w:tcPr>
            <w:tcW w:w="2693" w:type="dxa"/>
            <w:vAlign w:val="center"/>
          </w:tcPr>
          <w:p>
            <w:pPr>
              <w:pStyle w:val="107"/>
              <w:rPr>
                <w:sz w:val="21"/>
                <w:szCs w:val="21"/>
              </w:rPr>
            </w:pPr>
            <w:r>
              <w:rPr>
                <w:sz w:val="21"/>
                <w:szCs w:val="21"/>
              </w:rPr>
              <w:t>汞</w:t>
            </w:r>
          </w:p>
        </w:tc>
        <w:tc>
          <w:tcPr>
            <w:tcW w:w="2693" w:type="dxa"/>
            <w:vAlign w:val="center"/>
          </w:tcPr>
          <w:p>
            <w:pPr>
              <w:pStyle w:val="107"/>
              <w:rPr>
                <w:sz w:val="21"/>
                <w:szCs w:val="21"/>
              </w:rPr>
            </w:pPr>
            <w:r>
              <w:rPr>
                <w:sz w:val="21"/>
                <w:szCs w:val="21"/>
              </w:rPr>
              <w:t>38</w:t>
            </w:r>
          </w:p>
        </w:tc>
        <w:tc>
          <w:tcPr>
            <w:tcW w:w="2863" w:type="dxa"/>
            <w:vAlign w:val="center"/>
          </w:tcPr>
          <w:p>
            <w:pPr>
              <w:pStyle w:val="107"/>
              <w:rPr>
                <w:sz w:val="21"/>
                <w:szCs w:val="21"/>
              </w:rPr>
            </w:pPr>
            <w:r>
              <w:rPr>
                <w:sz w:val="21"/>
                <w:szCs w:val="21"/>
              </w:rPr>
              <w:t>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7</w:t>
            </w:r>
          </w:p>
        </w:tc>
        <w:tc>
          <w:tcPr>
            <w:tcW w:w="2693" w:type="dxa"/>
            <w:vAlign w:val="center"/>
          </w:tcPr>
          <w:p>
            <w:pPr>
              <w:pStyle w:val="107"/>
              <w:rPr>
                <w:sz w:val="21"/>
                <w:szCs w:val="21"/>
              </w:rPr>
            </w:pPr>
            <w:r>
              <w:rPr>
                <w:sz w:val="21"/>
                <w:szCs w:val="21"/>
              </w:rPr>
              <w:t>镍</w:t>
            </w:r>
          </w:p>
        </w:tc>
        <w:tc>
          <w:tcPr>
            <w:tcW w:w="2693" w:type="dxa"/>
            <w:vAlign w:val="center"/>
          </w:tcPr>
          <w:p>
            <w:pPr>
              <w:pStyle w:val="107"/>
              <w:rPr>
                <w:sz w:val="21"/>
                <w:szCs w:val="21"/>
              </w:rPr>
            </w:pPr>
            <w:r>
              <w:rPr>
                <w:sz w:val="21"/>
                <w:szCs w:val="21"/>
              </w:rPr>
              <w:t>900</w:t>
            </w:r>
          </w:p>
        </w:tc>
        <w:tc>
          <w:tcPr>
            <w:tcW w:w="2863" w:type="dxa"/>
            <w:vAlign w:val="center"/>
          </w:tcPr>
          <w:p>
            <w:pPr>
              <w:pStyle w:val="107"/>
              <w:rPr>
                <w:sz w:val="21"/>
                <w:szCs w:val="21"/>
              </w:rPr>
            </w:pPr>
            <w:r>
              <w:rPr>
                <w:sz w:val="21"/>
                <w:szCs w:val="21"/>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208" w:type="dxa"/>
            <w:gridSpan w:val="4"/>
            <w:vAlign w:val="center"/>
          </w:tcPr>
          <w:p>
            <w:pPr>
              <w:pStyle w:val="107"/>
              <w:jc w:val="both"/>
              <w:rPr>
                <w:sz w:val="21"/>
                <w:szCs w:val="21"/>
              </w:rPr>
            </w:pPr>
            <w:r>
              <w:rPr>
                <w:sz w:val="21"/>
                <w:szCs w:val="21"/>
              </w:rPr>
              <w:t>挥发性有机物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8</w:t>
            </w:r>
          </w:p>
        </w:tc>
        <w:tc>
          <w:tcPr>
            <w:tcW w:w="2693" w:type="dxa"/>
            <w:vAlign w:val="center"/>
          </w:tcPr>
          <w:p>
            <w:pPr>
              <w:pStyle w:val="107"/>
              <w:rPr>
                <w:sz w:val="21"/>
                <w:szCs w:val="21"/>
              </w:rPr>
            </w:pPr>
            <w:r>
              <w:rPr>
                <w:sz w:val="21"/>
                <w:szCs w:val="21"/>
              </w:rPr>
              <w:t>四氯化碳</w:t>
            </w:r>
          </w:p>
        </w:tc>
        <w:tc>
          <w:tcPr>
            <w:tcW w:w="2693" w:type="dxa"/>
            <w:vAlign w:val="center"/>
          </w:tcPr>
          <w:p>
            <w:pPr>
              <w:pStyle w:val="107"/>
              <w:rPr>
                <w:sz w:val="21"/>
                <w:szCs w:val="21"/>
              </w:rPr>
            </w:pPr>
            <w:r>
              <w:rPr>
                <w:sz w:val="21"/>
                <w:szCs w:val="21"/>
              </w:rPr>
              <w:t>2.8</w:t>
            </w:r>
          </w:p>
        </w:tc>
        <w:tc>
          <w:tcPr>
            <w:tcW w:w="2863" w:type="dxa"/>
            <w:vAlign w:val="center"/>
          </w:tcPr>
          <w:p>
            <w:pPr>
              <w:pStyle w:val="107"/>
              <w:rPr>
                <w:sz w:val="21"/>
                <w:szCs w:val="21"/>
              </w:rPr>
            </w:pPr>
            <w:r>
              <w:rPr>
                <w:sz w:val="21"/>
                <w:szCs w:val="21"/>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9</w:t>
            </w:r>
          </w:p>
        </w:tc>
        <w:tc>
          <w:tcPr>
            <w:tcW w:w="2693" w:type="dxa"/>
            <w:vAlign w:val="center"/>
          </w:tcPr>
          <w:p>
            <w:pPr>
              <w:pStyle w:val="107"/>
              <w:rPr>
                <w:sz w:val="21"/>
                <w:szCs w:val="21"/>
              </w:rPr>
            </w:pPr>
            <w:r>
              <w:rPr>
                <w:sz w:val="21"/>
                <w:szCs w:val="21"/>
              </w:rPr>
              <w:t>氯仿</w:t>
            </w:r>
          </w:p>
        </w:tc>
        <w:tc>
          <w:tcPr>
            <w:tcW w:w="2693" w:type="dxa"/>
            <w:vAlign w:val="center"/>
          </w:tcPr>
          <w:p>
            <w:pPr>
              <w:pStyle w:val="107"/>
              <w:rPr>
                <w:sz w:val="21"/>
                <w:szCs w:val="21"/>
              </w:rPr>
            </w:pPr>
            <w:r>
              <w:rPr>
                <w:sz w:val="21"/>
                <w:szCs w:val="21"/>
              </w:rPr>
              <w:t>0.9</w:t>
            </w:r>
          </w:p>
        </w:tc>
        <w:tc>
          <w:tcPr>
            <w:tcW w:w="2863" w:type="dxa"/>
            <w:vAlign w:val="center"/>
          </w:tcPr>
          <w:p>
            <w:pPr>
              <w:pStyle w:val="107"/>
              <w:rPr>
                <w:sz w:val="21"/>
                <w:szCs w:val="21"/>
              </w:rPr>
            </w:pPr>
            <w:r>
              <w:rPr>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10</w:t>
            </w:r>
          </w:p>
        </w:tc>
        <w:tc>
          <w:tcPr>
            <w:tcW w:w="2693" w:type="dxa"/>
            <w:vAlign w:val="center"/>
          </w:tcPr>
          <w:p>
            <w:pPr>
              <w:pStyle w:val="107"/>
              <w:rPr>
                <w:sz w:val="21"/>
                <w:szCs w:val="21"/>
              </w:rPr>
            </w:pPr>
            <w:r>
              <w:rPr>
                <w:sz w:val="21"/>
                <w:szCs w:val="21"/>
              </w:rPr>
              <w:t>氯甲烷</w:t>
            </w:r>
          </w:p>
        </w:tc>
        <w:tc>
          <w:tcPr>
            <w:tcW w:w="2693" w:type="dxa"/>
            <w:vAlign w:val="center"/>
          </w:tcPr>
          <w:p>
            <w:pPr>
              <w:pStyle w:val="107"/>
              <w:rPr>
                <w:sz w:val="21"/>
                <w:szCs w:val="21"/>
              </w:rPr>
            </w:pPr>
            <w:r>
              <w:rPr>
                <w:sz w:val="21"/>
                <w:szCs w:val="21"/>
              </w:rPr>
              <w:t>37</w:t>
            </w:r>
          </w:p>
        </w:tc>
        <w:tc>
          <w:tcPr>
            <w:tcW w:w="2863" w:type="dxa"/>
            <w:vAlign w:val="center"/>
          </w:tcPr>
          <w:p>
            <w:pPr>
              <w:pStyle w:val="107"/>
              <w:rPr>
                <w:sz w:val="21"/>
                <w:szCs w:val="21"/>
              </w:rPr>
            </w:pPr>
            <w:r>
              <w:rPr>
                <w:sz w:val="21"/>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11</w:t>
            </w:r>
          </w:p>
        </w:tc>
        <w:tc>
          <w:tcPr>
            <w:tcW w:w="2693" w:type="dxa"/>
            <w:vAlign w:val="center"/>
          </w:tcPr>
          <w:p>
            <w:pPr>
              <w:pStyle w:val="107"/>
              <w:rPr>
                <w:sz w:val="21"/>
                <w:szCs w:val="21"/>
              </w:rPr>
            </w:pPr>
            <w:r>
              <w:rPr>
                <w:sz w:val="21"/>
                <w:szCs w:val="21"/>
              </w:rPr>
              <w:t>1,1-二氯乙烷</w:t>
            </w:r>
          </w:p>
        </w:tc>
        <w:tc>
          <w:tcPr>
            <w:tcW w:w="2693" w:type="dxa"/>
            <w:vAlign w:val="center"/>
          </w:tcPr>
          <w:p>
            <w:pPr>
              <w:pStyle w:val="107"/>
              <w:rPr>
                <w:sz w:val="21"/>
                <w:szCs w:val="21"/>
              </w:rPr>
            </w:pPr>
            <w:r>
              <w:rPr>
                <w:sz w:val="21"/>
                <w:szCs w:val="21"/>
              </w:rPr>
              <w:t>9</w:t>
            </w:r>
          </w:p>
        </w:tc>
        <w:tc>
          <w:tcPr>
            <w:tcW w:w="2863" w:type="dxa"/>
            <w:vAlign w:val="center"/>
          </w:tcPr>
          <w:p>
            <w:pPr>
              <w:pStyle w:val="107"/>
              <w:rPr>
                <w:sz w:val="21"/>
                <w:szCs w:val="21"/>
              </w:rPr>
            </w:pPr>
            <w:r>
              <w:rPr>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12</w:t>
            </w:r>
          </w:p>
        </w:tc>
        <w:tc>
          <w:tcPr>
            <w:tcW w:w="2693" w:type="dxa"/>
            <w:vAlign w:val="center"/>
          </w:tcPr>
          <w:p>
            <w:pPr>
              <w:pStyle w:val="107"/>
              <w:rPr>
                <w:sz w:val="21"/>
                <w:szCs w:val="21"/>
              </w:rPr>
            </w:pPr>
            <w:r>
              <w:rPr>
                <w:sz w:val="21"/>
                <w:szCs w:val="21"/>
              </w:rPr>
              <w:t>1,2-二氯乙烷</w:t>
            </w:r>
          </w:p>
        </w:tc>
        <w:tc>
          <w:tcPr>
            <w:tcW w:w="2693" w:type="dxa"/>
            <w:vAlign w:val="center"/>
          </w:tcPr>
          <w:p>
            <w:pPr>
              <w:pStyle w:val="107"/>
              <w:rPr>
                <w:sz w:val="21"/>
                <w:szCs w:val="21"/>
              </w:rPr>
            </w:pPr>
            <w:r>
              <w:rPr>
                <w:sz w:val="21"/>
                <w:szCs w:val="21"/>
              </w:rPr>
              <w:t>5</w:t>
            </w:r>
          </w:p>
        </w:tc>
        <w:tc>
          <w:tcPr>
            <w:tcW w:w="2863" w:type="dxa"/>
            <w:vAlign w:val="center"/>
          </w:tcPr>
          <w:p>
            <w:pPr>
              <w:pStyle w:val="107"/>
              <w:rPr>
                <w:sz w:val="21"/>
                <w:szCs w:val="21"/>
              </w:rPr>
            </w:pPr>
            <w:r>
              <w:rPr>
                <w:sz w:val="21"/>
                <w:szCs w:val="21"/>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13</w:t>
            </w:r>
          </w:p>
        </w:tc>
        <w:tc>
          <w:tcPr>
            <w:tcW w:w="2693" w:type="dxa"/>
            <w:vAlign w:val="center"/>
          </w:tcPr>
          <w:p>
            <w:pPr>
              <w:pStyle w:val="107"/>
              <w:rPr>
                <w:sz w:val="21"/>
                <w:szCs w:val="21"/>
              </w:rPr>
            </w:pPr>
            <w:r>
              <w:rPr>
                <w:sz w:val="21"/>
                <w:szCs w:val="21"/>
              </w:rPr>
              <w:t>1,1-二氯乙烯</w:t>
            </w:r>
          </w:p>
        </w:tc>
        <w:tc>
          <w:tcPr>
            <w:tcW w:w="2693" w:type="dxa"/>
            <w:vAlign w:val="center"/>
          </w:tcPr>
          <w:p>
            <w:pPr>
              <w:pStyle w:val="107"/>
              <w:rPr>
                <w:sz w:val="21"/>
                <w:szCs w:val="21"/>
              </w:rPr>
            </w:pPr>
            <w:r>
              <w:rPr>
                <w:sz w:val="21"/>
                <w:szCs w:val="21"/>
              </w:rPr>
              <w:t>66</w:t>
            </w:r>
          </w:p>
        </w:tc>
        <w:tc>
          <w:tcPr>
            <w:tcW w:w="2863" w:type="dxa"/>
            <w:vAlign w:val="center"/>
          </w:tcPr>
          <w:p>
            <w:pPr>
              <w:pStyle w:val="107"/>
              <w:rPr>
                <w:sz w:val="21"/>
                <w:szCs w:val="21"/>
              </w:rPr>
            </w:pPr>
            <w:r>
              <w:rPr>
                <w:sz w:val="21"/>
                <w:szCs w:val="21"/>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14</w:t>
            </w:r>
          </w:p>
        </w:tc>
        <w:tc>
          <w:tcPr>
            <w:tcW w:w="2693" w:type="dxa"/>
            <w:vAlign w:val="center"/>
          </w:tcPr>
          <w:p>
            <w:pPr>
              <w:pStyle w:val="107"/>
              <w:rPr>
                <w:sz w:val="21"/>
                <w:szCs w:val="21"/>
              </w:rPr>
            </w:pPr>
            <w:r>
              <w:rPr>
                <w:sz w:val="21"/>
                <w:szCs w:val="21"/>
              </w:rPr>
              <w:t>顺1,2-二氯乙烯</w:t>
            </w:r>
          </w:p>
        </w:tc>
        <w:tc>
          <w:tcPr>
            <w:tcW w:w="2693" w:type="dxa"/>
            <w:vAlign w:val="center"/>
          </w:tcPr>
          <w:p>
            <w:pPr>
              <w:pStyle w:val="107"/>
              <w:rPr>
                <w:sz w:val="21"/>
                <w:szCs w:val="21"/>
              </w:rPr>
            </w:pPr>
            <w:r>
              <w:rPr>
                <w:sz w:val="21"/>
                <w:szCs w:val="21"/>
              </w:rPr>
              <w:t>596</w:t>
            </w:r>
          </w:p>
        </w:tc>
        <w:tc>
          <w:tcPr>
            <w:tcW w:w="2863" w:type="dxa"/>
            <w:vAlign w:val="center"/>
          </w:tcPr>
          <w:p>
            <w:pPr>
              <w:pStyle w:val="107"/>
              <w:rPr>
                <w:sz w:val="21"/>
                <w:szCs w:val="21"/>
              </w:rPr>
            </w:pPr>
            <w:r>
              <w:rPr>
                <w:sz w:val="21"/>
                <w:szCs w:val="21"/>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15</w:t>
            </w:r>
          </w:p>
        </w:tc>
        <w:tc>
          <w:tcPr>
            <w:tcW w:w="2693" w:type="dxa"/>
            <w:vAlign w:val="center"/>
          </w:tcPr>
          <w:p>
            <w:pPr>
              <w:pStyle w:val="107"/>
              <w:rPr>
                <w:sz w:val="21"/>
                <w:szCs w:val="21"/>
              </w:rPr>
            </w:pPr>
            <w:r>
              <w:rPr>
                <w:sz w:val="21"/>
                <w:szCs w:val="21"/>
              </w:rPr>
              <w:t>反1,2-二氯乙烯</w:t>
            </w:r>
          </w:p>
        </w:tc>
        <w:tc>
          <w:tcPr>
            <w:tcW w:w="2693" w:type="dxa"/>
            <w:vAlign w:val="center"/>
          </w:tcPr>
          <w:p>
            <w:pPr>
              <w:pStyle w:val="107"/>
              <w:rPr>
                <w:sz w:val="21"/>
                <w:szCs w:val="21"/>
              </w:rPr>
            </w:pPr>
            <w:r>
              <w:rPr>
                <w:sz w:val="21"/>
                <w:szCs w:val="21"/>
              </w:rPr>
              <w:t>54</w:t>
            </w:r>
          </w:p>
        </w:tc>
        <w:tc>
          <w:tcPr>
            <w:tcW w:w="2863" w:type="dxa"/>
            <w:vAlign w:val="center"/>
          </w:tcPr>
          <w:p>
            <w:pPr>
              <w:pStyle w:val="107"/>
              <w:rPr>
                <w:sz w:val="21"/>
                <w:szCs w:val="21"/>
              </w:rPr>
            </w:pPr>
            <w:r>
              <w:rPr>
                <w:sz w:val="21"/>
                <w:szCs w:val="21"/>
              </w:rPr>
              <w:t>163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16</w:t>
            </w:r>
          </w:p>
        </w:tc>
        <w:tc>
          <w:tcPr>
            <w:tcW w:w="2693" w:type="dxa"/>
            <w:vAlign w:val="center"/>
          </w:tcPr>
          <w:p>
            <w:pPr>
              <w:pStyle w:val="107"/>
              <w:rPr>
                <w:sz w:val="21"/>
                <w:szCs w:val="21"/>
              </w:rPr>
            </w:pPr>
            <w:r>
              <w:rPr>
                <w:sz w:val="21"/>
                <w:szCs w:val="21"/>
              </w:rPr>
              <w:t>二氯甲烷</w:t>
            </w:r>
          </w:p>
        </w:tc>
        <w:tc>
          <w:tcPr>
            <w:tcW w:w="2693" w:type="dxa"/>
            <w:vAlign w:val="center"/>
          </w:tcPr>
          <w:p>
            <w:pPr>
              <w:pStyle w:val="107"/>
              <w:rPr>
                <w:sz w:val="21"/>
                <w:szCs w:val="21"/>
              </w:rPr>
            </w:pPr>
            <w:r>
              <w:rPr>
                <w:sz w:val="21"/>
                <w:szCs w:val="21"/>
              </w:rPr>
              <w:t>616</w:t>
            </w:r>
          </w:p>
        </w:tc>
        <w:tc>
          <w:tcPr>
            <w:tcW w:w="2863" w:type="dxa"/>
            <w:vAlign w:val="center"/>
          </w:tcPr>
          <w:p>
            <w:pPr>
              <w:pStyle w:val="107"/>
              <w:rPr>
                <w:sz w:val="21"/>
                <w:szCs w:val="21"/>
              </w:rPr>
            </w:pPr>
            <w:r>
              <w:rPr>
                <w:sz w:val="21"/>
                <w:szCs w:val="21"/>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17</w:t>
            </w:r>
          </w:p>
        </w:tc>
        <w:tc>
          <w:tcPr>
            <w:tcW w:w="2693" w:type="dxa"/>
            <w:vAlign w:val="center"/>
          </w:tcPr>
          <w:p>
            <w:pPr>
              <w:pStyle w:val="107"/>
              <w:rPr>
                <w:sz w:val="21"/>
                <w:szCs w:val="21"/>
              </w:rPr>
            </w:pPr>
            <w:r>
              <w:rPr>
                <w:sz w:val="21"/>
                <w:szCs w:val="21"/>
              </w:rPr>
              <w:t>1,2-二氯丙烷</w:t>
            </w:r>
          </w:p>
        </w:tc>
        <w:tc>
          <w:tcPr>
            <w:tcW w:w="2693" w:type="dxa"/>
            <w:vAlign w:val="center"/>
          </w:tcPr>
          <w:p>
            <w:pPr>
              <w:pStyle w:val="107"/>
              <w:rPr>
                <w:sz w:val="21"/>
                <w:szCs w:val="21"/>
              </w:rPr>
            </w:pPr>
            <w:r>
              <w:rPr>
                <w:sz w:val="21"/>
                <w:szCs w:val="21"/>
              </w:rPr>
              <w:t>5</w:t>
            </w:r>
          </w:p>
        </w:tc>
        <w:tc>
          <w:tcPr>
            <w:tcW w:w="2863" w:type="dxa"/>
            <w:vAlign w:val="center"/>
          </w:tcPr>
          <w:p>
            <w:pPr>
              <w:pStyle w:val="107"/>
              <w:rPr>
                <w:sz w:val="21"/>
                <w:szCs w:val="21"/>
              </w:rPr>
            </w:pPr>
            <w:r>
              <w:rPr>
                <w:sz w:val="21"/>
                <w:szCs w:val="21"/>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18</w:t>
            </w:r>
          </w:p>
        </w:tc>
        <w:tc>
          <w:tcPr>
            <w:tcW w:w="2693" w:type="dxa"/>
            <w:vAlign w:val="center"/>
          </w:tcPr>
          <w:p>
            <w:pPr>
              <w:pStyle w:val="107"/>
              <w:rPr>
                <w:sz w:val="21"/>
                <w:szCs w:val="21"/>
              </w:rPr>
            </w:pPr>
            <w:r>
              <w:rPr>
                <w:sz w:val="21"/>
                <w:szCs w:val="21"/>
              </w:rPr>
              <w:t>1,1,1,2-四氯乙烷</w:t>
            </w:r>
          </w:p>
        </w:tc>
        <w:tc>
          <w:tcPr>
            <w:tcW w:w="2693" w:type="dxa"/>
            <w:vAlign w:val="center"/>
          </w:tcPr>
          <w:p>
            <w:pPr>
              <w:pStyle w:val="107"/>
              <w:rPr>
                <w:sz w:val="21"/>
                <w:szCs w:val="21"/>
              </w:rPr>
            </w:pPr>
            <w:r>
              <w:rPr>
                <w:sz w:val="21"/>
                <w:szCs w:val="21"/>
              </w:rPr>
              <w:t>10</w:t>
            </w:r>
          </w:p>
        </w:tc>
        <w:tc>
          <w:tcPr>
            <w:tcW w:w="2863" w:type="dxa"/>
            <w:vAlign w:val="center"/>
          </w:tcPr>
          <w:p>
            <w:pPr>
              <w:pStyle w:val="107"/>
              <w:rPr>
                <w:sz w:val="21"/>
                <w:szCs w:val="21"/>
              </w:rPr>
            </w:pPr>
            <w:r>
              <w:rPr>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19</w:t>
            </w:r>
          </w:p>
        </w:tc>
        <w:tc>
          <w:tcPr>
            <w:tcW w:w="2693" w:type="dxa"/>
            <w:vAlign w:val="center"/>
          </w:tcPr>
          <w:p>
            <w:pPr>
              <w:pStyle w:val="107"/>
              <w:rPr>
                <w:sz w:val="21"/>
                <w:szCs w:val="21"/>
              </w:rPr>
            </w:pPr>
            <w:r>
              <w:rPr>
                <w:sz w:val="21"/>
                <w:szCs w:val="21"/>
              </w:rPr>
              <w:t>1,1,2,2-四氯乙烷</w:t>
            </w:r>
          </w:p>
        </w:tc>
        <w:tc>
          <w:tcPr>
            <w:tcW w:w="2693" w:type="dxa"/>
            <w:vAlign w:val="center"/>
          </w:tcPr>
          <w:p>
            <w:pPr>
              <w:pStyle w:val="107"/>
              <w:rPr>
                <w:sz w:val="21"/>
                <w:szCs w:val="21"/>
              </w:rPr>
            </w:pPr>
            <w:r>
              <w:rPr>
                <w:sz w:val="21"/>
                <w:szCs w:val="21"/>
              </w:rPr>
              <w:t>6.8</w:t>
            </w:r>
          </w:p>
        </w:tc>
        <w:tc>
          <w:tcPr>
            <w:tcW w:w="2863" w:type="dxa"/>
            <w:vAlign w:val="center"/>
          </w:tcPr>
          <w:p>
            <w:pPr>
              <w:pStyle w:val="107"/>
              <w:rPr>
                <w:sz w:val="21"/>
                <w:szCs w:val="21"/>
              </w:rPr>
            </w:pPr>
            <w:r>
              <w:rPr>
                <w:sz w:val="2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20</w:t>
            </w:r>
          </w:p>
        </w:tc>
        <w:tc>
          <w:tcPr>
            <w:tcW w:w="2693" w:type="dxa"/>
            <w:vAlign w:val="center"/>
          </w:tcPr>
          <w:p>
            <w:pPr>
              <w:pStyle w:val="107"/>
              <w:rPr>
                <w:sz w:val="21"/>
                <w:szCs w:val="21"/>
              </w:rPr>
            </w:pPr>
            <w:r>
              <w:rPr>
                <w:sz w:val="21"/>
                <w:szCs w:val="21"/>
              </w:rPr>
              <w:t>四氯乙烯</w:t>
            </w:r>
          </w:p>
        </w:tc>
        <w:tc>
          <w:tcPr>
            <w:tcW w:w="2693" w:type="dxa"/>
            <w:vAlign w:val="center"/>
          </w:tcPr>
          <w:p>
            <w:pPr>
              <w:pStyle w:val="107"/>
              <w:rPr>
                <w:sz w:val="21"/>
                <w:szCs w:val="21"/>
              </w:rPr>
            </w:pPr>
            <w:r>
              <w:rPr>
                <w:sz w:val="21"/>
                <w:szCs w:val="21"/>
              </w:rPr>
              <w:t>53</w:t>
            </w:r>
          </w:p>
        </w:tc>
        <w:tc>
          <w:tcPr>
            <w:tcW w:w="2863" w:type="dxa"/>
            <w:vAlign w:val="center"/>
          </w:tcPr>
          <w:p>
            <w:pPr>
              <w:pStyle w:val="107"/>
              <w:rPr>
                <w:sz w:val="21"/>
                <w:szCs w:val="21"/>
              </w:rPr>
            </w:pPr>
            <w:r>
              <w:rPr>
                <w:sz w:val="21"/>
                <w:szCs w:val="21"/>
              </w:rPr>
              <w:t>183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21</w:t>
            </w:r>
          </w:p>
        </w:tc>
        <w:tc>
          <w:tcPr>
            <w:tcW w:w="2693" w:type="dxa"/>
            <w:vAlign w:val="center"/>
          </w:tcPr>
          <w:p>
            <w:pPr>
              <w:pStyle w:val="107"/>
              <w:rPr>
                <w:sz w:val="21"/>
                <w:szCs w:val="21"/>
              </w:rPr>
            </w:pPr>
            <w:r>
              <w:rPr>
                <w:sz w:val="21"/>
                <w:szCs w:val="21"/>
              </w:rPr>
              <w:t>1,1,1-三氯乙烷</w:t>
            </w:r>
          </w:p>
        </w:tc>
        <w:tc>
          <w:tcPr>
            <w:tcW w:w="2693" w:type="dxa"/>
            <w:vAlign w:val="center"/>
          </w:tcPr>
          <w:p>
            <w:pPr>
              <w:pStyle w:val="107"/>
              <w:rPr>
                <w:sz w:val="21"/>
                <w:szCs w:val="21"/>
              </w:rPr>
            </w:pPr>
            <w:r>
              <w:rPr>
                <w:sz w:val="21"/>
                <w:szCs w:val="21"/>
              </w:rPr>
              <w:t>840</w:t>
            </w:r>
          </w:p>
        </w:tc>
        <w:tc>
          <w:tcPr>
            <w:tcW w:w="2863" w:type="dxa"/>
            <w:vAlign w:val="center"/>
          </w:tcPr>
          <w:p>
            <w:pPr>
              <w:pStyle w:val="107"/>
              <w:rPr>
                <w:sz w:val="21"/>
                <w:szCs w:val="21"/>
              </w:rPr>
            </w:pPr>
            <w:r>
              <w:rPr>
                <w:sz w:val="21"/>
                <w:szCs w:val="21"/>
              </w:rPr>
              <w:t>840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22</w:t>
            </w:r>
          </w:p>
        </w:tc>
        <w:tc>
          <w:tcPr>
            <w:tcW w:w="2693" w:type="dxa"/>
            <w:vAlign w:val="center"/>
          </w:tcPr>
          <w:p>
            <w:pPr>
              <w:pStyle w:val="107"/>
              <w:rPr>
                <w:sz w:val="21"/>
                <w:szCs w:val="21"/>
              </w:rPr>
            </w:pPr>
            <w:r>
              <w:rPr>
                <w:sz w:val="21"/>
                <w:szCs w:val="21"/>
              </w:rPr>
              <w:t>1,1,2-三氯乙烷</w:t>
            </w:r>
          </w:p>
        </w:tc>
        <w:tc>
          <w:tcPr>
            <w:tcW w:w="2693" w:type="dxa"/>
            <w:vAlign w:val="center"/>
          </w:tcPr>
          <w:p>
            <w:pPr>
              <w:pStyle w:val="107"/>
              <w:rPr>
                <w:sz w:val="21"/>
                <w:szCs w:val="21"/>
              </w:rPr>
            </w:pPr>
            <w:r>
              <w:rPr>
                <w:sz w:val="21"/>
                <w:szCs w:val="21"/>
              </w:rPr>
              <w:t>2.8</w:t>
            </w:r>
          </w:p>
        </w:tc>
        <w:tc>
          <w:tcPr>
            <w:tcW w:w="2863" w:type="dxa"/>
            <w:vAlign w:val="center"/>
          </w:tcPr>
          <w:p>
            <w:pPr>
              <w:pStyle w:val="107"/>
              <w:rPr>
                <w:sz w:val="21"/>
                <w:szCs w:val="21"/>
              </w:rPr>
            </w:pPr>
            <w:r>
              <w:rPr>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23</w:t>
            </w:r>
          </w:p>
        </w:tc>
        <w:tc>
          <w:tcPr>
            <w:tcW w:w="2693" w:type="dxa"/>
            <w:vAlign w:val="center"/>
          </w:tcPr>
          <w:p>
            <w:pPr>
              <w:pStyle w:val="107"/>
              <w:rPr>
                <w:sz w:val="21"/>
                <w:szCs w:val="21"/>
              </w:rPr>
            </w:pPr>
            <w:r>
              <w:rPr>
                <w:sz w:val="21"/>
                <w:szCs w:val="21"/>
              </w:rPr>
              <w:t>三氯乙烯</w:t>
            </w:r>
          </w:p>
        </w:tc>
        <w:tc>
          <w:tcPr>
            <w:tcW w:w="2693" w:type="dxa"/>
            <w:vAlign w:val="center"/>
          </w:tcPr>
          <w:p>
            <w:pPr>
              <w:pStyle w:val="107"/>
              <w:rPr>
                <w:sz w:val="21"/>
                <w:szCs w:val="21"/>
              </w:rPr>
            </w:pPr>
            <w:r>
              <w:rPr>
                <w:sz w:val="21"/>
                <w:szCs w:val="21"/>
              </w:rPr>
              <w:t>2.8</w:t>
            </w:r>
          </w:p>
        </w:tc>
        <w:tc>
          <w:tcPr>
            <w:tcW w:w="2863" w:type="dxa"/>
            <w:vAlign w:val="center"/>
          </w:tcPr>
          <w:p>
            <w:pPr>
              <w:pStyle w:val="107"/>
              <w:rPr>
                <w:sz w:val="21"/>
                <w:szCs w:val="21"/>
              </w:rPr>
            </w:pPr>
            <w:r>
              <w:rPr>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24</w:t>
            </w:r>
          </w:p>
        </w:tc>
        <w:tc>
          <w:tcPr>
            <w:tcW w:w="2693" w:type="dxa"/>
            <w:vAlign w:val="center"/>
          </w:tcPr>
          <w:p>
            <w:pPr>
              <w:pStyle w:val="107"/>
              <w:rPr>
                <w:sz w:val="21"/>
                <w:szCs w:val="21"/>
              </w:rPr>
            </w:pPr>
            <w:r>
              <w:rPr>
                <w:sz w:val="21"/>
                <w:szCs w:val="21"/>
              </w:rPr>
              <w:t>1,2,3-三氯丙烷</w:t>
            </w:r>
          </w:p>
        </w:tc>
        <w:tc>
          <w:tcPr>
            <w:tcW w:w="2693" w:type="dxa"/>
            <w:vAlign w:val="center"/>
          </w:tcPr>
          <w:p>
            <w:pPr>
              <w:pStyle w:val="107"/>
              <w:rPr>
                <w:sz w:val="21"/>
                <w:szCs w:val="21"/>
              </w:rPr>
            </w:pPr>
            <w:r>
              <w:rPr>
                <w:sz w:val="21"/>
                <w:szCs w:val="21"/>
              </w:rPr>
              <w:t>0.5</w:t>
            </w:r>
          </w:p>
        </w:tc>
        <w:tc>
          <w:tcPr>
            <w:tcW w:w="2863" w:type="dxa"/>
            <w:vAlign w:val="center"/>
          </w:tcPr>
          <w:p>
            <w:pPr>
              <w:pStyle w:val="107"/>
              <w:rPr>
                <w:sz w:val="21"/>
                <w:szCs w:val="21"/>
              </w:rPr>
            </w:pPr>
            <w:r>
              <w:rPr>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25</w:t>
            </w:r>
          </w:p>
        </w:tc>
        <w:tc>
          <w:tcPr>
            <w:tcW w:w="2693" w:type="dxa"/>
            <w:vAlign w:val="center"/>
          </w:tcPr>
          <w:p>
            <w:pPr>
              <w:pStyle w:val="107"/>
              <w:rPr>
                <w:sz w:val="21"/>
                <w:szCs w:val="21"/>
              </w:rPr>
            </w:pPr>
            <w:r>
              <w:rPr>
                <w:sz w:val="21"/>
                <w:szCs w:val="21"/>
              </w:rPr>
              <w:t>氯乙烯</w:t>
            </w:r>
          </w:p>
        </w:tc>
        <w:tc>
          <w:tcPr>
            <w:tcW w:w="2693" w:type="dxa"/>
            <w:vAlign w:val="center"/>
          </w:tcPr>
          <w:p>
            <w:pPr>
              <w:pStyle w:val="107"/>
              <w:rPr>
                <w:sz w:val="21"/>
                <w:szCs w:val="21"/>
              </w:rPr>
            </w:pPr>
            <w:r>
              <w:rPr>
                <w:sz w:val="21"/>
                <w:szCs w:val="21"/>
              </w:rPr>
              <w:t>0.43</w:t>
            </w:r>
          </w:p>
        </w:tc>
        <w:tc>
          <w:tcPr>
            <w:tcW w:w="2863" w:type="dxa"/>
            <w:vAlign w:val="center"/>
          </w:tcPr>
          <w:p>
            <w:pPr>
              <w:pStyle w:val="107"/>
              <w:rPr>
                <w:sz w:val="21"/>
                <w:szCs w:val="21"/>
              </w:rPr>
            </w:pPr>
            <w:r>
              <w:rPr>
                <w:sz w:val="21"/>
                <w:szCs w:val="21"/>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26</w:t>
            </w:r>
          </w:p>
        </w:tc>
        <w:tc>
          <w:tcPr>
            <w:tcW w:w="2693" w:type="dxa"/>
            <w:vAlign w:val="center"/>
          </w:tcPr>
          <w:p>
            <w:pPr>
              <w:pStyle w:val="107"/>
              <w:rPr>
                <w:sz w:val="21"/>
                <w:szCs w:val="21"/>
              </w:rPr>
            </w:pPr>
            <w:r>
              <w:rPr>
                <w:sz w:val="21"/>
                <w:szCs w:val="21"/>
              </w:rPr>
              <w:t>苯</w:t>
            </w:r>
          </w:p>
        </w:tc>
        <w:tc>
          <w:tcPr>
            <w:tcW w:w="2693" w:type="dxa"/>
            <w:vAlign w:val="center"/>
          </w:tcPr>
          <w:p>
            <w:pPr>
              <w:pStyle w:val="107"/>
              <w:rPr>
                <w:sz w:val="21"/>
                <w:szCs w:val="21"/>
              </w:rPr>
            </w:pPr>
            <w:r>
              <w:rPr>
                <w:sz w:val="21"/>
                <w:szCs w:val="21"/>
              </w:rPr>
              <w:t>4</w:t>
            </w:r>
          </w:p>
        </w:tc>
        <w:tc>
          <w:tcPr>
            <w:tcW w:w="2863" w:type="dxa"/>
            <w:vAlign w:val="center"/>
          </w:tcPr>
          <w:p>
            <w:pPr>
              <w:pStyle w:val="107"/>
              <w:rPr>
                <w:sz w:val="21"/>
                <w:szCs w:val="21"/>
              </w:rPr>
            </w:pPr>
            <w:r>
              <w:rPr>
                <w:sz w:val="21"/>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27</w:t>
            </w:r>
          </w:p>
        </w:tc>
        <w:tc>
          <w:tcPr>
            <w:tcW w:w="2693" w:type="dxa"/>
            <w:vAlign w:val="center"/>
          </w:tcPr>
          <w:p>
            <w:pPr>
              <w:pStyle w:val="107"/>
              <w:rPr>
                <w:sz w:val="21"/>
                <w:szCs w:val="21"/>
              </w:rPr>
            </w:pPr>
            <w:r>
              <w:rPr>
                <w:sz w:val="21"/>
                <w:szCs w:val="21"/>
              </w:rPr>
              <w:t>氯苯</w:t>
            </w:r>
          </w:p>
        </w:tc>
        <w:tc>
          <w:tcPr>
            <w:tcW w:w="2693" w:type="dxa"/>
            <w:vAlign w:val="center"/>
          </w:tcPr>
          <w:p>
            <w:pPr>
              <w:pStyle w:val="107"/>
              <w:rPr>
                <w:sz w:val="21"/>
                <w:szCs w:val="21"/>
              </w:rPr>
            </w:pPr>
            <w:r>
              <w:rPr>
                <w:sz w:val="21"/>
                <w:szCs w:val="21"/>
              </w:rPr>
              <w:t>270</w:t>
            </w:r>
          </w:p>
        </w:tc>
        <w:tc>
          <w:tcPr>
            <w:tcW w:w="2863" w:type="dxa"/>
            <w:vAlign w:val="center"/>
          </w:tcPr>
          <w:p>
            <w:pPr>
              <w:pStyle w:val="107"/>
              <w:rPr>
                <w:sz w:val="21"/>
                <w:szCs w:val="21"/>
              </w:rPr>
            </w:pPr>
            <w:r>
              <w:rPr>
                <w:sz w:val="21"/>
                <w:szCs w:val="21"/>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28</w:t>
            </w:r>
          </w:p>
        </w:tc>
        <w:tc>
          <w:tcPr>
            <w:tcW w:w="2693" w:type="dxa"/>
            <w:vAlign w:val="center"/>
          </w:tcPr>
          <w:p>
            <w:pPr>
              <w:pStyle w:val="107"/>
              <w:rPr>
                <w:sz w:val="21"/>
                <w:szCs w:val="21"/>
              </w:rPr>
            </w:pPr>
            <w:r>
              <w:rPr>
                <w:sz w:val="21"/>
                <w:szCs w:val="21"/>
              </w:rPr>
              <w:t>1,2-二氯苯</w:t>
            </w:r>
          </w:p>
        </w:tc>
        <w:tc>
          <w:tcPr>
            <w:tcW w:w="2693" w:type="dxa"/>
            <w:vAlign w:val="center"/>
          </w:tcPr>
          <w:p>
            <w:pPr>
              <w:pStyle w:val="107"/>
              <w:rPr>
                <w:sz w:val="21"/>
                <w:szCs w:val="21"/>
              </w:rPr>
            </w:pPr>
            <w:r>
              <w:rPr>
                <w:sz w:val="21"/>
                <w:szCs w:val="21"/>
              </w:rPr>
              <w:t>560</w:t>
            </w:r>
          </w:p>
        </w:tc>
        <w:tc>
          <w:tcPr>
            <w:tcW w:w="2863" w:type="dxa"/>
            <w:vAlign w:val="center"/>
          </w:tcPr>
          <w:p>
            <w:pPr>
              <w:pStyle w:val="107"/>
              <w:rPr>
                <w:sz w:val="21"/>
                <w:szCs w:val="21"/>
              </w:rPr>
            </w:pPr>
            <w:r>
              <w:rPr>
                <w:sz w:val="21"/>
                <w:szCs w:val="21"/>
              </w:rPr>
              <w:t>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29</w:t>
            </w:r>
          </w:p>
        </w:tc>
        <w:tc>
          <w:tcPr>
            <w:tcW w:w="2693" w:type="dxa"/>
            <w:vAlign w:val="center"/>
          </w:tcPr>
          <w:p>
            <w:pPr>
              <w:pStyle w:val="107"/>
              <w:rPr>
                <w:sz w:val="21"/>
                <w:szCs w:val="21"/>
              </w:rPr>
            </w:pPr>
            <w:r>
              <w:rPr>
                <w:sz w:val="21"/>
                <w:szCs w:val="21"/>
              </w:rPr>
              <w:t>1,4-二氯苯</w:t>
            </w:r>
          </w:p>
        </w:tc>
        <w:tc>
          <w:tcPr>
            <w:tcW w:w="2693" w:type="dxa"/>
            <w:vAlign w:val="center"/>
          </w:tcPr>
          <w:p>
            <w:pPr>
              <w:pStyle w:val="107"/>
              <w:rPr>
                <w:sz w:val="21"/>
                <w:szCs w:val="21"/>
              </w:rPr>
            </w:pPr>
            <w:r>
              <w:rPr>
                <w:sz w:val="21"/>
                <w:szCs w:val="21"/>
              </w:rPr>
              <w:t>20</w:t>
            </w:r>
          </w:p>
        </w:tc>
        <w:tc>
          <w:tcPr>
            <w:tcW w:w="2863" w:type="dxa"/>
            <w:vAlign w:val="center"/>
          </w:tcPr>
          <w:p>
            <w:pPr>
              <w:pStyle w:val="107"/>
              <w:rPr>
                <w:sz w:val="21"/>
                <w:szCs w:val="21"/>
              </w:rPr>
            </w:pPr>
            <w:r>
              <w:rPr>
                <w:sz w:val="21"/>
                <w:szCs w:val="21"/>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30</w:t>
            </w:r>
          </w:p>
        </w:tc>
        <w:tc>
          <w:tcPr>
            <w:tcW w:w="2693" w:type="dxa"/>
            <w:vAlign w:val="center"/>
          </w:tcPr>
          <w:p>
            <w:pPr>
              <w:pStyle w:val="107"/>
              <w:rPr>
                <w:sz w:val="21"/>
                <w:szCs w:val="21"/>
              </w:rPr>
            </w:pPr>
            <w:r>
              <w:rPr>
                <w:sz w:val="21"/>
                <w:szCs w:val="21"/>
              </w:rPr>
              <w:t>乙苯</w:t>
            </w:r>
          </w:p>
        </w:tc>
        <w:tc>
          <w:tcPr>
            <w:tcW w:w="2693" w:type="dxa"/>
            <w:vAlign w:val="center"/>
          </w:tcPr>
          <w:p>
            <w:pPr>
              <w:pStyle w:val="107"/>
              <w:rPr>
                <w:sz w:val="21"/>
                <w:szCs w:val="21"/>
              </w:rPr>
            </w:pPr>
            <w:r>
              <w:rPr>
                <w:sz w:val="21"/>
                <w:szCs w:val="21"/>
              </w:rPr>
              <w:t>28</w:t>
            </w:r>
          </w:p>
        </w:tc>
        <w:tc>
          <w:tcPr>
            <w:tcW w:w="2863" w:type="dxa"/>
            <w:vAlign w:val="center"/>
          </w:tcPr>
          <w:p>
            <w:pPr>
              <w:pStyle w:val="107"/>
              <w:rPr>
                <w:sz w:val="21"/>
                <w:szCs w:val="21"/>
              </w:rPr>
            </w:pPr>
            <w:r>
              <w:rPr>
                <w:sz w:val="21"/>
                <w:szCs w:val="21"/>
              </w:rPr>
              <w:t>280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31</w:t>
            </w:r>
          </w:p>
        </w:tc>
        <w:tc>
          <w:tcPr>
            <w:tcW w:w="2693" w:type="dxa"/>
            <w:vAlign w:val="center"/>
          </w:tcPr>
          <w:p>
            <w:pPr>
              <w:pStyle w:val="107"/>
              <w:rPr>
                <w:sz w:val="21"/>
                <w:szCs w:val="21"/>
              </w:rPr>
            </w:pPr>
            <w:r>
              <w:rPr>
                <w:sz w:val="21"/>
                <w:szCs w:val="21"/>
              </w:rPr>
              <w:t>苯乙烯</w:t>
            </w:r>
          </w:p>
        </w:tc>
        <w:tc>
          <w:tcPr>
            <w:tcW w:w="2693" w:type="dxa"/>
            <w:vAlign w:val="center"/>
          </w:tcPr>
          <w:p>
            <w:pPr>
              <w:pStyle w:val="107"/>
              <w:rPr>
                <w:sz w:val="21"/>
                <w:szCs w:val="21"/>
              </w:rPr>
            </w:pPr>
            <w:r>
              <w:rPr>
                <w:sz w:val="21"/>
                <w:szCs w:val="21"/>
              </w:rPr>
              <w:t>1290</w:t>
            </w:r>
          </w:p>
        </w:tc>
        <w:tc>
          <w:tcPr>
            <w:tcW w:w="2863" w:type="dxa"/>
            <w:vAlign w:val="center"/>
          </w:tcPr>
          <w:p>
            <w:pPr>
              <w:pStyle w:val="107"/>
              <w:rPr>
                <w:sz w:val="21"/>
                <w:szCs w:val="21"/>
              </w:rPr>
            </w:pPr>
            <w:r>
              <w:rPr>
                <w:sz w:val="21"/>
                <w:szCs w:val="21"/>
              </w:rPr>
              <w:t>1290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32</w:t>
            </w:r>
          </w:p>
        </w:tc>
        <w:tc>
          <w:tcPr>
            <w:tcW w:w="2693" w:type="dxa"/>
            <w:vAlign w:val="center"/>
          </w:tcPr>
          <w:p>
            <w:pPr>
              <w:pStyle w:val="107"/>
              <w:rPr>
                <w:sz w:val="21"/>
                <w:szCs w:val="21"/>
              </w:rPr>
            </w:pPr>
            <w:r>
              <w:rPr>
                <w:sz w:val="21"/>
                <w:szCs w:val="21"/>
              </w:rPr>
              <w:t>甲苯</w:t>
            </w:r>
          </w:p>
        </w:tc>
        <w:tc>
          <w:tcPr>
            <w:tcW w:w="2693" w:type="dxa"/>
            <w:vAlign w:val="center"/>
          </w:tcPr>
          <w:p>
            <w:pPr>
              <w:pStyle w:val="107"/>
              <w:rPr>
                <w:sz w:val="21"/>
                <w:szCs w:val="21"/>
              </w:rPr>
            </w:pPr>
            <w:r>
              <w:rPr>
                <w:sz w:val="21"/>
                <w:szCs w:val="21"/>
              </w:rPr>
              <w:t>1200</w:t>
            </w:r>
          </w:p>
        </w:tc>
        <w:tc>
          <w:tcPr>
            <w:tcW w:w="2863" w:type="dxa"/>
            <w:vAlign w:val="center"/>
          </w:tcPr>
          <w:p>
            <w:pPr>
              <w:pStyle w:val="107"/>
              <w:rPr>
                <w:sz w:val="21"/>
                <w:szCs w:val="21"/>
              </w:rPr>
            </w:pPr>
            <w:r>
              <w:rPr>
                <w:sz w:val="21"/>
                <w:szCs w:val="21"/>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33</w:t>
            </w:r>
          </w:p>
        </w:tc>
        <w:tc>
          <w:tcPr>
            <w:tcW w:w="2693" w:type="dxa"/>
            <w:vAlign w:val="center"/>
          </w:tcPr>
          <w:p>
            <w:pPr>
              <w:pStyle w:val="107"/>
              <w:rPr>
                <w:sz w:val="21"/>
                <w:szCs w:val="21"/>
              </w:rPr>
            </w:pPr>
            <w:r>
              <w:rPr>
                <w:sz w:val="21"/>
                <w:szCs w:val="21"/>
              </w:rPr>
              <w:t>间二甲苯+对二甲苯</w:t>
            </w:r>
          </w:p>
        </w:tc>
        <w:tc>
          <w:tcPr>
            <w:tcW w:w="2693" w:type="dxa"/>
            <w:vAlign w:val="center"/>
          </w:tcPr>
          <w:p>
            <w:pPr>
              <w:pStyle w:val="107"/>
              <w:rPr>
                <w:sz w:val="21"/>
                <w:szCs w:val="21"/>
              </w:rPr>
            </w:pPr>
            <w:r>
              <w:rPr>
                <w:sz w:val="21"/>
                <w:szCs w:val="21"/>
              </w:rPr>
              <w:t>570</w:t>
            </w:r>
          </w:p>
        </w:tc>
        <w:tc>
          <w:tcPr>
            <w:tcW w:w="2863" w:type="dxa"/>
            <w:vAlign w:val="center"/>
          </w:tcPr>
          <w:p>
            <w:pPr>
              <w:pStyle w:val="107"/>
              <w:rPr>
                <w:sz w:val="21"/>
                <w:szCs w:val="21"/>
              </w:rPr>
            </w:pPr>
            <w:r>
              <w:rPr>
                <w:sz w:val="21"/>
                <w:szCs w:val="21"/>
              </w:rPr>
              <w:t>570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34</w:t>
            </w:r>
          </w:p>
        </w:tc>
        <w:tc>
          <w:tcPr>
            <w:tcW w:w="2693" w:type="dxa"/>
            <w:vAlign w:val="center"/>
          </w:tcPr>
          <w:p>
            <w:pPr>
              <w:pStyle w:val="107"/>
              <w:rPr>
                <w:sz w:val="21"/>
                <w:szCs w:val="21"/>
              </w:rPr>
            </w:pPr>
            <w:r>
              <w:rPr>
                <w:sz w:val="21"/>
                <w:szCs w:val="21"/>
              </w:rPr>
              <w:t>邻二甲苯</w:t>
            </w:r>
          </w:p>
        </w:tc>
        <w:tc>
          <w:tcPr>
            <w:tcW w:w="2693" w:type="dxa"/>
            <w:vAlign w:val="center"/>
          </w:tcPr>
          <w:p>
            <w:pPr>
              <w:pStyle w:val="107"/>
              <w:rPr>
                <w:sz w:val="21"/>
                <w:szCs w:val="21"/>
              </w:rPr>
            </w:pPr>
            <w:r>
              <w:rPr>
                <w:sz w:val="21"/>
                <w:szCs w:val="21"/>
              </w:rPr>
              <w:t>640</w:t>
            </w:r>
          </w:p>
        </w:tc>
        <w:tc>
          <w:tcPr>
            <w:tcW w:w="2863" w:type="dxa"/>
            <w:vAlign w:val="center"/>
          </w:tcPr>
          <w:p>
            <w:pPr>
              <w:pStyle w:val="107"/>
              <w:rPr>
                <w:sz w:val="21"/>
                <w:szCs w:val="21"/>
              </w:rPr>
            </w:pPr>
            <w:r>
              <w:rPr>
                <w:sz w:val="21"/>
                <w:szCs w:val="21"/>
              </w:rPr>
              <w:t>640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208" w:type="dxa"/>
            <w:gridSpan w:val="4"/>
            <w:vAlign w:val="center"/>
          </w:tcPr>
          <w:p>
            <w:pPr>
              <w:pStyle w:val="107"/>
              <w:jc w:val="both"/>
              <w:rPr>
                <w:sz w:val="21"/>
                <w:szCs w:val="21"/>
              </w:rPr>
            </w:pPr>
            <w:r>
              <w:rPr>
                <w:sz w:val="21"/>
                <w:szCs w:val="21"/>
              </w:rPr>
              <w:t>半挥发性有机物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35</w:t>
            </w:r>
          </w:p>
        </w:tc>
        <w:tc>
          <w:tcPr>
            <w:tcW w:w="2693" w:type="dxa"/>
            <w:vAlign w:val="center"/>
          </w:tcPr>
          <w:p>
            <w:pPr>
              <w:pStyle w:val="107"/>
              <w:rPr>
                <w:sz w:val="21"/>
                <w:szCs w:val="21"/>
              </w:rPr>
            </w:pPr>
            <w:r>
              <w:rPr>
                <w:sz w:val="21"/>
                <w:szCs w:val="21"/>
              </w:rPr>
              <w:t>硝基苯</w:t>
            </w:r>
          </w:p>
        </w:tc>
        <w:tc>
          <w:tcPr>
            <w:tcW w:w="2693" w:type="dxa"/>
            <w:vAlign w:val="center"/>
          </w:tcPr>
          <w:p>
            <w:pPr>
              <w:pStyle w:val="107"/>
              <w:rPr>
                <w:sz w:val="21"/>
                <w:szCs w:val="21"/>
              </w:rPr>
            </w:pPr>
            <w:r>
              <w:rPr>
                <w:sz w:val="21"/>
                <w:szCs w:val="21"/>
              </w:rPr>
              <w:t>76</w:t>
            </w:r>
          </w:p>
        </w:tc>
        <w:tc>
          <w:tcPr>
            <w:tcW w:w="2863" w:type="dxa"/>
            <w:vAlign w:val="center"/>
          </w:tcPr>
          <w:p>
            <w:pPr>
              <w:pStyle w:val="107"/>
              <w:rPr>
                <w:sz w:val="21"/>
                <w:szCs w:val="21"/>
              </w:rPr>
            </w:pPr>
            <w:r>
              <w:rPr>
                <w:sz w:val="21"/>
                <w:szCs w:val="21"/>
              </w:rPr>
              <w:t>760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36</w:t>
            </w:r>
          </w:p>
        </w:tc>
        <w:tc>
          <w:tcPr>
            <w:tcW w:w="2693" w:type="dxa"/>
            <w:vAlign w:val="center"/>
          </w:tcPr>
          <w:p>
            <w:pPr>
              <w:pStyle w:val="107"/>
              <w:rPr>
                <w:sz w:val="21"/>
                <w:szCs w:val="21"/>
              </w:rPr>
            </w:pPr>
            <w:r>
              <w:rPr>
                <w:sz w:val="21"/>
                <w:szCs w:val="21"/>
              </w:rPr>
              <w:t>苯胺</w:t>
            </w:r>
          </w:p>
        </w:tc>
        <w:tc>
          <w:tcPr>
            <w:tcW w:w="2693" w:type="dxa"/>
            <w:vAlign w:val="center"/>
          </w:tcPr>
          <w:p>
            <w:pPr>
              <w:pStyle w:val="107"/>
              <w:rPr>
                <w:sz w:val="21"/>
                <w:szCs w:val="21"/>
              </w:rPr>
            </w:pPr>
            <w:r>
              <w:rPr>
                <w:sz w:val="21"/>
                <w:szCs w:val="21"/>
              </w:rPr>
              <w:t>260</w:t>
            </w:r>
          </w:p>
        </w:tc>
        <w:tc>
          <w:tcPr>
            <w:tcW w:w="2863" w:type="dxa"/>
            <w:vAlign w:val="center"/>
          </w:tcPr>
          <w:p>
            <w:pPr>
              <w:pStyle w:val="107"/>
              <w:rPr>
                <w:sz w:val="21"/>
                <w:szCs w:val="21"/>
              </w:rPr>
            </w:pPr>
            <w:r>
              <w:rPr>
                <w:sz w:val="21"/>
                <w:szCs w:val="21"/>
              </w:rPr>
              <w:t>663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37</w:t>
            </w:r>
          </w:p>
        </w:tc>
        <w:tc>
          <w:tcPr>
            <w:tcW w:w="2693" w:type="dxa"/>
            <w:vAlign w:val="center"/>
          </w:tcPr>
          <w:p>
            <w:pPr>
              <w:pStyle w:val="107"/>
              <w:rPr>
                <w:sz w:val="21"/>
                <w:szCs w:val="21"/>
              </w:rPr>
            </w:pPr>
            <w:r>
              <w:rPr>
                <w:sz w:val="21"/>
                <w:szCs w:val="21"/>
              </w:rPr>
              <w:t>2-氯酚</w:t>
            </w:r>
          </w:p>
        </w:tc>
        <w:tc>
          <w:tcPr>
            <w:tcW w:w="2693" w:type="dxa"/>
            <w:vAlign w:val="center"/>
          </w:tcPr>
          <w:p>
            <w:pPr>
              <w:pStyle w:val="107"/>
              <w:rPr>
                <w:sz w:val="21"/>
                <w:szCs w:val="21"/>
              </w:rPr>
            </w:pPr>
            <w:r>
              <w:rPr>
                <w:sz w:val="21"/>
                <w:szCs w:val="21"/>
              </w:rPr>
              <w:t>2256</w:t>
            </w:r>
          </w:p>
        </w:tc>
        <w:tc>
          <w:tcPr>
            <w:tcW w:w="2863" w:type="dxa"/>
            <w:vAlign w:val="center"/>
          </w:tcPr>
          <w:p>
            <w:pPr>
              <w:pStyle w:val="107"/>
              <w:rPr>
                <w:sz w:val="21"/>
                <w:szCs w:val="21"/>
              </w:rPr>
            </w:pPr>
            <w:r>
              <w:rPr>
                <w:sz w:val="21"/>
                <w:szCs w:val="21"/>
              </w:rPr>
              <w:t>4500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38</w:t>
            </w:r>
          </w:p>
        </w:tc>
        <w:tc>
          <w:tcPr>
            <w:tcW w:w="2693" w:type="dxa"/>
            <w:vAlign w:val="center"/>
          </w:tcPr>
          <w:p>
            <w:pPr>
              <w:pStyle w:val="107"/>
              <w:rPr>
                <w:sz w:val="21"/>
                <w:szCs w:val="21"/>
              </w:rPr>
            </w:pPr>
            <w:r>
              <w:rPr>
                <w:sz w:val="21"/>
                <w:szCs w:val="21"/>
              </w:rPr>
              <w:t>苯并[a]蒽</w:t>
            </w:r>
          </w:p>
        </w:tc>
        <w:tc>
          <w:tcPr>
            <w:tcW w:w="2693" w:type="dxa"/>
            <w:vAlign w:val="center"/>
          </w:tcPr>
          <w:p>
            <w:pPr>
              <w:pStyle w:val="107"/>
              <w:rPr>
                <w:sz w:val="21"/>
                <w:szCs w:val="21"/>
              </w:rPr>
            </w:pPr>
            <w:r>
              <w:rPr>
                <w:sz w:val="21"/>
                <w:szCs w:val="21"/>
              </w:rPr>
              <w:t>15</w:t>
            </w:r>
          </w:p>
        </w:tc>
        <w:tc>
          <w:tcPr>
            <w:tcW w:w="2863" w:type="dxa"/>
            <w:vAlign w:val="center"/>
          </w:tcPr>
          <w:p>
            <w:pPr>
              <w:pStyle w:val="107"/>
              <w:rPr>
                <w:sz w:val="21"/>
                <w:szCs w:val="21"/>
              </w:rPr>
            </w:pPr>
            <w:r>
              <w:rPr>
                <w:sz w:val="21"/>
                <w:szCs w:val="21"/>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39</w:t>
            </w:r>
          </w:p>
        </w:tc>
        <w:tc>
          <w:tcPr>
            <w:tcW w:w="2693" w:type="dxa"/>
            <w:vAlign w:val="center"/>
          </w:tcPr>
          <w:p>
            <w:pPr>
              <w:pStyle w:val="107"/>
              <w:rPr>
                <w:sz w:val="21"/>
                <w:szCs w:val="21"/>
              </w:rPr>
            </w:pPr>
            <w:r>
              <w:rPr>
                <w:sz w:val="21"/>
                <w:szCs w:val="21"/>
              </w:rPr>
              <w:t>苯并[a]芘</w:t>
            </w:r>
          </w:p>
        </w:tc>
        <w:tc>
          <w:tcPr>
            <w:tcW w:w="2693" w:type="dxa"/>
            <w:vAlign w:val="center"/>
          </w:tcPr>
          <w:p>
            <w:pPr>
              <w:pStyle w:val="107"/>
              <w:rPr>
                <w:sz w:val="21"/>
                <w:szCs w:val="21"/>
              </w:rPr>
            </w:pPr>
            <w:r>
              <w:rPr>
                <w:sz w:val="21"/>
                <w:szCs w:val="21"/>
              </w:rPr>
              <w:t>1.5</w:t>
            </w:r>
          </w:p>
        </w:tc>
        <w:tc>
          <w:tcPr>
            <w:tcW w:w="2863" w:type="dxa"/>
            <w:vAlign w:val="center"/>
          </w:tcPr>
          <w:p>
            <w:pPr>
              <w:pStyle w:val="107"/>
              <w:rPr>
                <w:sz w:val="21"/>
                <w:szCs w:val="21"/>
              </w:rPr>
            </w:pPr>
            <w:r>
              <w:rPr>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40</w:t>
            </w:r>
          </w:p>
        </w:tc>
        <w:tc>
          <w:tcPr>
            <w:tcW w:w="2693" w:type="dxa"/>
            <w:vAlign w:val="center"/>
          </w:tcPr>
          <w:p>
            <w:pPr>
              <w:pStyle w:val="107"/>
              <w:rPr>
                <w:sz w:val="21"/>
                <w:szCs w:val="21"/>
              </w:rPr>
            </w:pPr>
            <w:r>
              <w:rPr>
                <w:sz w:val="21"/>
                <w:szCs w:val="21"/>
              </w:rPr>
              <w:t>苯并[b]荧蒽</w:t>
            </w:r>
          </w:p>
        </w:tc>
        <w:tc>
          <w:tcPr>
            <w:tcW w:w="2693" w:type="dxa"/>
            <w:vAlign w:val="center"/>
          </w:tcPr>
          <w:p>
            <w:pPr>
              <w:pStyle w:val="107"/>
              <w:rPr>
                <w:sz w:val="21"/>
                <w:szCs w:val="21"/>
              </w:rPr>
            </w:pPr>
            <w:r>
              <w:rPr>
                <w:sz w:val="21"/>
                <w:szCs w:val="21"/>
              </w:rPr>
              <w:t>15</w:t>
            </w:r>
          </w:p>
        </w:tc>
        <w:tc>
          <w:tcPr>
            <w:tcW w:w="2863" w:type="dxa"/>
            <w:vAlign w:val="center"/>
          </w:tcPr>
          <w:p>
            <w:pPr>
              <w:pStyle w:val="107"/>
              <w:rPr>
                <w:sz w:val="21"/>
                <w:szCs w:val="21"/>
              </w:rPr>
            </w:pPr>
            <w:r>
              <w:rPr>
                <w:sz w:val="21"/>
                <w:szCs w:val="21"/>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41</w:t>
            </w:r>
          </w:p>
        </w:tc>
        <w:tc>
          <w:tcPr>
            <w:tcW w:w="2693" w:type="dxa"/>
            <w:vAlign w:val="center"/>
          </w:tcPr>
          <w:p>
            <w:pPr>
              <w:pStyle w:val="107"/>
              <w:rPr>
                <w:sz w:val="21"/>
                <w:szCs w:val="21"/>
              </w:rPr>
            </w:pPr>
            <w:r>
              <w:rPr>
                <w:sz w:val="21"/>
                <w:szCs w:val="21"/>
              </w:rPr>
              <w:t>苯并[k]荧蒽</w:t>
            </w:r>
          </w:p>
        </w:tc>
        <w:tc>
          <w:tcPr>
            <w:tcW w:w="2693" w:type="dxa"/>
            <w:vAlign w:val="center"/>
          </w:tcPr>
          <w:p>
            <w:pPr>
              <w:pStyle w:val="107"/>
              <w:rPr>
                <w:sz w:val="21"/>
                <w:szCs w:val="21"/>
              </w:rPr>
            </w:pPr>
            <w:r>
              <w:rPr>
                <w:sz w:val="21"/>
                <w:szCs w:val="21"/>
              </w:rPr>
              <w:t>151</w:t>
            </w:r>
          </w:p>
        </w:tc>
        <w:tc>
          <w:tcPr>
            <w:tcW w:w="2863" w:type="dxa"/>
            <w:vAlign w:val="center"/>
          </w:tcPr>
          <w:p>
            <w:pPr>
              <w:pStyle w:val="107"/>
              <w:rPr>
                <w:sz w:val="21"/>
                <w:szCs w:val="21"/>
              </w:rPr>
            </w:pPr>
            <w:r>
              <w:rPr>
                <w:sz w:val="21"/>
                <w:szCs w:val="21"/>
              </w:rPr>
              <w:t>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42</w:t>
            </w:r>
          </w:p>
        </w:tc>
        <w:tc>
          <w:tcPr>
            <w:tcW w:w="2693" w:type="dxa"/>
            <w:vAlign w:val="center"/>
          </w:tcPr>
          <w:p>
            <w:pPr>
              <w:pStyle w:val="107"/>
              <w:rPr>
                <w:sz w:val="21"/>
                <w:szCs w:val="21"/>
              </w:rPr>
            </w:pPr>
            <w:r>
              <w:rPr>
                <w:bCs/>
                <w:sz w:val="21"/>
                <w:szCs w:val="21"/>
              </w:rPr>
              <w:t>䓛</w:t>
            </w:r>
          </w:p>
        </w:tc>
        <w:tc>
          <w:tcPr>
            <w:tcW w:w="2693" w:type="dxa"/>
            <w:vAlign w:val="center"/>
          </w:tcPr>
          <w:p>
            <w:pPr>
              <w:pStyle w:val="107"/>
              <w:rPr>
                <w:sz w:val="21"/>
                <w:szCs w:val="21"/>
              </w:rPr>
            </w:pPr>
            <w:r>
              <w:rPr>
                <w:sz w:val="21"/>
                <w:szCs w:val="21"/>
              </w:rPr>
              <w:t>1293</w:t>
            </w:r>
          </w:p>
        </w:tc>
        <w:tc>
          <w:tcPr>
            <w:tcW w:w="2863" w:type="dxa"/>
            <w:vAlign w:val="center"/>
          </w:tcPr>
          <w:p>
            <w:pPr>
              <w:pStyle w:val="107"/>
              <w:rPr>
                <w:sz w:val="21"/>
                <w:szCs w:val="21"/>
              </w:rPr>
            </w:pPr>
            <w:r>
              <w:rPr>
                <w:sz w:val="21"/>
                <w:szCs w:val="21"/>
              </w:rPr>
              <w:t>12900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43</w:t>
            </w:r>
          </w:p>
        </w:tc>
        <w:tc>
          <w:tcPr>
            <w:tcW w:w="2693" w:type="dxa"/>
            <w:vAlign w:val="center"/>
          </w:tcPr>
          <w:p>
            <w:pPr>
              <w:pStyle w:val="107"/>
              <w:rPr>
                <w:sz w:val="21"/>
                <w:szCs w:val="21"/>
              </w:rPr>
            </w:pPr>
            <w:r>
              <w:rPr>
                <w:sz w:val="21"/>
                <w:szCs w:val="21"/>
              </w:rPr>
              <w:t>二苯并[a,h]蒽</w:t>
            </w:r>
          </w:p>
        </w:tc>
        <w:tc>
          <w:tcPr>
            <w:tcW w:w="2693" w:type="dxa"/>
            <w:vAlign w:val="center"/>
          </w:tcPr>
          <w:p>
            <w:pPr>
              <w:pStyle w:val="107"/>
              <w:rPr>
                <w:sz w:val="21"/>
                <w:szCs w:val="21"/>
              </w:rPr>
            </w:pPr>
            <w:r>
              <w:rPr>
                <w:sz w:val="21"/>
                <w:szCs w:val="21"/>
              </w:rPr>
              <w:t>1.5</w:t>
            </w:r>
          </w:p>
        </w:tc>
        <w:tc>
          <w:tcPr>
            <w:tcW w:w="2863" w:type="dxa"/>
            <w:vAlign w:val="center"/>
          </w:tcPr>
          <w:p>
            <w:pPr>
              <w:pStyle w:val="107"/>
              <w:rPr>
                <w:sz w:val="21"/>
                <w:szCs w:val="21"/>
              </w:rPr>
            </w:pPr>
            <w:r>
              <w:rPr>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44</w:t>
            </w:r>
          </w:p>
        </w:tc>
        <w:tc>
          <w:tcPr>
            <w:tcW w:w="2693" w:type="dxa"/>
            <w:vAlign w:val="center"/>
          </w:tcPr>
          <w:p>
            <w:pPr>
              <w:pStyle w:val="107"/>
              <w:rPr>
                <w:sz w:val="21"/>
                <w:szCs w:val="21"/>
              </w:rPr>
            </w:pPr>
            <w:r>
              <w:rPr>
                <w:sz w:val="21"/>
                <w:szCs w:val="21"/>
              </w:rPr>
              <w:t>茚并[1,2,3-cd]芘</w:t>
            </w:r>
          </w:p>
        </w:tc>
        <w:tc>
          <w:tcPr>
            <w:tcW w:w="2693" w:type="dxa"/>
            <w:vAlign w:val="center"/>
          </w:tcPr>
          <w:p>
            <w:pPr>
              <w:pStyle w:val="107"/>
              <w:rPr>
                <w:sz w:val="21"/>
                <w:szCs w:val="21"/>
              </w:rPr>
            </w:pPr>
            <w:r>
              <w:rPr>
                <w:sz w:val="21"/>
                <w:szCs w:val="21"/>
              </w:rPr>
              <w:t>15</w:t>
            </w:r>
          </w:p>
        </w:tc>
        <w:tc>
          <w:tcPr>
            <w:tcW w:w="2863" w:type="dxa"/>
            <w:vAlign w:val="center"/>
          </w:tcPr>
          <w:p>
            <w:pPr>
              <w:pStyle w:val="107"/>
              <w:rPr>
                <w:sz w:val="21"/>
                <w:szCs w:val="21"/>
              </w:rPr>
            </w:pPr>
            <w:r>
              <w:rPr>
                <w:sz w:val="21"/>
                <w:szCs w:val="21"/>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59" w:type="dxa"/>
            <w:vAlign w:val="center"/>
          </w:tcPr>
          <w:p>
            <w:pPr>
              <w:pStyle w:val="107"/>
              <w:rPr>
                <w:sz w:val="21"/>
                <w:szCs w:val="21"/>
              </w:rPr>
            </w:pPr>
            <w:r>
              <w:rPr>
                <w:sz w:val="21"/>
                <w:szCs w:val="21"/>
              </w:rPr>
              <w:t>45</w:t>
            </w:r>
          </w:p>
        </w:tc>
        <w:tc>
          <w:tcPr>
            <w:tcW w:w="2693" w:type="dxa"/>
            <w:vAlign w:val="center"/>
          </w:tcPr>
          <w:p>
            <w:pPr>
              <w:pStyle w:val="107"/>
              <w:rPr>
                <w:sz w:val="21"/>
                <w:szCs w:val="21"/>
              </w:rPr>
            </w:pPr>
            <w:r>
              <w:rPr>
                <w:sz w:val="21"/>
                <w:szCs w:val="21"/>
              </w:rPr>
              <w:t>萘</w:t>
            </w:r>
          </w:p>
        </w:tc>
        <w:tc>
          <w:tcPr>
            <w:tcW w:w="2693" w:type="dxa"/>
            <w:vAlign w:val="center"/>
          </w:tcPr>
          <w:p>
            <w:pPr>
              <w:pStyle w:val="107"/>
              <w:rPr>
                <w:sz w:val="21"/>
                <w:szCs w:val="21"/>
              </w:rPr>
            </w:pPr>
            <w:r>
              <w:rPr>
                <w:sz w:val="21"/>
                <w:szCs w:val="21"/>
              </w:rPr>
              <w:t>70</w:t>
            </w:r>
          </w:p>
        </w:tc>
        <w:tc>
          <w:tcPr>
            <w:tcW w:w="2863" w:type="dxa"/>
            <w:vAlign w:val="center"/>
          </w:tcPr>
          <w:p>
            <w:pPr>
              <w:pStyle w:val="107"/>
              <w:rPr>
                <w:sz w:val="21"/>
                <w:szCs w:val="21"/>
              </w:rPr>
            </w:pPr>
            <w:r>
              <w:rPr>
                <w:sz w:val="21"/>
                <w:szCs w:val="21"/>
              </w:rPr>
              <w:t>700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522" w:type="dxa"/>
            <w:gridSpan w:val="4"/>
            <w:vAlign w:val="center"/>
          </w:tcPr>
          <w:p>
            <w:pPr>
              <w:pStyle w:val="107"/>
              <w:jc w:val="both"/>
              <w:rPr>
                <w:sz w:val="21"/>
                <w:szCs w:val="21"/>
              </w:rPr>
            </w:pPr>
            <w:r>
              <w:rPr>
                <w:sz w:val="21"/>
                <w:szCs w:val="21"/>
              </w:rPr>
              <w:t>石油烃类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99" w:type="dxa"/>
            <w:vAlign w:val="center"/>
          </w:tcPr>
          <w:p>
            <w:pPr>
              <w:pStyle w:val="107"/>
              <w:rPr>
                <w:sz w:val="21"/>
                <w:szCs w:val="21"/>
              </w:rPr>
            </w:pPr>
            <w:r>
              <w:rPr>
                <w:rFonts w:hint="eastAsia"/>
                <w:sz w:val="21"/>
                <w:szCs w:val="21"/>
              </w:rPr>
              <w:t>46</w:t>
            </w:r>
          </w:p>
        </w:tc>
        <w:tc>
          <w:tcPr>
            <w:tcW w:w="2489" w:type="dxa"/>
            <w:vAlign w:val="center"/>
          </w:tcPr>
          <w:p>
            <w:pPr>
              <w:pStyle w:val="107"/>
              <w:rPr>
                <w:sz w:val="21"/>
                <w:szCs w:val="21"/>
              </w:rPr>
            </w:pPr>
            <w:r>
              <w:rPr>
                <w:sz w:val="21"/>
                <w:szCs w:val="21"/>
              </w:rPr>
              <w:t>石油烃</w:t>
            </w:r>
          </w:p>
        </w:tc>
        <w:tc>
          <w:tcPr>
            <w:tcW w:w="2489" w:type="dxa"/>
            <w:vAlign w:val="center"/>
          </w:tcPr>
          <w:p>
            <w:pPr>
              <w:pStyle w:val="107"/>
              <w:rPr>
                <w:sz w:val="21"/>
                <w:szCs w:val="21"/>
              </w:rPr>
            </w:pPr>
            <w:r>
              <w:rPr>
                <w:rFonts w:hint="eastAsia"/>
                <w:sz w:val="21"/>
                <w:szCs w:val="21"/>
              </w:rPr>
              <w:t>4500</w:t>
            </w:r>
          </w:p>
        </w:tc>
        <w:tc>
          <w:tcPr>
            <w:tcW w:w="2645" w:type="dxa"/>
            <w:vAlign w:val="center"/>
          </w:tcPr>
          <w:p>
            <w:pPr>
              <w:pStyle w:val="107"/>
              <w:rPr>
                <w:sz w:val="21"/>
                <w:szCs w:val="21"/>
              </w:rPr>
            </w:pPr>
            <w:r>
              <w:rPr>
                <w:rFonts w:hint="eastAsia"/>
                <w:sz w:val="21"/>
                <w:szCs w:val="21"/>
              </w:rPr>
              <w:t>9000</w:t>
            </w:r>
          </w:p>
        </w:tc>
      </w:tr>
    </w:tbl>
    <w:p>
      <w:pPr>
        <w:pStyle w:val="112"/>
        <w:ind w:firstLine="480"/>
      </w:pPr>
    </w:p>
    <w:p>
      <w:pPr>
        <w:pStyle w:val="112"/>
        <w:ind w:firstLine="480"/>
      </w:pPr>
    </w:p>
    <w:p>
      <w:pPr>
        <w:pStyle w:val="37"/>
        <w:rPr>
          <w:rFonts w:cs="Times New Roman"/>
        </w:rPr>
      </w:pPr>
      <w:r>
        <w:rPr>
          <w:rFonts w:cs="Times New Roman"/>
        </w:rPr>
        <w:br w:type="page"/>
      </w:r>
    </w:p>
    <w:p>
      <w:pPr>
        <w:keepNext/>
        <w:keepLines/>
        <w:ind w:firstLine="0" w:firstLineChars="0"/>
        <w:outlineLvl w:val="2"/>
        <w:rPr>
          <w:rFonts w:ascii="Times New Roman" w:cs="Times New Roman"/>
          <w:b/>
          <w:szCs w:val="32"/>
        </w:rPr>
      </w:pPr>
      <w:r>
        <w:rPr>
          <w:rFonts w:ascii="Times New Roman" w:cs="Times New Roman"/>
          <w:b/>
          <w:szCs w:val="32"/>
        </w:rPr>
        <w:t>1.5.2 污染物排放标准</w:t>
      </w:r>
    </w:p>
    <w:p>
      <w:pPr>
        <w:ind w:firstLine="482"/>
        <w:rPr>
          <w:rFonts w:ascii="Times New Roman" w:cs="Times New Roman"/>
          <w:b/>
          <w:bCs/>
        </w:rPr>
      </w:pPr>
      <w:r>
        <w:rPr>
          <w:rFonts w:ascii="Times New Roman" w:cs="Times New Roman"/>
          <w:b/>
          <w:bCs/>
        </w:rPr>
        <w:t>1、废气</w:t>
      </w:r>
    </w:p>
    <w:p>
      <w:pPr>
        <w:pStyle w:val="112"/>
        <w:ind w:firstLine="480"/>
      </w:pPr>
      <w:r>
        <w:t>站场施工期总悬浮颗粒物执行《四川省施工场地扬尘排放标准》（DB51/2682—2020）表1排放限值。</w:t>
      </w:r>
    </w:p>
    <w:p>
      <w:pPr>
        <w:pStyle w:val="37"/>
        <w:rPr>
          <w:rFonts w:cs="Times New Roman"/>
        </w:rPr>
      </w:pPr>
      <w:r>
        <w:rPr>
          <w:rFonts w:cs="Times New Roman"/>
        </w:rPr>
        <w:t>表1.5-</w:t>
      </w:r>
      <w:r>
        <w:rPr>
          <w:rFonts w:hint="eastAsia" w:cs="Times New Roman"/>
        </w:rPr>
        <w:t>7</w:t>
      </w:r>
      <w:r>
        <w:rPr>
          <w:rFonts w:cs="Times New Roman"/>
        </w:rPr>
        <w:t xml:space="preserve">  四川省施工场地扬尘排放限值   单位：μg/m</w:t>
      </w:r>
      <w:r>
        <w:rPr>
          <w:rFonts w:cs="Times New Roman"/>
          <w:vertAlign w:val="superscript"/>
        </w:rPr>
        <w:t>3</w:t>
      </w:r>
    </w:p>
    <w:tbl>
      <w:tblPr>
        <w:tblStyle w:val="57"/>
        <w:tblW w:w="89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1020"/>
        <w:gridCol w:w="3739"/>
        <w:gridCol w:w="1670"/>
        <w:gridCol w:w="13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165" w:type="dxa"/>
            <w:vAlign w:val="center"/>
          </w:tcPr>
          <w:p>
            <w:pPr>
              <w:pStyle w:val="132"/>
              <w:rPr>
                <w:b/>
                <w:bCs/>
              </w:rPr>
            </w:pPr>
            <w:r>
              <w:rPr>
                <w:b/>
                <w:bCs/>
              </w:rPr>
              <w:t>监测项目</w:t>
            </w:r>
          </w:p>
        </w:tc>
        <w:tc>
          <w:tcPr>
            <w:tcW w:w="1020" w:type="dxa"/>
            <w:vAlign w:val="center"/>
          </w:tcPr>
          <w:p>
            <w:pPr>
              <w:pStyle w:val="132"/>
              <w:rPr>
                <w:b/>
                <w:bCs/>
              </w:rPr>
            </w:pPr>
            <w:r>
              <w:rPr>
                <w:b/>
                <w:bCs/>
              </w:rPr>
              <w:t>区域</w:t>
            </w:r>
          </w:p>
        </w:tc>
        <w:tc>
          <w:tcPr>
            <w:tcW w:w="3739" w:type="dxa"/>
            <w:vAlign w:val="center"/>
          </w:tcPr>
          <w:p>
            <w:pPr>
              <w:pStyle w:val="132"/>
              <w:rPr>
                <w:b/>
                <w:bCs/>
              </w:rPr>
            </w:pPr>
            <w:r>
              <w:rPr>
                <w:b/>
                <w:bCs/>
              </w:rPr>
              <w:t>施工阶段</w:t>
            </w:r>
          </w:p>
        </w:tc>
        <w:tc>
          <w:tcPr>
            <w:tcW w:w="1670" w:type="dxa"/>
            <w:vAlign w:val="center"/>
          </w:tcPr>
          <w:p>
            <w:pPr>
              <w:pStyle w:val="132"/>
              <w:rPr>
                <w:b/>
                <w:bCs/>
              </w:rPr>
            </w:pPr>
            <w:r>
              <w:rPr>
                <w:b/>
                <w:bCs/>
              </w:rPr>
              <w:t>监测点排放限值（μg/m</w:t>
            </w:r>
            <w:r>
              <w:rPr>
                <w:b/>
                <w:bCs/>
                <w:vertAlign w:val="superscript"/>
              </w:rPr>
              <w:t>3</w:t>
            </w:r>
            <w:r>
              <w:rPr>
                <w:b/>
                <w:bCs/>
              </w:rPr>
              <w:t>）</w:t>
            </w:r>
          </w:p>
        </w:tc>
        <w:tc>
          <w:tcPr>
            <w:tcW w:w="1323" w:type="dxa"/>
            <w:vAlign w:val="center"/>
          </w:tcPr>
          <w:p>
            <w:pPr>
              <w:pStyle w:val="132"/>
              <w:rPr>
                <w:b/>
                <w:bCs/>
              </w:rPr>
            </w:pPr>
            <w:r>
              <w:rPr>
                <w:b/>
                <w:bCs/>
              </w:rPr>
              <w:t>监测时间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1165" w:type="dxa"/>
            <w:vMerge w:val="restart"/>
            <w:vAlign w:val="center"/>
          </w:tcPr>
          <w:p>
            <w:pPr>
              <w:pStyle w:val="132"/>
            </w:pPr>
            <w:r>
              <w:t>总悬浮颗粒物</w:t>
            </w:r>
          </w:p>
        </w:tc>
        <w:tc>
          <w:tcPr>
            <w:tcW w:w="1020" w:type="dxa"/>
            <w:vMerge w:val="restart"/>
            <w:vAlign w:val="center"/>
          </w:tcPr>
          <w:p>
            <w:pPr>
              <w:pStyle w:val="132"/>
            </w:pPr>
            <w:r>
              <w:t>达州市</w:t>
            </w:r>
          </w:p>
        </w:tc>
        <w:tc>
          <w:tcPr>
            <w:tcW w:w="3739" w:type="dxa"/>
            <w:vAlign w:val="center"/>
          </w:tcPr>
          <w:p>
            <w:pPr>
              <w:pStyle w:val="132"/>
            </w:pPr>
            <w:r>
              <w:t>拆除工程/土方开挖/土方回填阶段600</w:t>
            </w:r>
          </w:p>
        </w:tc>
        <w:tc>
          <w:tcPr>
            <w:tcW w:w="1670" w:type="dxa"/>
            <w:vAlign w:val="center"/>
          </w:tcPr>
          <w:p>
            <w:pPr>
              <w:pStyle w:val="132"/>
            </w:pPr>
            <w:r>
              <w:t>600</w:t>
            </w:r>
          </w:p>
        </w:tc>
        <w:tc>
          <w:tcPr>
            <w:tcW w:w="1323" w:type="dxa"/>
            <w:vMerge w:val="restart"/>
            <w:vAlign w:val="center"/>
          </w:tcPr>
          <w:p>
            <w:pPr>
              <w:pStyle w:val="132"/>
            </w:pPr>
            <w:r>
              <w:t>自监测起持续15分钟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165" w:type="dxa"/>
            <w:vMerge w:val="continue"/>
            <w:vAlign w:val="center"/>
          </w:tcPr>
          <w:p>
            <w:pPr>
              <w:pStyle w:val="132"/>
            </w:pPr>
          </w:p>
        </w:tc>
        <w:tc>
          <w:tcPr>
            <w:tcW w:w="1020" w:type="dxa"/>
            <w:vMerge w:val="continue"/>
            <w:vAlign w:val="center"/>
          </w:tcPr>
          <w:p>
            <w:pPr>
              <w:pStyle w:val="132"/>
            </w:pPr>
          </w:p>
        </w:tc>
        <w:tc>
          <w:tcPr>
            <w:tcW w:w="3739" w:type="dxa"/>
            <w:vAlign w:val="center"/>
          </w:tcPr>
          <w:p>
            <w:pPr>
              <w:pStyle w:val="132"/>
            </w:pPr>
            <w:r>
              <w:t>其他工程阶段</w:t>
            </w:r>
          </w:p>
        </w:tc>
        <w:tc>
          <w:tcPr>
            <w:tcW w:w="1670" w:type="dxa"/>
            <w:vAlign w:val="center"/>
          </w:tcPr>
          <w:p>
            <w:pPr>
              <w:pStyle w:val="132"/>
            </w:pPr>
            <w:r>
              <w:t>250</w:t>
            </w:r>
          </w:p>
        </w:tc>
        <w:tc>
          <w:tcPr>
            <w:tcW w:w="1323" w:type="dxa"/>
            <w:vMerge w:val="continue"/>
            <w:vAlign w:val="center"/>
          </w:tcPr>
          <w:p>
            <w:pPr>
              <w:pStyle w:val="132"/>
            </w:pPr>
          </w:p>
        </w:tc>
      </w:tr>
    </w:tbl>
    <w:p>
      <w:pPr>
        <w:topLinePunct w:val="0"/>
        <w:snapToGrid w:val="0"/>
        <w:spacing w:beforeLines="50"/>
        <w:ind w:firstLine="480" w:firstLineChars="0"/>
        <w:rPr>
          <w:rFonts w:ascii="Times New Roman" w:cs="Times New Roman"/>
          <w:b/>
          <w:color w:val="FF0000"/>
          <w:kern w:val="2"/>
          <w:sz w:val="21"/>
          <w:szCs w:val="20"/>
        </w:rPr>
      </w:pPr>
      <w:r>
        <w:rPr>
          <w:rFonts w:ascii="Times New Roman" w:cs="Times New Roman"/>
          <w:color w:val="FF0000"/>
        </w:rPr>
        <w:t>VOCs执行《挥发性有机物无组织排放控制标准》（GB 37822-2019）的管控要求。</w:t>
      </w:r>
    </w:p>
    <w:p>
      <w:pPr>
        <w:topLinePunct w:val="0"/>
        <w:snapToGrid w:val="0"/>
        <w:spacing w:beforeLines="50"/>
        <w:ind w:firstLine="480" w:firstLineChars="0"/>
        <w:jc w:val="center"/>
        <w:rPr>
          <w:rFonts w:ascii="Times New Roman" w:cs="Times New Roman"/>
          <w:b/>
          <w:color w:val="FF0000"/>
          <w:kern w:val="2"/>
          <w:sz w:val="21"/>
          <w:szCs w:val="20"/>
        </w:rPr>
      </w:pPr>
      <w:r>
        <w:rPr>
          <w:rFonts w:ascii="Times New Roman" w:cs="Times New Roman"/>
          <w:b/>
          <w:color w:val="FF0000"/>
          <w:kern w:val="2"/>
          <w:sz w:val="21"/>
          <w:szCs w:val="20"/>
        </w:rPr>
        <w:t xml:space="preserve">表1.5-8  </w:t>
      </w:r>
      <w:r>
        <w:rPr>
          <w:rFonts w:hint="eastAsia" w:ascii="Times New Roman" w:cs="Times New Roman"/>
          <w:b/>
          <w:color w:val="FF0000"/>
          <w:kern w:val="2"/>
          <w:sz w:val="21"/>
          <w:szCs w:val="20"/>
        </w:rPr>
        <w:t>挥发性有机物无组织排放控制标准</w:t>
      </w:r>
      <w:r>
        <w:rPr>
          <w:rFonts w:ascii="Times New Roman" w:cs="Times New Roman"/>
          <w:b/>
          <w:color w:val="FF0000"/>
          <w:kern w:val="2"/>
          <w:sz w:val="21"/>
          <w:szCs w:val="20"/>
        </w:rPr>
        <w:t xml:space="preserve">  单位：mg/m</w:t>
      </w:r>
      <w:r>
        <w:rPr>
          <w:rFonts w:ascii="Times New Roman" w:cs="Times New Roman"/>
          <w:b/>
          <w:color w:val="FF0000"/>
          <w:kern w:val="2"/>
          <w:sz w:val="21"/>
          <w:szCs w:val="20"/>
          <w:vertAlign w:val="superscript"/>
        </w:rPr>
        <w:t>3</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559"/>
        <w:gridCol w:w="2694"/>
        <w:gridCol w:w="23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widowControl/>
              <w:topLinePunct w:val="0"/>
              <w:snapToGrid w:val="0"/>
              <w:spacing w:line="240" w:lineRule="auto"/>
              <w:ind w:firstLine="0" w:firstLineChars="0"/>
              <w:jc w:val="center"/>
              <w:rPr>
                <w:rFonts w:ascii="Times New Roman" w:cs="Times New Roman"/>
                <w:b/>
                <w:color w:val="FF0000"/>
                <w:kern w:val="2"/>
                <w:sz w:val="21"/>
                <w:szCs w:val="21"/>
              </w:rPr>
            </w:pPr>
            <w:r>
              <w:rPr>
                <w:rFonts w:ascii="Times New Roman" w:hAnsi="宋体" w:cs="Times New Roman"/>
                <w:b/>
                <w:color w:val="FF0000"/>
                <w:kern w:val="2"/>
                <w:sz w:val="21"/>
                <w:szCs w:val="21"/>
              </w:rPr>
              <w:t>污染物项目</w:t>
            </w:r>
          </w:p>
        </w:tc>
        <w:tc>
          <w:tcPr>
            <w:tcW w:w="1559" w:type="dxa"/>
            <w:vAlign w:val="center"/>
          </w:tcPr>
          <w:p>
            <w:pPr>
              <w:widowControl/>
              <w:topLinePunct w:val="0"/>
              <w:snapToGrid w:val="0"/>
              <w:spacing w:line="240" w:lineRule="auto"/>
              <w:ind w:firstLine="0" w:firstLineChars="0"/>
              <w:jc w:val="center"/>
              <w:rPr>
                <w:rFonts w:ascii="Times New Roman" w:cs="Times New Roman"/>
                <w:b/>
                <w:color w:val="FF0000"/>
                <w:kern w:val="2"/>
                <w:sz w:val="21"/>
                <w:szCs w:val="21"/>
              </w:rPr>
            </w:pPr>
            <w:r>
              <w:rPr>
                <w:rFonts w:hint="eastAsia" w:ascii="Times New Roman" w:cs="Times New Roman"/>
                <w:b/>
                <w:color w:val="FF0000"/>
                <w:kern w:val="2"/>
                <w:sz w:val="21"/>
                <w:szCs w:val="21"/>
              </w:rPr>
              <w:t>排放</w:t>
            </w:r>
            <w:r>
              <w:rPr>
                <w:rFonts w:ascii="Times New Roman" w:cs="Times New Roman"/>
                <w:b/>
                <w:color w:val="FF0000"/>
                <w:kern w:val="2"/>
                <w:sz w:val="21"/>
                <w:szCs w:val="21"/>
              </w:rPr>
              <w:t>限值</w:t>
            </w:r>
          </w:p>
        </w:tc>
        <w:tc>
          <w:tcPr>
            <w:tcW w:w="2694" w:type="dxa"/>
            <w:vAlign w:val="center"/>
          </w:tcPr>
          <w:p>
            <w:pPr>
              <w:widowControl/>
              <w:topLinePunct w:val="0"/>
              <w:snapToGrid w:val="0"/>
              <w:spacing w:line="240" w:lineRule="auto"/>
              <w:ind w:firstLine="0" w:firstLineChars="0"/>
              <w:jc w:val="center"/>
              <w:rPr>
                <w:rFonts w:ascii="Times New Roman" w:cs="Times New Roman"/>
                <w:b/>
                <w:color w:val="FF0000"/>
                <w:kern w:val="2"/>
                <w:sz w:val="21"/>
                <w:szCs w:val="21"/>
              </w:rPr>
            </w:pPr>
            <w:r>
              <w:rPr>
                <w:rFonts w:hint="eastAsia" w:ascii="Times New Roman" w:cs="Times New Roman"/>
                <w:b/>
                <w:color w:val="FF0000"/>
                <w:kern w:val="2"/>
                <w:sz w:val="21"/>
                <w:szCs w:val="21"/>
              </w:rPr>
              <w:t>限值</w:t>
            </w:r>
            <w:r>
              <w:rPr>
                <w:rFonts w:ascii="Times New Roman" w:cs="Times New Roman"/>
                <w:b/>
                <w:color w:val="FF0000"/>
                <w:kern w:val="2"/>
                <w:sz w:val="21"/>
                <w:szCs w:val="21"/>
              </w:rPr>
              <w:t>含义</w:t>
            </w:r>
          </w:p>
        </w:tc>
        <w:tc>
          <w:tcPr>
            <w:tcW w:w="2318" w:type="dxa"/>
            <w:vAlign w:val="center"/>
          </w:tcPr>
          <w:p>
            <w:pPr>
              <w:widowControl/>
              <w:topLinePunct w:val="0"/>
              <w:snapToGrid w:val="0"/>
              <w:spacing w:line="240" w:lineRule="auto"/>
              <w:ind w:left="152" w:hanging="152" w:hangingChars="72"/>
              <w:jc w:val="center"/>
              <w:rPr>
                <w:rFonts w:ascii="Times New Roman" w:cs="Times New Roman"/>
                <w:b/>
                <w:color w:val="FF0000"/>
                <w:kern w:val="2"/>
                <w:sz w:val="21"/>
                <w:szCs w:val="21"/>
              </w:rPr>
            </w:pPr>
            <w:r>
              <w:rPr>
                <w:rFonts w:hint="eastAsia" w:ascii="Times New Roman" w:hAnsi="宋体" w:cs="Times New Roman"/>
                <w:b/>
                <w:color w:val="FF0000"/>
                <w:kern w:val="2"/>
                <w:sz w:val="21"/>
                <w:szCs w:val="21"/>
              </w:rPr>
              <w:t>无组织</w:t>
            </w:r>
            <w:r>
              <w:rPr>
                <w:rFonts w:ascii="Times New Roman" w:hAnsi="宋体" w:cs="Times New Roman"/>
                <w:b/>
                <w:color w:val="FF0000"/>
                <w:kern w:val="2"/>
                <w:sz w:val="21"/>
                <w:szCs w:val="21"/>
              </w:rPr>
              <w:t>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51"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hint="eastAsia" w:ascii="Times New Roman" w:cs="Times New Roman"/>
                <w:color w:val="FF0000"/>
                <w:kern w:val="2"/>
                <w:sz w:val="21"/>
                <w:szCs w:val="21"/>
              </w:rPr>
              <w:t>NMHC</w:t>
            </w:r>
          </w:p>
        </w:tc>
        <w:tc>
          <w:tcPr>
            <w:tcW w:w="1559"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hint="eastAsia" w:ascii="Times New Roman" w:cs="Times New Roman"/>
                <w:color w:val="FF0000"/>
                <w:kern w:val="2"/>
                <w:sz w:val="21"/>
                <w:szCs w:val="21"/>
              </w:rPr>
              <w:t>10</w:t>
            </w:r>
          </w:p>
        </w:tc>
        <w:tc>
          <w:tcPr>
            <w:tcW w:w="2694"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hint="eastAsia" w:ascii="Times New Roman" w:cs="Times New Roman"/>
                <w:color w:val="FF0000"/>
                <w:kern w:val="2"/>
                <w:sz w:val="21"/>
                <w:szCs w:val="21"/>
              </w:rPr>
              <w:t>监控点处1h平均浓度</w:t>
            </w:r>
          </w:p>
        </w:tc>
        <w:tc>
          <w:tcPr>
            <w:tcW w:w="2318"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hint="eastAsia" w:ascii="Times New Roman" w:cs="Times New Roman"/>
                <w:color w:val="FF0000"/>
                <w:kern w:val="2"/>
                <w:sz w:val="21"/>
                <w:szCs w:val="21"/>
              </w:rPr>
              <w:t>在</w:t>
            </w:r>
            <w:r>
              <w:rPr>
                <w:rFonts w:ascii="Times New Roman" w:cs="Times New Roman"/>
                <w:color w:val="FF0000"/>
                <w:kern w:val="2"/>
                <w:sz w:val="21"/>
                <w:szCs w:val="21"/>
              </w:rPr>
              <w:t>厂房外设置监控点</w:t>
            </w:r>
          </w:p>
        </w:tc>
      </w:tr>
    </w:tbl>
    <w:p>
      <w:pPr>
        <w:pStyle w:val="112"/>
        <w:ind w:firstLine="480"/>
        <w:rPr>
          <w:color w:val="FF0000"/>
        </w:rPr>
      </w:pPr>
      <w:r>
        <w:rPr>
          <w:color w:val="FF0000"/>
        </w:rPr>
        <w:t>空气钻粉尘执行《大气污染物综合排放标准》（GB 16297-1996）表2中的二级标准</w:t>
      </w:r>
      <w:r>
        <w:rPr>
          <w:rFonts w:hint="eastAsia"/>
          <w:color w:val="FF0000"/>
        </w:rPr>
        <w:t>。</w:t>
      </w:r>
    </w:p>
    <w:p>
      <w:pPr>
        <w:topLinePunct w:val="0"/>
        <w:snapToGrid w:val="0"/>
        <w:spacing w:beforeLines="50"/>
        <w:ind w:firstLine="480" w:firstLineChars="0"/>
        <w:jc w:val="center"/>
        <w:rPr>
          <w:rFonts w:ascii="Times New Roman" w:cs="Times New Roman"/>
          <w:b/>
          <w:kern w:val="2"/>
          <w:sz w:val="21"/>
          <w:szCs w:val="20"/>
        </w:rPr>
      </w:pPr>
      <w:r>
        <w:rPr>
          <w:rFonts w:ascii="Times New Roman" w:cs="Times New Roman"/>
          <w:b/>
          <w:kern w:val="2"/>
          <w:sz w:val="21"/>
          <w:szCs w:val="20"/>
        </w:rPr>
        <w:t>表1.5-</w:t>
      </w:r>
      <w:r>
        <w:rPr>
          <w:rFonts w:hint="eastAsia" w:ascii="Times New Roman" w:cs="Times New Roman"/>
          <w:b/>
          <w:kern w:val="2"/>
          <w:sz w:val="21"/>
          <w:szCs w:val="20"/>
        </w:rPr>
        <w:t>9</w:t>
      </w:r>
      <w:r>
        <w:rPr>
          <w:rFonts w:ascii="Times New Roman" w:cs="Times New Roman"/>
          <w:b/>
          <w:kern w:val="2"/>
          <w:sz w:val="21"/>
          <w:szCs w:val="20"/>
        </w:rPr>
        <w:t xml:space="preserve">  其他废气排放执行标准  单位：mg/m</w:t>
      </w:r>
      <w:r>
        <w:rPr>
          <w:rFonts w:ascii="Times New Roman" w:cs="Times New Roman"/>
          <w:b/>
          <w:kern w:val="2"/>
          <w:sz w:val="21"/>
          <w:szCs w:val="20"/>
          <w:vertAlign w:val="superscript"/>
        </w:rPr>
        <w:t>3</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1632"/>
        <w:gridCol w:w="1423"/>
        <w:gridCol w:w="1418"/>
        <w:gridCol w:w="23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hAnsi="宋体" w:cs="Times New Roman"/>
                <w:b/>
                <w:kern w:val="2"/>
                <w:sz w:val="21"/>
                <w:szCs w:val="21"/>
              </w:rPr>
              <w:t>标准</w:t>
            </w:r>
          </w:p>
        </w:tc>
        <w:tc>
          <w:tcPr>
            <w:tcW w:w="1632"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hAnsi="宋体" w:cs="Times New Roman"/>
                <w:b/>
                <w:kern w:val="2"/>
                <w:sz w:val="21"/>
                <w:szCs w:val="21"/>
              </w:rPr>
              <w:t>项目</w:t>
            </w:r>
          </w:p>
        </w:tc>
        <w:tc>
          <w:tcPr>
            <w:tcW w:w="1423"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SO</w:t>
            </w:r>
            <w:r>
              <w:rPr>
                <w:rFonts w:ascii="Times New Roman" w:cs="Times New Roman"/>
                <w:b/>
                <w:kern w:val="2"/>
                <w:sz w:val="21"/>
                <w:szCs w:val="21"/>
                <w:vertAlign w:val="subscript"/>
              </w:rPr>
              <w:t>2</w:t>
            </w:r>
          </w:p>
        </w:tc>
        <w:tc>
          <w:tcPr>
            <w:tcW w:w="1418"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NO</w:t>
            </w:r>
            <w:r>
              <w:rPr>
                <w:rFonts w:ascii="Times New Roman" w:cs="Times New Roman"/>
                <w:b/>
                <w:kern w:val="2"/>
                <w:sz w:val="21"/>
                <w:szCs w:val="21"/>
                <w:vertAlign w:val="subscript"/>
              </w:rPr>
              <w:t>x</w:t>
            </w:r>
          </w:p>
        </w:tc>
        <w:tc>
          <w:tcPr>
            <w:tcW w:w="2318" w:type="dxa"/>
            <w:vAlign w:val="center"/>
          </w:tcPr>
          <w:p>
            <w:pPr>
              <w:widowControl/>
              <w:topLinePunct w:val="0"/>
              <w:snapToGrid w:val="0"/>
              <w:spacing w:line="240" w:lineRule="auto"/>
              <w:ind w:left="152" w:hanging="152" w:hangingChars="72"/>
              <w:jc w:val="center"/>
              <w:rPr>
                <w:rFonts w:ascii="Times New Roman" w:cs="Times New Roman"/>
                <w:b/>
                <w:kern w:val="2"/>
                <w:sz w:val="21"/>
                <w:szCs w:val="21"/>
              </w:rPr>
            </w:pPr>
            <w:r>
              <w:rPr>
                <w:rFonts w:ascii="Times New Roman" w:hAnsi="宋体" w:cs="Times New Roman"/>
                <w:b/>
                <w:kern w:val="2"/>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73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大气污染物综合排放标准</w:t>
            </w:r>
          </w:p>
        </w:tc>
        <w:tc>
          <w:tcPr>
            <w:tcW w:w="163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周界外浓度最高点</w:t>
            </w:r>
          </w:p>
        </w:tc>
        <w:tc>
          <w:tcPr>
            <w:tcW w:w="1423"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0.40</w:t>
            </w:r>
          </w:p>
        </w:tc>
        <w:tc>
          <w:tcPr>
            <w:tcW w:w="141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0.1</w:t>
            </w:r>
            <w:r>
              <w:rPr>
                <w:rFonts w:hint="eastAsia" w:ascii="Times New Roman" w:cs="Times New Roman"/>
                <w:kern w:val="2"/>
                <w:sz w:val="21"/>
                <w:szCs w:val="21"/>
              </w:rPr>
              <w:t>2</w:t>
            </w:r>
          </w:p>
        </w:tc>
        <w:tc>
          <w:tcPr>
            <w:tcW w:w="231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1.0</w:t>
            </w:r>
          </w:p>
        </w:tc>
      </w:tr>
    </w:tbl>
    <w:p>
      <w:pPr>
        <w:pStyle w:val="112"/>
        <w:ind w:firstLine="480"/>
        <w:rPr>
          <w:szCs w:val="24"/>
        </w:rPr>
      </w:pPr>
      <w:r>
        <w:t>营运期水套炉废气执行《锅炉大气污染物排放标准》（GB13271-2014）中表2新建锅炉大气污染物排放限值燃气锅炉排放标准</w:t>
      </w:r>
      <w:r>
        <w:rPr>
          <w:rFonts w:hint="eastAsia"/>
        </w:rPr>
        <w:t>，</w:t>
      </w:r>
      <w:r>
        <w:t>食堂油烟</w:t>
      </w:r>
      <w:r>
        <w:rPr>
          <w:color w:val="FF0000"/>
        </w:rPr>
        <w:t>参照执行</w:t>
      </w:r>
      <w:r>
        <w:rPr>
          <w:rFonts w:hint="eastAsia"/>
        </w:rPr>
        <w:t>《饮食业油烟排放标准》（</w:t>
      </w:r>
      <w:r>
        <w:t>GB</w:t>
      </w:r>
      <w:r>
        <w:rPr>
          <w:rFonts w:hint="eastAsia"/>
        </w:rPr>
        <w:t>18483</w:t>
      </w:r>
      <w:r>
        <w:t>-20</w:t>
      </w:r>
      <w:r>
        <w:rPr>
          <w:rFonts w:hint="eastAsia"/>
        </w:rPr>
        <w:t>01）</w:t>
      </w:r>
      <w:r>
        <w:t>。</w:t>
      </w:r>
      <w:r>
        <w:rPr>
          <w:szCs w:val="24"/>
        </w:rPr>
        <w:t>具体执行标准详见表</w:t>
      </w:r>
      <w:r>
        <w:rPr>
          <w:rFonts w:hint="eastAsia"/>
          <w:szCs w:val="24"/>
        </w:rPr>
        <w:t>1.5-10~ 1.5-11</w:t>
      </w:r>
      <w:r>
        <w:rPr>
          <w:szCs w:val="24"/>
        </w:rPr>
        <w:t>。</w:t>
      </w:r>
    </w:p>
    <w:p>
      <w:pPr>
        <w:pStyle w:val="37"/>
        <w:rPr>
          <w:rFonts w:cs="Times New Roman"/>
        </w:rPr>
      </w:pPr>
      <w:r>
        <w:rPr>
          <w:rFonts w:cs="Times New Roman"/>
        </w:rPr>
        <w:t>表1.5-</w:t>
      </w:r>
      <w:r>
        <w:rPr>
          <w:rFonts w:hint="eastAsia" w:cs="Times New Roman"/>
        </w:rPr>
        <w:t>10</w:t>
      </w:r>
      <w:r>
        <w:rPr>
          <w:rFonts w:cs="Times New Roman"/>
        </w:rPr>
        <w:t xml:space="preserve">  《锅炉大气污染物排放标准》（GB13271-2014）标准浓度限值</w:t>
      </w:r>
    </w:p>
    <w:tbl>
      <w:tblPr>
        <w:tblStyle w:val="57"/>
        <w:tblW w:w="886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39"/>
        <w:gridCol w:w="2603"/>
        <w:gridCol w:w="29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339" w:type="dxa"/>
            <w:vAlign w:val="center"/>
          </w:tcPr>
          <w:p>
            <w:pPr>
              <w:pStyle w:val="37"/>
              <w:spacing w:line="240" w:lineRule="auto"/>
              <w:rPr>
                <w:rFonts w:cs="Times New Roman"/>
              </w:rPr>
            </w:pPr>
            <w:r>
              <w:rPr>
                <w:rFonts w:cs="Times New Roman"/>
              </w:rPr>
              <w:t>污染物项目</w:t>
            </w:r>
          </w:p>
        </w:tc>
        <w:tc>
          <w:tcPr>
            <w:tcW w:w="2603" w:type="dxa"/>
            <w:vAlign w:val="center"/>
          </w:tcPr>
          <w:p>
            <w:pPr>
              <w:pStyle w:val="37"/>
              <w:spacing w:line="240" w:lineRule="auto"/>
              <w:rPr>
                <w:rFonts w:cs="Times New Roman"/>
              </w:rPr>
            </w:pPr>
            <w:r>
              <w:rPr>
                <w:rFonts w:cs="Times New Roman"/>
              </w:rPr>
              <w:t>燃气锅炉限值</w:t>
            </w:r>
            <w:r>
              <w:rPr>
                <w:rFonts w:hint="eastAsia" w:cs="Times New Roman"/>
              </w:rPr>
              <w:t>（mg</w:t>
            </w:r>
            <w:r>
              <w:rPr>
                <w:rFonts w:cs="Times New Roman"/>
              </w:rPr>
              <w:t>/</w:t>
            </w:r>
            <w:r>
              <w:rPr>
                <w:rFonts w:hint="eastAsia" w:cs="Times New Roman"/>
              </w:rPr>
              <w:t>m</w:t>
            </w:r>
            <w:r>
              <w:rPr>
                <w:rFonts w:cs="Times New Roman"/>
                <w:vertAlign w:val="superscript"/>
              </w:rPr>
              <w:t>3</w:t>
            </w:r>
            <w:r>
              <w:rPr>
                <w:rFonts w:hint="eastAsia" w:cs="Times New Roman"/>
              </w:rPr>
              <w:t>）</w:t>
            </w:r>
          </w:p>
        </w:tc>
        <w:tc>
          <w:tcPr>
            <w:tcW w:w="2924" w:type="dxa"/>
            <w:vAlign w:val="center"/>
          </w:tcPr>
          <w:p>
            <w:pPr>
              <w:pStyle w:val="37"/>
              <w:spacing w:line="240" w:lineRule="auto"/>
              <w:rPr>
                <w:rFonts w:cs="Times New Roman"/>
              </w:rPr>
            </w:pPr>
            <w:r>
              <w:rPr>
                <w:rFonts w:cs="Times New Roman"/>
              </w:rPr>
              <w:t>污染物监控位置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3339" w:type="dxa"/>
            <w:vAlign w:val="center"/>
          </w:tcPr>
          <w:p>
            <w:pPr>
              <w:pStyle w:val="37"/>
              <w:spacing w:line="240" w:lineRule="auto"/>
              <w:rPr>
                <w:rFonts w:cs="Times New Roman"/>
                <w:b w:val="0"/>
                <w:bCs/>
              </w:rPr>
            </w:pPr>
            <w:r>
              <w:rPr>
                <w:rFonts w:cs="Times New Roman"/>
                <w:b w:val="0"/>
                <w:bCs/>
              </w:rPr>
              <w:t>颗粒物</w:t>
            </w:r>
          </w:p>
        </w:tc>
        <w:tc>
          <w:tcPr>
            <w:tcW w:w="2603" w:type="dxa"/>
            <w:vAlign w:val="center"/>
          </w:tcPr>
          <w:p>
            <w:pPr>
              <w:pStyle w:val="37"/>
              <w:spacing w:line="240" w:lineRule="auto"/>
              <w:rPr>
                <w:rFonts w:cs="Times New Roman"/>
                <w:b w:val="0"/>
                <w:bCs/>
              </w:rPr>
            </w:pPr>
            <w:r>
              <w:rPr>
                <w:rFonts w:cs="Times New Roman"/>
                <w:b w:val="0"/>
                <w:bCs/>
              </w:rPr>
              <w:t>20</w:t>
            </w:r>
          </w:p>
        </w:tc>
        <w:tc>
          <w:tcPr>
            <w:tcW w:w="2924" w:type="dxa"/>
            <w:vMerge w:val="restart"/>
            <w:vAlign w:val="center"/>
          </w:tcPr>
          <w:p>
            <w:pPr>
              <w:pStyle w:val="37"/>
              <w:spacing w:line="240" w:lineRule="auto"/>
              <w:rPr>
                <w:rFonts w:cs="Times New Roman"/>
                <w:b w:val="0"/>
                <w:bCs/>
              </w:rPr>
            </w:pPr>
            <w:r>
              <w:rPr>
                <w:rFonts w:cs="Times New Roman"/>
                <w:b w:val="0"/>
                <w:bCs/>
              </w:rPr>
              <w:t>烟囱或烟道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339" w:type="dxa"/>
            <w:vAlign w:val="center"/>
          </w:tcPr>
          <w:p>
            <w:pPr>
              <w:pStyle w:val="37"/>
              <w:spacing w:line="240" w:lineRule="auto"/>
              <w:rPr>
                <w:rFonts w:cs="Times New Roman"/>
                <w:b w:val="0"/>
                <w:bCs/>
              </w:rPr>
            </w:pPr>
            <w:r>
              <w:rPr>
                <w:rFonts w:cs="Times New Roman"/>
                <w:b w:val="0"/>
                <w:bCs/>
              </w:rPr>
              <w:t>二氧化硫</w:t>
            </w:r>
          </w:p>
        </w:tc>
        <w:tc>
          <w:tcPr>
            <w:tcW w:w="2603" w:type="dxa"/>
            <w:vAlign w:val="center"/>
          </w:tcPr>
          <w:p>
            <w:pPr>
              <w:pStyle w:val="37"/>
              <w:spacing w:line="240" w:lineRule="auto"/>
              <w:rPr>
                <w:rFonts w:cs="Times New Roman"/>
                <w:b w:val="0"/>
                <w:bCs/>
              </w:rPr>
            </w:pPr>
            <w:r>
              <w:rPr>
                <w:rFonts w:cs="Times New Roman"/>
                <w:b w:val="0"/>
                <w:bCs/>
              </w:rPr>
              <w:t>50</w:t>
            </w:r>
          </w:p>
        </w:tc>
        <w:tc>
          <w:tcPr>
            <w:tcW w:w="2924" w:type="dxa"/>
            <w:vMerge w:val="continue"/>
            <w:vAlign w:val="center"/>
          </w:tcPr>
          <w:p>
            <w:pPr>
              <w:pStyle w:val="37"/>
              <w:spacing w:line="240" w:lineRule="auto"/>
              <w:rPr>
                <w:rFonts w:cs="Times New Roman"/>
                <w:b w:val="0"/>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3339" w:type="dxa"/>
            <w:vAlign w:val="center"/>
          </w:tcPr>
          <w:p>
            <w:pPr>
              <w:pStyle w:val="37"/>
              <w:spacing w:line="240" w:lineRule="auto"/>
              <w:rPr>
                <w:rFonts w:cs="Times New Roman"/>
                <w:b w:val="0"/>
                <w:bCs/>
              </w:rPr>
            </w:pPr>
            <w:r>
              <w:rPr>
                <w:rFonts w:cs="Times New Roman"/>
                <w:b w:val="0"/>
                <w:bCs/>
              </w:rPr>
              <w:t>氮氧化物</w:t>
            </w:r>
          </w:p>
        </w:tc>
        <w:tc>
          <w:tcPr>
            <w:tcW w:w="2603" w:type="dxa"/>
            <w:vAlign w:val="center"/>
          </w:tcPr>
          <w:p>
            <w:pPr>
              <w:pStyle w:val="37"/>
              <w:spacing w:line="240" w:lineRule="auto"/>
              <w:rPr>
                <w:rFonts w:cs="Times New Roman"/>
                <w:b w:val="0"/>
                <w:bCs/>
              </w:rPr>
            </w:pPr>
            <w:r>
              <w:rPr>
                <w:rFonts w:cs="Times New Roman"/>
                <w:b w:val="0"/>
                <w:bCs/>
              </w:rPr>
              <w:t>200</w:t>
            </w:r>
          </w:p>
        </w:tc>
        <w:tc>
          <w:tcPr>
            <w:tcW w:w="2924" w:type="dxa"/>
            <w:vMerge w:val="continue"/>
            <w:vAlign w:val="center"/>
          </w:tcPr>
          <w:p>
            <w:pPr>
              <w:pStyle w:val="37"/>
              <w:spacing w:line="240" w:lineRule="auto"/>
              <w:rPr>
                <w:rFonts w:cs="Times New Roman"/>
                <w:b w:val="0"/>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3339" w:type="dxa"/>
            <w:vAlign w:val="center"/>
          </w:tcPr>
          <w:p>
            <w:pPr>
              <w:pStyle w:val="37"/>
              <w:spacing w:line="240" w:lineRule="auto"/>
              <w:rPr>
                <w:rFonts w:cs="Times New Roman"/>
                <w:b w:val="0"/>
                <w:bCs/>
              </w:rPr>
            </w:pPr>
            <w:r>
              <w:rPr>
                <w:rFonts w:cs="Times New Roman"/>
                <w:b w:val="0"/>
                <w:bCs/>
              </w:rPr>
              <w:t>烟气黑度（林格曼黑度，级）</w:t>
            </w:r>
          </w:p>
        </w:tc>
        <w:tc>
          <w:tcPr>
            <w:tcW w:w="2603" w:type="dxa"/>
            <w:vAlign w:val="center"/>
          </w:tcPr>
          <w:p>
            <w:pPr>
              <w:pStyle w:val="37"/>
              <w:spacing w:line="240" w:lineRule="auto"/>
              <w:rPr>
                <w:rFonts w:cs="Times New Roman"/>
                <w:b w:val="0"/>
                <w:bCs/>
              </w:rPr>
            </w:pPr>
            <w:r>
              <w:rPr>
                <w:rFonts w:cs="Times New Roman"/>
                <w:b w:val="0"/>
                <w:bCs/>
              </w:rPr>
              <w:t>≤1</w:t>
            </w:r>
          </w:p>
        </w:tc>
        <w:tc>
          <w:tcPr>
            <w:tcW w:w="2924" w:type="dxa"/>
            <w:vAlign w:val="center"/>
          </w:tcPr>
          <w:p>
            <w:pPr>
              <w:pStyle w:val="37"/>
              <w:spacing w:line="240" w:lineRule="auto"/>
              <w:rPr>
                <w:rFonts w:cs="Times New Roman"/>
                <w:b w:val="0"/>
                <w:bCs/>
              </w:rPr>
            </w:pPr>
            <w:r>
              <w:rPr>
                <w:rFonts w:cs="Times New Roman"/>
                <w:b w:val="0"/>
                <w:bCs/>
              </w:rPr>
              <w:t>烟囱排放口</w:t>
            </w:r>
          </w:p>
        </w:tc>
      </w:tr>
    </w:tbl>
    <w:p>
      <w:pPr>
        <w:topLinePunct w:val="0"/>
        <w:adjustRightInd/>
        <w:spacing w:line="240" w:lineRule="auto"/>
        <w:ind w:firstLine="0" w:firstLineChars="0"/>
        <w:jc w:val="center"/>
        <w:rPr>
          <w:rFonts w:ascii="Times New Roman" w:cs="Times New Roman"/>
          <w:b/>
          <w:bCs/>
          <w:kern w:val="2"/>
          <w:sz w:val="21"/>
          <w:szCs w:val="21"/>
        </w:rPr>
      </w:pPr>
      <w:r>
        <w:rPr>
          <w:rFonts w:hint="eastAsia" w:ascii="Times New Roman" w:cs="Times New Roman"/>
          <w:b/>
          <w:bCs/>
          <w:kern w:val="2"/>
          <w:sz w:val="21"/>
          <w:szCs w:val="21"/>
        </w:rPr>
        <w:t>表</w:t>
      </w:r>
      <w:r>
        <w:rPr>
          <w:rFonts w:ascii="Times New Roman" w:cs="Times New Roman"/>
          <w:b/>
          <w:bCs/>
          <w:kern w:val="2"/>
          <w:sz w:val="21"/>
          <w:szCs w:val="21"/>
        </w:rPr>
        <w:t>1.5-</w:t>
      </w:r>
      <w:r>
        <w:rPr>
          <w:rFonts w:hint="eastAsia" w:ascii="Times New Roman" w:cs="Times New Roman"/>
          <w:b/>
          <w:bCs/>
          <w:kern w:val="2"/>
          <w:sz w:val="21"/>
          <w:szCs w:val="21"/>
        </w:rPr>
        <w:t>11  饮食业油烟排放标准</w:t>
      </w:r>
    </w:p>
    <w:tbl>
      <w:tblPr>
        <w:tblStyle w:val="57"/>
        <w:tblW w:w="87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06"/>
        <w:gridCol w:w="55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206"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污染物项目</w:t>
            </w:r>
          </w:p>
        </w:tc>
        <w:tc>
          <w:tcPr>
            <w:tcW w:w="5581"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最高允许排放浓度(mg/m</w:t>
            </w:r>
            <w:r>
              <w:rPr>
                <w:rFonts w:hint="eastAsia" w:ascii="Times New Roman" w:cs="Times New Roman"/>
                <w:kern w:val="2"/>
                <w:sz w:val="21"/>
                <w:szCs w:val="21"/>
                <w:vertAlign w:val="superscript"/>
              </w:rPr>
              <w:t>3</w:t>
            </w:r>
            <w:r>
              <w:rPr>
                <w:rFonts w:hint="eastAsia" w:ascii="Times New Roman" w:cs="Times New Roman"/>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206"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油烟</w:t>
            </w:r>
          </w:p>
        </w:tc>
        <w:tc>
          <w:tcPr>
            <w:tcW w:w="5581"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2.0</w:t>
            </w:r>
          </w:p>
        </w:tc>
      </w:tr>
    </w:tbl>
    <w:p>
      <w:pPr>
        <w:pStyle w:val="112"/>
        <w:ind w:firstLine="482"/>
        <w:rPr>
          <w:b/>
          <w:bCs/>
        </w:rPr>
      </w:pPr>
      <w:r>
        <w:rPr>
          <w:b/>
          <w:bCs/>
        </w:rPr>
        <w:t>2、废水</w:t>
      </w:r>
    </w:p>
    <w:p>
      <w:pPr>
        <w:pStyle w:val="112"/>
        <w:ind w:firstLine="480"/>
      </w:pPr>
      <w:r>
        <w:t>本项目</w:t>
      </w:r>
      <w:r>
        <w:rPr>
          <w:spacing w:val="-8"/>
          <w:szCs w:val="21"/>
        </w:rPr>
        <w:t>施工期管线施工人员生活污水依托租用附近居民房收集处理</w:t>
      </w:r>
      <w:r>
        <w:rPr>
          <w:rFonts w:hint="eastAsia"/>
          <w:spacing w:val="-8"/>
          <w:szCs w:val="21"/>
        </w:rPr>
        <w:t>，井</w:t>
      </w:r>
      <w:r>
        <w:rPr>
          <w:spacing w:val="-8"/>
          <w:szCs w:val="21"/>
        </w:rPr>
        <w:t>场施工</w:t>
      </w:r>
      <w:r>
        <w:rPr>
          <w:rFonts w:hint="eastAsia"/>
          <w:spacing w:val="-8"/>
          <w:szCs w:val="21"/>
          <w:lang w:eastAsia="zh-CN"/>
        </w:rPr>
        <w:t>如厕</w:t>
      </w:r>
      <w:r>
        <w:rPr>
          <w:spacing w:val="-8"/>
          <w:szCs w:val="21"/>
        </w:rPr>
        <w:t>生活污水</w:t>
      </w:r>
      <w:r>
        <w:rPr>
          <w:rFonts w:hint="eastAsia"/>
          <w:spacing w:val="-8"/>
          <w:szCs w:val="21"/>
        </w:rPr>
        <w:t>依托</w:t>
      </w:r>
      <w:r>
        <w:rPr>
          <w:spacing w:val="-8"/>
          <w:szCs w:val="21"/>
        </w:rPr>
        <w:t>经</w:t>
      </w:r>
      <w:r>
        <w:rPr>
          <w:bCs/>
          <w:spacing w:val="-8"/>
          <w:szCs w:val="21"/>
        </w:rPr>
        <w:t>生态环保厕所收集处理</w:t>
      </w:r>
      <w:r>
        <w:rPr>
          <w:spacing w:val="-8"/>
          <w:szCs w:val="21"/>
        </w:rPr>
        <w:t>后，用作周边农肥，不外排</w:t>
      </w:r>
      <w:r>
        <w:rPr>
          <w:rFonts w:hint="eastAsia"/>
          <w:spacing w:val="-8"/>
          <w:szCs w:val="21"/>
        </w:rPr>
        <w:t>，员工洗澡、食堂废水经单独收集后拉运至黄金镇场镇污水处理厂处理；初期雨水和</w:t>
      </w:r>
      <w:r>
        <w:rPr>
          <w:spacing w:val="-8"/>
          <w:szCs w:val="21"/>
        </w:rPr>
        <w:t>钻井废水经</w:t>
      </w:r>
      <w:r>
        <w:rPr>
          <w:rFonts w:hint="eastAsia"/>
          <w:spacing w:val="-8"/>
          <w:szCs w:val="21"/>
        </w:rPr>
        <w:t>清洁化操作平台</w:t>
      </w:r>
      <w:r>
        <w:rPr>
          <w:spacing w:val="-8"/>
          <w:szCs w:val="21"/>
        </w:rPr>
        <w:t>预处理后装车拉运至毛开1井回注站回注</w:t>
      </w:r>
      <w:r>
        <w:rPr>
          <w:rFonts w:hint="eastAsia"/>
          <w:spacing w:val="-8"/>
          <w:szCs w:val="21"/>
        </w:rPr>
        <w:t>；</w:t>
      </w:r>
      <w:r>
        <w:rPr>
          <w:spacing w:val="-8"/>
          <w:szCs w:val="21"/>
        </w:rPr>
        <w:t>压裂废水和洗井废水</w:t>
      </w:r>
      <w:r>
        <w:rPr>
          <w:rFonts w:hint="eastAsia"/>
          <w:spacing w:val="-8"/>
          <w:szCs w:val="21"/>
        </w:rPr>
        <w:t>暂存于现有污水池</w:t>
      </w:r>
      <w:r>
        <w:rPr>
          <w:spacing w:val="-8"/>
          <w:szCs w:val="21"/>
        </w:rPr>
        <w:t>，并及时装车拉运至大湾403污水站处理达标后管输至毛开1井回注站回注</w:t>
      </w:r>
      <w:r>
        <w:t>。</w:t>
      </w:r>
      <w:bookmarkStart w:id="67" w:name="_Hlk80470696"/>
      <w:r>
        <w:t>本项目运营期产生的气田水</w:t>
      </w:r>
      <w:r>
        <w:rPr>
          <w:rFonts w:hint="eastAsia"/>
        </w:rPr>
        <w:t>暂存于污水缓冲罐</w:t>
      </w:r>
      <w:r>
        <w:t>，然后通过密闭罐车拉运至大湾403污水站处理达到《气田水回注方法》（SY/T 6596</w:t>
      </w:r>
      <w:r>
        <w:rPr>
          <w:rFonts w:hint="eastAsia"/>
        </w:rPr>
        <w:t>-</w:t>
      </w:r>
      <w:r>
        <w:t>2016）中注入水基本要求后管输至毛开1井回注站回注处理，不外排</w:t>
      </w:r>
      <w:r>
        <w:rPr>
          <w:rFonts w:hint="eastAsia"/>
        </w:rPr>
        <w:t>；值守</w:t>
      </w:r>
      <w:r>
        <w:t>人员生活</w:t>
      </w:r>
      <w:r>
        <w:rPr>
          <w:rFonts w:hint="eastAsia"/>
        </w:rPr>
        <w:t>污水经</w:t>
      </w:r>
      <w:r>
        <w:t>生态环保厕所收集后，用作周边农肥，不外排。</w:t>
      </w:r>
    </w:p>
    <w:bookmarkEnd w:id="67"/>
    <w:p>
      <w:pPr>
        <w:pStyle w:val="112"/>
        <w:ind w:firstLine="482"/>
        <w:rPr>
          <w:b/>
          <w:bCs/>
        </w:rPr>
      </w:pPr>
      <w:r>
        <w:rPr>
          <w:b/>
          <w:bCs/>
        </w:rPr>
        <w:t>3、噪声</w:t>
      </w:r>
    </w:p>
    <w:p>
      <w:pPr>
        <w:pStyle w:val="112"/>
        <w:ind w:firstLine="480"/>
      </w:pPr>
      <w:r>
        <w:t>运营期噪声执行《工业企业厂界环境噪声排放标准》（GB12348-2008）中的2类标准。</w:t>
      </w:r>
    </w:p>
    <w:p>
      <w:pPr>
        <w:pStyle w:val="37"/>
        <w:rPr>
          <w:rFonts w:cs="Times New Roman"/>
        </w:rPr>
      </w:pPr>
      <w:r>
        <w:rPr>
          <w:rFonts w:cs="Times New Roman"/>
        </w:rPr>
        <w:t>表1.5-</w:t>
      </w:r>
      <w:r>
        <w:rPr>
          <w:rStyle w:val="133"/>
          <w:rFonts w:hint="eastAsia"/>
        </w:rPr>
        <w:t>12</w:t>
      </w:r>
      <w:r>
        <w:rPr>
          <w:rStyle w:val="133"/>
        </w:rPr>
        <w:t xml:space="preserve">  </w:t>
      </w:r>
      <w:r>
        <w:rPr>
          <w:rFonts w:cs="Times New Roman"/>
        </w:rPr>
        <w:t>工业企业厂界环境噪声排放标准   单位：dB</w:t>
      </w:r>
      <w:r>
        <w:rPr>
          <w:rFonts w:hint="eastAsia" w:cs="Times New Roman"/>
        </w:rPr>
        <w:t>（</w:t>
      </w:r>
      <w:r>
        <w:rPr>
          <w:rFonts w:cs="Times New Roman"/>
        </w:rPr>
        <w:t>A</w:t>
      </w:r>
      <w:r>
        <w:rPr>
          <w:rFonts w:hint="eastAsia" w:cs="Times New Roman"/>
        </w:rPr>
        <w:t>）</w:t>
      </w:r>
    </w:p>
    <w:tbl>
      <w:tblPr>
        <w:tblStyle w:val="57"/>
        <w:tblW w:w="5249" w:type="pct"/>
        <w:jc w:val="center"/>
        <w:tblLayout w:type="autofit"/>
        <w:tblCellMar>
          <w:top w:w="0" w:type="dxa"/>
          <w:left w:w="0" w:type="dxa"/>
          <w:bottom w:w="0" w:type="dxa"/>
          <w:right w:w="0" w:type="dxa"/>
        </w:tblCellMar>
      </w:tblPr>
      <w:tblGrid>
        <w:gridCol w:w="3238"/>
        <w:gridCol w:w="2742"/>
        <w:gridCol w:w="2740"/>
      </w:tblGrid>
      <w:tr>
        <w:tblPrEx>
          <w:tblCellMar>
            <w:top w:w="0" w:type="dxa"/>
            <w:left w:w="0" w:type="dxa"/>
            <w:bottom w:w="0" w:type="dxa"/>
            <w:right w:w="0" w:type="dxa"/>
          </w:tblCellMar>
        </w:tblPrEx>
        <w:trPr>
          <w:trHeight w:val="311" w:hRule="exact"/>
          <w:jc w:val="center"/>
        </w:trPr>
        <w:tc>
          <w:tcPr>
            <w:tcW w:w="1857" w:type="pct"/>
            <w:tcBorders>
              <w:top w:val="single" w:color="000000" w:sz="12" w:space="0"/>
              <w:left w:val="nil"/>
              <w:bottom w:val="single" w:color="000000" w:sz="4" w:space="0"/>
              <w:right w:val="single" w:color="000000" w:sz="4" w:space="0"/>
            </w:tcBorders>
            <w:vAlign w:val="center"/>
          </w:tcPr>
          <w:p>
            <w:pPr>
              <w:pStyle w:val="132"/>
              <w:rPr>
                <w:b/>
                <w:bCs/>
              </w:rPr>
            </w:pPr>
            <w:r>
              <w:rPr>
                <w:b/>
                <w:bCs/>
              </w:rPr>
              <w:t>类别</w:t>
            </w:r>
          </w:p>
        </w:tc>
        <w:tc>
          <w:tcPr>
            <w:tcW w:w="1572" w:type="pct"/>
            <w:tcBorders>
              <w:top w:val="single" w:color="000000" w:sz="12" w:space="0"/>
              <w:left w:val="single" w:color="000000" w:sz="4" w:space="0"/>
              <w:bottom w:val="single" w:color="000000" w:sz="4" w:space="0"/>
              <w:right w:val="single" w:color="000000" w:sz="4" w:space="0"/>
            </w:tcBorders>
            <w:vAlign w:val="center"/>
          </w:tcPr>
          <w:p>
            <w:pPr>
              <w:pStyle w:val="132"/>
              <w:rPr>
                <w:b/>
                <w:bCs/>
              </w:rPr>
            </w:pPr>
            <w:r>
              <w:rPr>
                <w:b/>
                <w:bCs/>
              </w:rPr>
              <w:t>昼间</w:t>
            </w:r>
          </w:p>
        </w:tc>
        <w:tc>
          <w:tcPr>
            <w:tcW w:w="1571" w:type="pct"/>
            <w:tcBorders>
              <w:top w:val="single" w:color="000000" w:sz="12" w:space="0"/>
              <w:left w:val="single" w:color="000000" w:sz="4" w:space="0"/>
              <w:bottom w:val="single" w:color="000000" w:sz="4" w:space="0"/>
              <w:right w:val="nil"/>
            </w:tcBorders>
            <w:vAlign w:val="center"/>
          </w:tcPr>
          <w:p>
            <w:pPr>
              <w:pStyle w:val="132"/>
              <w:rPr>
                <w:b/>
                <w:bCs/>
              </w:rPr>
            </w:pPr>
            <w:r>
              <w:rPr>
                <w:b/>
                <w:bCs/>
              </w:rPr>
              <w:t>夜间</w:t>
            </w:r>
          </w:p>
        </w:tc>
      </w:tr>
      <w:tr>
        <w:tblPrEx>
          <w:tblCellMar>
            <w:top w:w="0" w:type="dxa"/>
            <w:left w:w="0" w:type="dxa"/>
            <w:bottom w:w="0" w:type="dxa"/>
            <w:right w:w="0" w:type="dxa"/>
          </w:tblCellMar>
        </w:tblPrEx>
        <w:trPr>
          <w:trHeight w:val="344" w:hRule="exact"/>
          <w:jc w:val="center"/>
        </w:trPr>
        <w:tc>
          <w:tcPr>
            <w:tcW w:w="1857" w:type="pct"/>
            <w:tcBorders>
              <w:top w:val="single" w:color="000000" w:sz="4" w:space="0"/>
              <w:left w:val="nil"/>
              <w:bottom w:val="single" w:color="000000" w:sz="12" w:space="0"/>
              <w:right w:val="single" w:color="000000" w:sz="4" w:space="0"/>
            </w:tcBorders>
            <w:vAlign w:val="center"/>
          </w:tcPr>
          <w:p>
            <w:pPr>
              <w:pStyle w:val="132"/>
            </w:pPr>
            <w:r>
              <w:t>2类</w:t>
            </w:r>
          </w:p>
        </w:tc>
        <w:tc>
          <w:tcPr>
            <w:tcW w:w="1572" w:type="pct"/>
            <w:tcBorders>
              <w:top w:val="single" w:color="000000" w:sz="4" w:space="0"/>
              <w:left w:val="single" w:color="000000" w:sz="4" w:space="0"/>
              <w:bottom w:val="single" w:color="000000" w:sz="12" w:space="0"/>
              <w:right w:val="single" w:color="000000" w:sz="4" w:space="0"/>
            </w:tcBorders>
            <w:vAlign w:val="center"/>
          </w:tcPr>
          <w:p>
            <w:pPr>
              <w:pStyle w:val="132"/>
            </w:pPr>
            <w:r>
              <w:t>60</w:t>
            </w:r>
          </w:p>
        </w:tc>
        <w:tc>
          <w:tcPr>
            <w:tcW w:w="1571" w:type="pct"/>
            <w:tcBorders>
              <w:top w:val="single" w:color="000000" w:sz="4" w:space="0"/>
              <w:left w:val="single" w:color="000000" w:sz="4" w:space="0"/>
              <w:bottom w:val="single" w:color="000000" w:sz="12" w:space="0"/>
              <w:right w:val="nil"/>
            </w:tcBorders>
            <w:vAlign w:val="center"/>
          </w:tcPr>
          <w:p>
            <w:pPr>
              <w:pStyle w:val="132"/>
            </w:pPr>
            <w:r>
              <w:t>50</w:t>
            </w:r>
          </w:p>
        </w:tc>
      </w:tr>
    </w:tbl>
    <w:p>
      <w:pPr>
        <w:pStyle w:val="112"/>
        <w:ind w:firstLine="480"/>
      </w:pPr>
      <w:r>
        <w:t>施工期噪声采用《建筑施工场界环境噪声排放标准》（GB12523-2011）标准。</w:t>
      </w:r>
    </w:p>
    <w:p>
      <w:pPr>
        <w:pStyle w:val="37"/>
        <w:rPr>
          <w:rFonts w:cs="Times New Roman"/>
        </w:rPr>
      </w:pPr>
      <w:r>
        <w:rPr>
          <w:rFonts w:cs="Times New Roman"/>
        </w:rPr>
        <w:t>表1.5-1</w:t>
      </w:r>
      <w:r>
        <w:rPr>
          <w:rFonts w:hint="eastAsia" w:cs="Times New Roman"/>
        </w:rPr>
        <w:t>3</w:t>
      </w:r>
      <w:r>
        <w:rPr>
          <w:rFonts w:cs="Times New Roman"/>
        </w:rPr>
        <w:t xml:space="preserve">  建筑施工场界噪声限值  单位：dB</w:t>
      </w:r>
      <w:r>
        <w:rPr>
          <w:rFonts w:hint="eastAsia" w:cs="Times New Roman"/>
        </w:rPr>
        <w:t>（</w:t>
      </w:r>
      <w:r>
        <w:rPr>
          <w:rFonts w:cs="Times New Roman"/>
        </w:rPr>
        <w:t>A</w:t>
      </w:r>
      <w:r>
        <w:rPr>
          <w:rFonts w:hint="eastAsia" w:cs="Times New Roman"/>
        </w:rPr>
        <w:t>）</w:t>
      </w:r>
    </w:p>
    <w:tbl>
      <w:tblPr>
        <w:tblStyle w:val="57"/>
        <w:tblW w:w="8699" w:type="dxa"/>
        <w:jc w:val="center"/>
        <w:tblLayout w:type="autofit"/>
        <w:tblCellMar>
          <w:top w:w="0" w:type="dxa"/>
          <w:left w:w="0" w:type="dxa"/>
          <w:bottom w:w="0" w:type="dxa"/>
          <w:right w:w="0" w:type="dxa"/>
        </w:tblCellMar>
      </w:tblPr>
      <w:tblGrid>
        <w:gridCol w:w="5499"/>
        <w:gridCol w:w="1634"/>
        <w:gridCol w:w="1566"/>
      </w:tblGrid>
      <w:tr>
        <w:tblPrEx>
          <w:tblCellMar>
            <w:top w:w="0" w:type="dxa"/>
            <w:left w:w="0" w:type="dxa"/>
            <w:bottom w:w="0" w:type="dxa"/>
            <w:right w:w="0" w:type="dxa"/>
          </w:tblCellMar>
        </w:tblPrEx>
        <w:trPr>
          <w:trHeight w:val="352" w:hRule="atLeast"/>
          <w:jc w:val="center"/>
        </w:trPr>
        <w:tc>
          <w:tcPr>
            <w:tcW w:w="5499" w:type="dxa"/>
            <w:tcBorders>
              <w:top w:val="single" w:color="000000" w:sz="12" w:space="0"/>
              <w:left w:val="nil"/>
              <w:bottom w:val="single" w:color="000000" w:sz="2" w:space="0"/>
              <w:right w:val="single" w:color="000000" w:sz="2" w:space="0"/>
            </w:tcBorders>
            <w:vAlign w:val="center"/>
          </w:tcPr>
          <w:p>
            <w:pPr>
              <w:pStyle w:val="132"/>
              <w:rPr>
                <w:b/>
                <w:bCs/>
              </w:rPr>
            </w:pPr>
            <w:r>
              <w:rPr>
                <w:b/>
                <w:bCs/>
              </w:rPr>
              <w:t>执行标准</w:t>
            </w:r>
          </w:p>
        </w:tc>
        <w:tc>
          <w:tcPr>
            <w:tcW w:w="1634" w:type="dxa"/>
            <w:tcBorders>
              <w:top w:val="single" w:color="000000" w:sz="12" w:space="0"/>
              <w:left w:val="nil"/>
              <w:bottom w:val="single" w:color="000000" w:sz="2" w:space="0"/>
              <w:right w:val="single" w:color="000000" w:sz="2" w:space="0"/>
            </w:tcBorders>
            <w:vAlign w:val="center"/>
          </w:tcPr>
          <w:p>
            <w:pPr>
              <w:pStyle w:val="132"/>
              <w:rPr>
                <w:b/>
                <w:bCs/>
              </w:rPr>
            </w:pPr>
            <w:r>
              <w:rPr>
                <w:b/>
                <w:bCs/>
              </w:rPr>
              <w:t>昼间</w:t>
            </w:r>
          </w:p>
        </w:tc>
        <w:tc>
          <w:tcPr>
            <w:tcW w:w="1566" w:type="dxa"/>
            <w:tcBorders>
              <w:top w:val="single" w:color="000000" w:sz="12" w:space="0"/>
              <w:left w:val="single" w:color="000000" w:sz="2" w:space="0"/>
              <w:bottom w:val="single" w:color="000000" w:sz="2" w:space="0"/>
              <w:right w:val="nil"/>
            </w:tcBorders>
            <w:vAlign w:val="center"/>
          </w:tcPr>
          <w:p>
            <w:pPr>
              <w:pStyle w:val="132"/>
              <w:rPr>
                <w:b/>
                <w:bCs/>
              </w:rPr>
            </w:pPr>
            <w:r>
              <w:rPr>
                <w:b/>
                <w:bCs/>
              </w:rPr>
              <w:t>夜间</w:t>
            </w:r>
          </w:p>
        </w:tc>
      </w:tr>
      <w:tr>
        <w:tblPrEx>
          <w:tblCellMar>
            <w:top w:w="0" w:type="dxa"/>
            <w:left w:w="0" w:type="dxa"/>
            <w:bottom w:w="0" w:type="dxa"/>
            <w:right w:w="0" w:type="dxa"/>
          </w:tblCellMar>
        </w:tblPrEx>
        <w:trPr>
          <w:trHeight w:val="397" w:hRule="atLeast"/>
          <w:jc w:val="center"/>
        </w:trPr>
        <w:tc>
          <w:tcPr>
            <w:tcW w:w="5499" w:type="dxa"/>
            <w:tcBorders>
              <w:top w:val="single" w:color="000000" w:sz="2" w:space="0"/>
              <w:left w:val="nil"/>
              <w:bottom w:val="single" w:color="000000" w:sz="12" w:space="0"/>
              <w:right w:val="single" w:color="000000" w:sz="2" w:space="0"/>
            </w:tcBorders>
            <w:vAlign w:val="center"/>
          </w:tcPr>
          <w:p>
            <w:pPr>
              <w:pStyle w:val="132"/>
            </w:pPr>
            <w:r>
              <w:t>《建筑施工场界环境噪声排放标准》（GB12523-2011）</w:t>
            </w:r>
          </w:p>
        </w:tc>
        <w:tc>
          <w:tcPr>
            <w:tcW w:w="1634" w:type="dxa"/>
            <w:tcBorders>
              <w:top w:val="single" w:color="000000" w:sz="2" w:space="0"/>
              <w:left w:val="nil"/>
              <w:bottom w:val="single" w:color="000000" w:sz="12" w:space="0"/>
              <w:right w:val="single" w:color="000000" w:sz="2" w:space="0"/>
            </w:tcBorders>
            <w:vAlign w:val="center"/>
          </w:tcPr>
          <w:p>
            <w:pPr>
              <w:pStyle w:val="132"/>
            </w:pPr>
            <w:r>
              <w:t>70</w:t>
            </w:r>
          </w:p>
        </w:tc>
        <w:tc>
          <w:tcPr>
            <w:tcW w:w="1566" w:type="dxa"/>
            <w:tcBorders>
              <w:top w:val="single" w:color="000000" w:sz="2" w:space="0"/>
              <w:left w:val="single" w:color="000000" w:sz="2" w:space="0"/>
              <w:bottom w:val="single" w:color="000000" w:sz="12" w:space="0"/>
              <w:right w:val="nil"/>
            </w:tcBorders>
            <w:vAlign w:val="center"/>
          </w:tcPr>
          <w:p>
            <w:pPr>
              <w:pStyle w:val="132"/>
            </w:pPr>
            <w:r>
              <w:t>55</w:t>
            </w:r>
          </w:p>
        </w:tc>
      </w:tr>
    </w:tbl>
    <w:p>
      <w:pPr>
        <w:pStyle w:val="112"/>
        <w:ind w:firstLine="482"/>
        <w:rPr>
          <w:b/>
          <w:bCs/>
        </w:rPr>
      </w:pPr>
      <w:r>
        <w:rPr>
          <w:b/>
          <w:bCs/>
        </w:rPr>
        <w:t>4、固体废物</w:t>
      </w:r>
    </w:p>
    <w:p>
      <w:pPr>
        <w:pStyle w:val="112"/>
        <w:ind w:firstLine="480"/>
        <w:rPr>
          <w:kern w:val="2"/>
          <w:szCs w:val="22"/>
        </w:rPr>
      </w:pPr>
      <w:r>
        <w:rPr>
          <w:kern w:val="2"/>
          <w:szCs w:val="22"/>
        </w:rPr>
        <w:t>（1）一般工业固体废物：根据《一般工业固体废物贮存和填埋污染控制标准》（GB18599-2020），采用库房、包装工具贮存一般工业固体废物，贮存过程应满足相应防渗漏、防雨淋、防扬尘等环境保护要求。</w:t>
      </w:r>
    </w:p>
    <w:p>
      <w:pPr>
        <w:pStyle w:val="112"/>
        <w:ind w:firstLine="480"/>
        <w:rPr>
          <w:kern w:val="2"/>
          <w:szCs w:val="22"/>
        </w:rPr>
      </w:pPr>
      <w:r>
        <w:rPr>
          <w:kern w:val="2"/>
          <w:szCs w:val="22"/>
        </w:rPr>
        <w:t>（2）</w:t>
      </w:r>
      <w:r>
        <w:rPr>
          <w:szCs w:val="24"/>
        </w:rPr>
        <w:t>危险废物：</w:t>
      </w:r>
      <w:r>
        <w:t>按《国家危险废物名录》</w:t>
      </w:r>
      <w:r>
        <w:rPr>
          <w:rFonts w:hint="eastAsia"/>
        </w:rPr>
        <w:t>（2021年版）</w:t>
      </w:r>
      <w:r>
        <w:t>、《危险废物鉴别标准</w:t>
      </w:r>
      <w:r>
        <w:rPr>
          <w:rFonts w:hint="eastAsia"/>
        </w:rPr>
        <w:t xml:space="preserve"> 通则</w:t>
      </w:r>
      <w:r>
        <w:t>》（GB5085-20</w:t>
      </w:r>
      <w:r>
        <w:rPr>
          <w:rFonts w:hint="eastAsia"/>
        </w:rPr>
        <w:t>19</w:t>
      </w:r>
      <w:r>
        <w:t>）、《危险废物贮存污染控制标准》（GB18597-20</w:t>
      </w:r>
      <w:r>
        <w:rPr>
          <w:rFonts w:hint="eastAsia"/>
        </w:rPr>
        <w:t>23</w:t>
      </w:r>
      <w:r>
        <w:t>）和《危险化学品安全管理条例》进行识别、贮存和管理。</w:t>
      </w:r>
    </w:p>
    <w:p>
      <w:pPr>
        <w:keepNext/>
        <w:keepLines/>
        <w:spacing w:before="120"/>
        <w:ind w:firstLine="0" w:firstLineChars="0"/>
        <w:outlineLvl w:val="1"/>
        <w:rPr>
          <w:rFonts w:ascii="Times New Roman" w:cs="Times New Roman"/>
          <w:b/>
          <w:bCs/>
          <w:sz w:val="28"/>
          <w:szCs w:val="32"/>
        </w:rPr>
      </w:pPr>
      <w:bookmarkStart w:id="68" w:name="_Toc81515255"/>
      <w:r>
        <w:rPr>
          <w:rFonts w:ascii="Times New Roman" w:cs="Times New Roman"/>
          <w:b/>
          <w:bCs/>
          <w:sz w:val="28"/>
          <w:szCs w:val="32"/>
        </w:rPr>
        <w:t>1.6 评价等级</w:t>
      </w:r>
      <w:bookmarkEnd w:id="63"/>
      <w:r>
        <w:rPr>
          <w:rFonts w:ascii="Times New Roman" w:cs="Times New Roman"/>
          <w:b/>
          <w:bCs/>
          <w:sz w:val="28"/>
          <w:szCs w:val="32"/>
        </w:rPr>
        <w:t>及评价范围</w:t>
      </w:r>
      <w:bookmarkEnd w:id="68"/>
    </w:p>
    <w:p>
      <w:pPr>
        <w:pStyle w:val="112"/>
        <w:ind w:firstLine="480"/>
      </w:pPr>
      <w:r>
        <w:t>本项目评价工作等级以管线和场站进行评价，工程内容中涉及</w:t>
      </w:r>
      <w:r>
        <w:rPr>
          <w:rFonts w:hint="eastAsia"/>
        </w:rPr>
        <w:t>新建普陆4-1H井</w:t>
      </w:r>
      <w:r>
        <w:rPr>
          <w:rFonts w:hint="eastAsia"/>
          <w:bCs/>
        </w:rPr>
        <w:t>钻井工程、</w:t>
      </w:r>
      <w:r>
        <w:t>新建</w:t>
      </w:r>
      <w:r>
        <w:rPr>
          <w:rFonts w:hint="eastAsia"/>
        </w:rPr>
        <w:t>普陆4集气平台、新建普陆4集气平台</w:t>
      </w:r>
      <w:r>
        <w:t>~</w:t>
      </w:r>
      <w:r>
        <w:rPr>
          <w:rFonts w:hint="eastAsia"/>
        </w:rPr>
        <w:t>P107集气站集气管道</w:t>
      </w:r>
      <w:r>
        <w:t>。</w:t>
      </w:r>
    </w:p>
    <w:p>
      <w:pPr>
        <w:keepNext/>
        <w:keepLines/>
        <w:ind w:firstLine="0" w:firstLineChars="0"/>
        <w:outlineLvl w:val="2"/>
        <w:rPr>
          <w:rFonts w:ascii="Times New Roman" w:cs="Times New Roman"/>
          <w:b/>
          <w:szCs w:val="32"/>
        </w:rPr>
      </w:pPr>
      <w:r>
        <w:rPr>
          <w:rFonts w:ascii="Times New Roman" w:cs="Times New Roman"/>
          <w:b/>
          <w:szCs w:val="32"/>
        </w:rPr>
        <w:t>1.6.1 生态环境</w:t>
      </w:r>
    </w:p>
    <w:p>
      <w:pPr>
        <w:pStyle w:val="112"/>
        <w:ind w:firstLine="482"/>
        <w:rPr>
          <w:b/>
          <w:bCs/>
        </w:rPr>
      </w:pPr>
      <w:r>
        <w:rPr>
          <w:b/>
          <w:bCs/>
        </w:rPr>
        <w:t>1、评价等级</w:t>
      </w:r>
    </w:p>
    <w:p>
      <w:pPr>
        <w:pStyle w:val="112"/>
        <w:ind w:firstLine="480"/>
      </w:pPr>
      <w:bookmarkStart w:id="69" w:name="_Hlk81147998"/>
      <w:bookmarkStart w:id="70" w:name="OLE_LINK174"/>
      <w:r>
        <w:t>根据《环境影响评价技术导则</w:t>
      </w:r>
      <w:r>
        <w:rPr>
          <w:spacing w:val="-8"/>
        </w:rPr>
        <w:t xml:space="preserve"> </w:t>
      </w:r>
      <w:r>
        <w:t>生态影响》（HJ19-2022），本项目</w:t>
      </w:r>
      <w:r>
        <w:rPr>
          <w:rFonts w:hint="eastAsia"/>
        </w:rPr>
        <w:t>生态</w:t>
      </w:r>
      <w:r>
        <w:t>环境评价工作等级</w:t>
      </w:r>
      <w:r>
        <w:rPr>
          <w:rFonts w:hint="eastAsia"/>
        </w:rPr>
        <w:t>判定原则及判定结果详见表1.6-1。</w:t>
      </w:r>
    </w:p>
    <w:p>
      <w:pPr>
        <w:pStyle w:val="125"/>
        <w:ind w:firstLine="480"/>
        <w:rPr>
          <w:rFonts w:eastAsia="宋体"/>
        </w:rPr>
      </w:pPr>
      <w:r>
        <w:rPr>
          <w:rFonts w:eastAsia="宋体"/>
        </w:rPr>
        <w:t>表1.6-1  生态影响评价工作等级判定表</w:t>
      </w:r>
    </w:p>
    <w:tbl>
      <w:tblPr>
        <w:tblStyle w:val="57"/>
        <w:tblW w:w="897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5921"/>
        <w:gridCol w:w="21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934" w:type="dxa"/>
            <w:vAlign w:val="center"/>
          </w:tcPr>
          <w:p>
            <w:pPr>
              <w:topLinePunct w:val="0"/>
              <w:snapToGrid w:val="0"/>
              <w:spacing w:line="240" w:lineRule="auto"/>
              <w:ind w:firstLine="0" w:firstLineChars="0"/>
              <w:jc w:val="center"/>
              <w:rPr>
                <w:rFonts w:ascii="Times New Roman" w:cs="Times New Roman"/>
                <w:b/>
                <w:bCs/>
                <w:kern w:val="2"/>
                <w:sz w:val="21"/>
                <w:szCs w:val="18"/>
              </w:rPr>
            </w:pPr>
            <w:r>
              <w:rPr>
                <w:rFonts w:ascii="Times New Roman" w:cs="Times New Roman"/>
                <w:b/>
                <w:bCs/>
                <w:kern w:val="2"/>
                <w:sz w:val="21"/>
                <w:szCs w:val="18"/>
              </w:rPr>
              <w:t>序号</w:t>
            </w:r>
          </w:p>
        </w:tc>
        <w:tc>
          <w:tcPr>
            <w:tcW w:w="5921" w:type="dxa"/>
            <w:vAlign w:val="center"/>
          </w:tcPr>
          <w:p>
            <w:pPr>
              <w:topLinePunct w:val="0"/>
              <w:snapToGrid w:val="0"/>
              <w:spacing w:line="240" w:lineRule="auto"/>
              <w:ind w:firstLine="0" w:firstLineChars="0"/>
              <w:jc w:val="center"/>
              <w:rPr>
                <w:rFonts w:ascii="Times New Roman" w:cs="Times New Roman"/>
                <w:b/>
                <w:bCs/>
                <w:kern w:val="2"/>
                <w:sz w:val="21"/>
                <w:szCs w:val="18"/>
              </w:rPr>
            </w:pPr>
            <w:r>
              <w:rPr>
                <w:rFonts w:ascii="Times New Roman" w:cs="Times New Roman"/>
                <w:b/>
                <w:bCs/>
                <w:kern w:val="2"/>
                <w:sz w:val="21"/>
                <w:szCs w:val="18"/>
              </w:rPr>
              <w:t>导则规定</w:t>
            </w:r>
          </w:p>
        </w:tc>
        <w:tc>
          <w:tcPr>
            <w:tcW w:w="2118" w:type="dxa"/>
            <w:vAlign w:val="center"/>
          </w:tcPr>
          <w:p>
            <w:pPr>
              <w:topLinePunct w:val="0"/>
              <w:snapToGrid w:val="0"/>
              <w:spacing w:line="240" w:lineRule="auto"/>
              <w:ind w:firstLine="0" w:firstLineChars="0"/>
              <w:jc w:val="center"/>
              <w:rPr>
                <w:rFonts w:ascii="Times New Roman" w:cs="Times New Roman"/>
                <w:b/>
                <w:bCs/>
                <w:kern w:val="2"/>
                <w:sz w:val="21"/>
                <w:szCs w:val="18"/>
              </w:rPr>
            </w:pPr>
            <w:r>
              <w:rPr>
                <w:rFonts w:ascii="Times New Roman" w:cs="Times New Roman"/>
                <w:b/>
                <w:bCs/>
                <w:kern w:val="2"/>
                <w:sz w:val="21"/>
                <w:szCs w:val="18"/>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934"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1</w:t>
            </w:r>
          </w:p>
        </w:tc>
        <w:tc>
          <w:tcPr>
            <w:tcW w:w="5921"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a）涉及国家公园、自然保护区、世界自然遗产、重要生境时，评价等级为一级</w:t>
            </w:r>
          </w:p>
        </w:tc>
        <w:tc>
          <w:tcPr>
            <w:tcW w:w="2118"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934"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2</w:t>
            </w:r>
          </w:p>
        </w:tc>
        <w:tc>
          <w:tcPr>
            <w:tcW w:w="5921"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b）涉及自然公园时，评价等级为二级</w:t>
            </w:r>
          </w:p>
        </w:tc>
        <w:tc>
          <w:tcPr>
            <w:tcW w:w="2118"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934"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3</w:t>
            </w:r>
          </w:p>
        </w:tc>
        <w:tc>
          <w:tcPr>
            <w:tcW w:w="5921"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c）涉及生态保护红线时，评价等级不低于二级</w:t>
            </w:r>
          </w:p>
        </w:tc>
        <w:tc>
          <w:tcPr>
            <w:tcW w:w="2118"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934"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4</w:t>
            </w:r>
          </w:p>
        </w:tc>
        <w:tc>
          <w:tcPr>
            <w:tcW w:w="5921"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d）根据HJ2.3判断属于水文要素影响型且地表水评价等级不低于二级的建设项目，生态影响评价等级不低于二级</w:t>
            </w:r>
          </w:p>
        </w:tc>
        <w:tc>
          <w:tcPr>
            <w:tcW w:w="2118"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934"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5</w:t>
            </w:r>
          </w:p>
        </w:tc>
        <w:tc>
          <w:tcPr>
            <w:tcW w:w="5921"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e）根据HJ610、HJ964判断地下水水位或土壤影响范围内分布有天然林、公益林、湿地等生态保护目标的建设项目，生态影响评价等级不低于二级</w:t>
            </w:r>
          </w:p>
        </w:tc>
        <w:tc>
          <w:tcPr>
            <w:tcW w:w="2118" w:type="dxa"/>
            <w:vAlign w:val="center"/>
          </w:tcPr>
          <w:p>
            <w:pPr>
              <w:topLinePunct w:val="0"/>
              <w:snapToGrid w:val="0"/>
              <w:spacing w:line="240" w:lineRule="auto"/>
              <w:ind w:firstLine="0" w:firstLineChars="0"/>
              <w:jc w:val="center"/>
              <w:rPr>
                <w:rFonts w:ascii="Times New Roman" w:cs="Times New Roman"/>
                <w:bCs/>
                <w:color w:val="FF0000"/>
                <w:kern w:val="2"/>
                <w:sz w:val="21"/>
                <w:szCs w:val="18"/>
              </w:rPr>
            </w:pPr>
            <w:r>
              <w:rPr>
                <w:rFonts w:ascii="Times New Roman" w:cs="Times New Roman"/>
                <w:bCs/>
                <w:color w:val="FF0000"/>
                <w:kern w:val="2"/>
                <w:sz w:val="21"/>
                <w:szCs w:val="18"/>
              </w:rPr>
              <w:t>本项目</w:t>
            </w:r>
            <w:r>
              <w:rPr>
                <w:rFonts w:hint="eastAsia" w:ascii="Times New Roman" w:cs="Times New Roman"/>
                <w:bCs/>
                <w:color w:val="FF0000"/>
                <w:kern w:val="2"/>
                <w:sz w:val="21"/>
                <w:szCs w:val="18"/>
              </w:rPr>
              <w:t>普陆4集气平台</w:t>
            </w:r>
            <w:r>
              <w:rPr>
                <w:rFonts w:ascii="Times New Roman" w:cs="Times New Roman"/>
                <w:bCs/>
                <w:color w:val="FF0000"/>
                <w:kern w:val="2"/>
                <w:sz w:val="21"/>
                <w:szCs w:val="18"/>
              </w:rPr>
              <w:t>土壤</w:t>
            </w:r>
            <w:r>
              <w:rPr>
                <w:rFonts w:hint="eastAsia" w:ascii="Times New Roman" w:cs="Times New Roman"/>
                <w:bCs/>
                <w:color w:val="FF0000"/>
                <w:kern w:val="2"/>
                <w:sz w:val="21"/>
                <w:szCs w:val="18"/>
              </w:rPr>
              <w:t>评价</w:t>
            </w:r>
            <w:r>
              <w:rPr>
                <w:rFonts w:ascii="Times New Roman" w:cs="Times New Roman"/>
                <w:bCs/>
                <w:color w:val="FF0000"/>
                <w:kern w:val="2"/>
                <w:sz w:val="21"/>
                <w:szCs w:val="18"/>
              </w:rPr>
              <w:t>范围内</w:t>
            </w:r>
            <w:r>
              <w:rPr>
                <w:rFonts w:hint="eastAsia" w:ascii="Times New Roman" w:cs="Times New Roman"/>
                <w:bCs/>
                <w:color w:val="FF0000"/>
                <w:kern w:val="2"/>
                <w:sz w:val="21"/>
                <w:szCs w:val="18"/>
              </w:rPr>
              <w:t>（200m范围）分布有公益林</w:t>
            </w:r>
            <w:r>
              <w:rPr>
                <w:rFonts w:ascii="Times New Roman" w:cs="Times New Roman"/>
                <w:bCs/>
                <w:color w:val="FF0000"/>
                <w:kern w:val="2"/>
                <w:sz w:val="21"/>
                <w:szCs w:val="18"/>
              </w:rPr>
              <w:t>，</w:t>
            </w:r>
            <w:r>
              <w:rPr>
                <w:rFonts w:hint="eastAsia" w:ascii="Times New Roman" w:cs="Times New Roman"/>
                <w:bCs/>
                <w:color w:val="FF0000"/>
                <w:kern w:val="2"/>
                <w:sz w:val="21"/>
                <w:szCs w:val="18"/>
              </w:rPr>
              <w:t>生态评价</w:t>
            </w:r>
            <w:r>
              <w:rPr>
                <w:rFonts w:ascii="Times New Roman" w:cs="Times New Roman"/>
                <w:bCs/>
                <w:color w:val="FF0000"/>
                <w:kern w:val="2"/>
                <w:sz w:val="21"/>
                <w:szCs w:val="18"/>
              </w:rPr>
              <w:t>等级</w:t>
            </w:r>
            <w:r>
              <w:rPr>
                <w:rFonts w:hint="eastAsia" w:ascii="Times New Roman" w:cs="Times New Roman"/>
                <w:bCs/>
                <w:color w:val="FF0000"/>
                <w:kern w:val="2"/>
                <w:sz w:val="21"/>
                <w:szCs w:val="18"/>
              </w:rPr>
              <w:t>为</w:t>
            </w:r>
            <w:r>
              <w:rPr>
                <w:rFonts w:ascii="Times New Roman" w:cs="Times New Roman"/>
                <w:bCs/>
                <w:color w:val="FF0000"/>
                <w:kern w:val="2"/>
                <w:sz w:val="21"/>
                <w:szCs w:val="18"/>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934"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6</w:t>
            </w:r>
          </w:p>
        </w:tc>
        <w:tc>
          <w:tcPr>
            <w:tcW w:w="5921"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f）当工程占地规模大于20km</w:t>
            </w:r>
            <w:r>
              <w:rPr>
                <w:rFonts w:ascii="Times New Roman" w:cs="Times New Roman"/>
                <w:bCs/>
                <w:kern w:val="2"/>
                <w:sz w:val="21"/>
                <w:szCs w:val="18"/>
                <w:vertAlign w:val="superscript"/>
              </w:rPr>
              <w:t>2</w:t>
            </w:r>
            <w:r>
              <w:rPr>
                <w:rFonts w:ascii="Times New Roman" w:cs="Times New Roman"/>
                <w:bCs/>
                <w:kern w:val="2"/>
                <w:sz w:val="21"/>
                <w:szCs w:val="18"/>
              </w:rPr>
              <w:t>时（包括永久和临时占用陆域和水域），评价等级不低于二级；改扩建项目的占地范围以新增占地（包括陆域和水域）确定</w:t>
            </w:r>
          </w:p>
        </w:tc>
        <w:tc>
          <w:tcPr>
            <w:tcW w:w="2118"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934"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7</w:t>
            </w:r>
          </w:p>
        </w:tc>
        <w:tc>
          <w:tcPr>
            <w:tcW w:w="5921"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hint="eastAsia" w:ascii="Times New Roman" w:cs="Times New Roman"/>
                <w:bCs/>
                <w:kern w:val="2"/>
                <w:sz w:val="21"/>
                <w:szCs w:val="18"/>
              </w:rPr>
              <w:t>g）除本条</w:t>
            </w:r>
            <w:r>
              <w:rPr>
                <w:rFonts w:ascii="Times New Roman" w:cs="Times New Roman"/>
                <w:bCs/>
                <w:kern w:val="2"/>
                <w:sz w:val="21"/>
                <w:szCs w:val="18"/>
              </w:rPr>
              <w:t>a）</w:t>
            </w:r>
            <w:r>
              <w:rPr>
                <w:rFonts w:hint="eastAsia" w:ascii="Times New Roman" w:cs="Times New Roman"/>
                <w:bCs/>
                <w:kern w:val="2"/>
                <w:sz w:val="21"/>
                <w:szCs w:val="18"/>
              </w:rPr>
              <w:t>、</w:t>
            </w:r>
            <w:r>
              <w:rPr>
                <w:rFonts w:ascii="Times New Roman" w:cs="Times New Roman"/>
                <w:bCs/>
                <w:kern w:val="2"/>
                <w:sz w:val="21"/>
                <w:szCs w:val="18"/>
              </w:rPr>
              <w:t>b）</w:t>
            </w:r>
            <w:r>
              <w:rPr>
                <w:rFonts w:hint="eastAsia" w:ascii="Times New Roman" w:cs="Times New Roman"/>
                <w:bCs/>
                <w:kern w:val="2"/>
                <w:sz w:val="21"/>
                <w:szCs w:val="18"/>
              </w:rPr>
              <w:t>、</w:t>
            </w:r>
            <w:r>
              <w:rPr>
                <w:rFonts w:ascii="Times New Roman" w:cs="Times New Roman"/>
                <w:bCs/>
                <w:kern w:val="2"/>
                <w:sz w:val="21"/>
                <w:szCs w:val="18"/>
              </w:rPr>
              <w:t>c）</w:t>
            </w:r>
            <w:r>
              <w:rPr>
                <w:rFonts w:hint="eastAsia" w:ascii="Times New Roman" w:cs="Times New Roman"/>
                <w:bCs/>
                <w:kern w:val="2"/>
                <w:sz w:val="21"/>
                <w:szCs w:val="18"/>
              </w:rPr>
              <w:t>、</w:t>
            </w:r>
            <w:r>
              <w:rPr>
                <w:rFonts w:ascii="Times New Roman" w:cs="Times New Roman"/>
                <w:bCs/>
                <w:kern w:val="2"/>
                <w:sz w:val="21"/>
                <w:szCs w:val="18"/>
              </w:rPr>
              <w:t>d）</w:t>
            </w:r>
            <w:r>
              <w:rPr>
                <w:rFonts w:hint="eastAsia" w:ascii="Times New Roman" w:cs="Times New Roman"/>
                <w:bCs/>
                <w:kern w:val="2"/>
                <w:sz w:val="21"/>
                <w:szCs w:val="18"/>
              </w:rPr>
              <w:t>、</w:t>
            </w:r>
            <w:r>
              <w:rPr>
                <w:rFonts w:ascii="Times New Roman" w:cs="Times New Roman"/>
                <w:bCs/>
                <w:kern w:val="2"/>
                <w:sz w:val="21"/>
                <w:szCs w:val="18"/>
              </w:rPr>
              <w:t>e）</w:t>
            </w:r>
            <w:r>
              <w:rPr>
                <w:rFonts w:hint="eastAsia" w:ascii="Times New Roman" w:cs="Times New Roman"/>
                <w:bCs/>
                <w:kern w:val="2"/>
                <w:sz w:val="21"/>
                <w:szCs w:val="18"/>
              </w:rPr>
              <w:t>、</w:t>
            </w:r>
            <w:r>
              <w:rPr>
                <w:rFonts w:ascii="Times New Roman" w:cs="Times New Roman"/>
                <w:bCs/>
                <w:kern w:val="2"/>
                <w:sz w:val="21"/>
                <w:szCs w:val="18"/>
              </w:rPr>
              <w:t>f）</w:t>
            </w:r>
            <w:r>
              <w:rPr>
                <w:rFonts w:hint="eastAsia" w:ascii="Times New Roman" w:cs="Times New Roman"/>
                <w:bCs/>
                <w:kern w:val="2"/>
                <w:sz w:val="21"/>
                <w:szCs w:val="18"/>
              </w:rPr>
              <w:t>外的情况，评价等级为三级</w:t>
            </w:r>
          </w:p>
        </w:tc>
        <w:tc>
          <w:tcPr>
            <w:tcW w:w="2118"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934"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8</w:t>
            </w:r>
          </w:p>
        </w:tc>
        <w:tc>
          <w:tcPr>
            <w:tcW w:w="5921"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hint="eastAsia" w:ascii="Times New Roman" w:cs="Times New Roman"/>
                <w:bCs/>
                <w:kern w:val="2"/>
                <w:sz w:val="21"/>
                <w:szCs w:val="18"/>
              </w:rPr>
              <w:t>h）当评价等级判断同时符合上述多种情况时，应采用其中最高的评价等级</w:t>
            </w:r>
          </w:p>
        </w:tc>
        <w:tc>
          <w:tcPr>
            <w:tcW w:w="2118"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hint="eastAsia" w:ascii="Times New Roman" w:cs="Times New Roman"/>
                <w:bCs/>
                <w:kern w:val="2"/>
                <w:sz w:val="21"/>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934"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hint="eastAsia" w:ascii="Times New Roman" w:cs="Times New Roman"/>
                <w:bCs/>
                <w:kern w:val="2"/>
                <w:sz w:val="21"/>
                <w:szCs w:val="18"/>
              </w:rPr>
              <w:t>9</w:t>
            </w:r>
          </w:p>
        </w:tc>
        <w:tc>
          <w:tcPr>
            <w:tcW w:w="5921"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建设项目涉及经论证对保护生物多样性具有重要意义的区域时，可适当上调评价等级</w:t>
            </w:r>
          </w:p>
        </w:tc>
        <w:tc>
          <w:tcPr>
            <w:tcW w:w="2118"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934"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hint="eastAsia" w:ascii="Times New Roman" w:cs="Times New Roman"/>
                <w:bCs/>
                <w:kern w:val="2"/>
                <w:sz w:val="21"/>
                <w:szCs w:val="18"/>
              </w:rPr>
              <w:t>10</w:t>
            </w:r>
          </w:p>
        </w:tc>
        <w:tc>
          <w:tcPr>
            <w:tcW w:w="5921"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hint="eastAsia" w:ascii="Times New Roman" w:cs="Times New Roman"/>
                <w:bCs/>
                <w:kern w:val="2"/>
                <w:sz w:val="21"/>
                <w:szCs w:val="18"/>
              </w:rPr>
              <w:t>建设项目同时涉及陆生、水生生态影响时，可针对陆生生态、水生生态分别判定评价等级</w:t>
            </w:r>
          </w:p>
        </w:tc>
        <w:tc>
          <w:tcPr>
            <w:tcW w:w="2118"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hint="eastAsia" w:ascii="Times New Roman" w:cs="Times New Roman"/>
                <w:bCs/>
                <w:kern w:val="2"/>
                <w:sz w:val="21"/>
                <w:szCs w:val="18"/>
              </w:rPr>
              <w:t>项目</w:t>
            </w:r>
            <w:r>
              <w:rPr>
                <w:rFonts w:ascii="Times New Roman" w:cs="Times New Roman"/>
                <w:bCs/>
                <w:kern w:val="2"/>
                <w:sz w:val="21"/>
                <w:szCs w:val="18"/>
              </w:rPr>
              <w:t>不涉及</w:t>
            </w:r>
            <w:r>
              <w:rPr>
                <w:rFonts w:hint="eastAsia" w:ascii="Times New Roman" w:cs="Times New Roman"/>
                <w:bCs/>
                <w:kern w:val="2"/>
                <w:sz w:val="21"/>
                <w:szCs w:val="18"/>
              </w:rPr>
              <w:t>水生生态影响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934"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hint="eastAsia" w:ascii="Times New Roman" w:cs="Times New Roman"/>
                <w:bCs/>
                <w:kern w:val="2"/>
                <w:sz w:val="21"/>
                <w:szCs w:val="18"/>
              </w:rPr>
              <w:t>11</w:t>
            </w:r>
          </w:p>
        </w:tc>
        <w:tc>
          <w:tcPr>
            <w:tcW w:w="5921"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在矿山开采可能导致矿区土地利用类型明显改变，或拦河闸坝建设可能明显改变水文情势等情况下，评价等级应上调一级</w:t>
            </w:r>
          </w:p>
        </w:tc>
        <w:tc>
          <w:tcPr>
            <w:tcW w:w="2118"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34"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hint="eastAsia" w:ascii="Times New Roman" w:cs="Times New Roman"/>
                <w:bCs/>
                <w:kern w:val="2"/>
                <w:sz w:val="21"/>
                <w:szCs w:val="18"/>
              </w:rPr>
              <w:t>12</w:t>
            </w:r>
          </w:p>
        </w:tc>
        <w:tc>
          <w:tcPr>
            <w:tcW w:w="5921"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hint="eastAsia" w:ascii="Times New Roman" w:cs="Times New Roman"/>
                <w:bCs/>
                <w:kern w:val="2"/>
                <w:sz w:val="21"/>
                <w:szCs w:val="18"/>
              </w:rPr>
              <w:t>线性工程可分段确定评价等级。线性工程地下穿越或地表跨越生态敏感区，在生态敏感区范围内无永久、临时占地时，评价等级可下调一级</w:t>
            </w:r>
          </w:p>
        </w:tc>
        <w:tc>
          <w:tcPr>
            <w:tcW w:w="2118" w:type="dxa"/>
            <w:vAlign w:val="center"/>
          </w:tcPr>
          <w:p>
            <w:pPr>
              <w:topLinePunct w:val="0"/>
              <w:snapToGrid w:val="0"/>
              <w:spacing w:line="240" w:lineRule="auto"/>
              <w:ind w:firstLine="0" w:firstLineChars="0"/>
              <w:jc w:val="center"/>
              <w:rPr>
                <w:rFonts w:ascii="Times New Roman" w:cs="Times New Roman"/>
                <w:bCs/>
                <w:kern w:val="2"/>
                <w:sz w:val="21"/>
                <w:szCs w:val="18"/>
              </w:rPr>
            </w:pPr>
            <w:r>
              <w:rPr>
                <w:rFonts w:ascii="Times New Roman" w:cs="Times New Roman"/>
                <w:bCs/>
                <w:kern w:val="2"/>
                <w:sz w:val="21"/>
                <w:szCs w:val="18"/>
              </w:rPr>
              <w:t>不涉及</w:t>
            </w:r>
          </w:p>
        </w:tc>
      </w:tr>
    </w:tbl>
    <w:p>
      <w:pPr>
        <w:pStyle w:val="112"/>
        <w:ind w:firstLine="480"/>
      </w:pPr>
      <w:r>
        <w:rPr>
          <w:color w:val="FF0000"/>
        </w:rPr>
        <w:t>本项目</w:t>
      </w:r>
      <w:r>
        <w:rPr>
          <w:bCs/>
          <w:color w:val="FF0000"/>
        </w:rPr>
        <w:t>本项目</w:t>
      </w:r>
      <w:r>
        <w:rPr>
          <w:rFonts w:hint="eastAsia"/>
          <w:bCs/>
          <w:color w:val="FF0000"/>
        </w:rPr>
        <w:t>普陆4集气平台</w:t>
      </w:r>
      <w:r>
        <w:rPr>
          <w:bCs/>
          <w:color w:val="FF0000"/>
        </w:rPr>
        <w:t>土壤</w:t>
      </w:r>
      <w:r>
        <w:rPr>
          <w:rFonts w:hint="eastAsia"/>
          <w:color w:val="FF0000"/>
        </w:rPr>
        <w:t>评价</w:t>
      </w:r>
      <w:r>
        <w:rPr>
          <w:bCs/>
          <w:color w:val="FF0000"/>
        </w:rPr>
        <w:t>范围内</w:t>
      </w:r>
      <w:r>
        <w:rPr>
          <w:rFonts w:hint="eastAsia"/>
          <w:bCs/>
          <w:color w:val="FF0000"/>
        </w:rPr>
        <w:t>（200m范围）分布有公益林</w:t>
      </w:r>
      <w:r>
        <w:rPr>
          <w:rFonts w:hint="eastAsia"/>
          <w:color w:val="FF0000"/>
        </w:rPr>
        <w:t>，属于生态保护目标（</w:t>
      </w:r>
      <w:r>
        <w:rPr>
          <w:rFonts w:hint="eastAsia"/>
          <w:bCs/>
          <w:color w:val="FF0000"/>
        </w:rPr>
        <w:t>普陆4集气平台至</w:t>
      </w:r>
      <w:r>
        <w:rPr>
          <w:bCs/>
          <w:color w:val="FF0000"/>
        </w:rPr>
        <w:t>P107集气管道</w:t>
      </w:r>
      <w:r>
        <w:rPr>
          <w:color w:val="FF0000"/>
        </w:rPr>
        <w:t>土壤</w:t>
      </w:r>
      <w:r>
        <w:rPr>
          <w:rFonts w:hint="eastAsia"/>
          <w:color w:val="FF0000"/>
        </w:rPr>
        <w:t>评价</w:t>
      </w:r>
      <w:r>
        <w:rPr>
          <w:color w:val="FF0000"/>
        </w:rPr>
        <w:t>范围内不涉及</w:t>
      </w:r>
      <w:r>
        <w:rPr>
          <w:bCs/>
          <w:color w:val="FF0000"/>
        </w:rPr>
        <w:t>生态保护目标</w:t>
      </w:r>
      <w:r>
        <w:rPr>
          <w:rFonts w:hint="eastAsia"/>
          <w:color w:val="FF0000"/>
        </w:rPr>
        <w:t>），</w:t>
      </w:r>
      <w:r>
        <w:t>因此，根据项目特点及《环境影响评价技术导则</w:t>
      </w:r>
      <w:r>
        <w:rPr>
          <w:rFonts w:hint="eastAsia"/>
        </w:rPr>
        <w:t xml:space="preserve"> </w:t>
      </w:r>
      <w:r>
        <w:t>生态环境》（HJ19-20</w:t>
      </w:r>
      <w:r>
        <w:rPr>
          <w:rFonts w:hint="eastAsia"/>
        </w:rPr>
        <w:t>22</w:t>
      </w:r>
      <w:r>
        <w:t>）生态影响评价等级划分规定，本项目的生态环境影响评价工作等级定为</w:t>
      </w:r>
      <w:r>
        <w:rPr>
          <w:rFonts w:hint="eastAsia"/>
        </w:rPr>
        <w:t>二</w:t>
      </w:r>
      <w:r>
        <w:t>级。</w:t>
      </w:r>
    </w:p>
    <w:p>
      <w:pPr>
        <w:topLinePunct w:val="0"/>
        <w:adjustRightInd/>
        <w:ind w:firstLine="490"/>
        <w:rPr>
          <w:rFonts w:ascii="Times New Roman" w:cs="Times New Roman"/>
          <w:b/>
          <w:bCs/>
          <w:spacing w:val="2"/>
          <w:kern w:val="2"/>
          <w:position w:val="2"/>
          <w:szCs w:val="22"/>
        </w:rPr>
      </w:pPr>
      <w:r>
        <w:rPr>
          <w:rFonts w:ascii="Times New Roman" w:cs="Times New Roman"/>
          <w:b/>
          <w:bCs/>
          <w:spacing w:val="2"/>
          <w:kern w:val="2"/>
          <w:position w:val="2"/>
          <w:szCs w:val="22"/>
        </w:rPr>
        <w:t>2、评价范围</w:t>
      </w:r>
    </w:p>
    <w:p>
      <w:pPr>
        <w:pStyle w:val="112"/>
        <w:ind w:firstLine="480"/>
      </w:pPr>
      <w:r>
        <w:t>根据《环境影响评价技术导则</w:t>
      </w:r>
      <w:r>
        <w:rPr>
          <w:rFonts w:hint="eastAsia"/>
        </w:rPr>
        <w:t xml:space="preserve"> </w:t>
      </w:r>
      <w:r>
        <w:t>生态影响》（HJ19-20</w:t>
      </w:r>
      <w:r>
        <w:rPr>
          <w:rFonts w:hint="eastAsia"/>
        </w:rPr>
        <w:t>22</w:t>
      </w:r>
      <w:r>
        <w:t>）、</w:t>
      </w:r>
      <w:r>
        <w:rPr>
          <w:color w:val="FF0000"/>
        </w:rPr>
        <w:t>《环境影响评价技术导则 陆地石油天然气开发建设项目》（HJ349-20</w:t>
      </w:r>
      <w:r>
        <w:rPr>
          <w:rFonts w:hint="eastAsia"/>
          <w:color w:val="FF0000"/>
        </w:rPr>
        <w:t>23</w:t>
      </w:r>
      <w:r>
        <w:rPr>
          <w:color w:val="FF0000"/>
        </w:rPr>
        <w:t>）</w:t>
      </w:r>
      <w:r>
        <w:t>中关于评价范围的划分原则和本项目现场踏勘调查实际情况，确定本评价范围</w:t>
      </w:r>
      <w:r>
        <w:rPr>
          <w:rFonts w:hint="eastAsia"/>
        </w:rPr>
        <w:t>如下</w:t>
      </w:r>
      <w:r>
        <w:t>：</w:t>
      </w:r>
    </w:p>
    <w:p>
      <w:pPr>
        <w:pStyle w:val="112"/>
        <w:ind w:firstLine="480"/>
        <w:rPr>
          <w:color w:val="FF0000"/>
        </w:rPr>
      </w:pPr>
      <w:r>
        <w:rPr>
          <w:rFonts w:hint="eastAsia"/>
          <w:bCs/>
          <w:color w:val="FF0000"/>
        </w:rPr>
        <w:t>普陆4集气平台至</w:t>
      </w:r>
      <w:r>
        <w:rPr>
          <w:bCs/>
          <w:color w:val="FF0000"/>
        </w:rPr>
        <w:t>P107集气管道</w:t>
      </w:r>
      <w:r>
        <w:rPr>
          <w:color w:val="FF0000"/>
        </w:rPr>
        <w:t>两侧各</w:t>
      </w:r>
      <w:r>
        <w:rPr>
          <w:rFonts w:hint="eastAsia"/>
          <w:color w:val="FF0000"/>
        </w:rPr>
        <w:t>3</w:t>
      </w:r>
      <w:r>
        <w:rPr>
          <w:color w:val="FF0000"/>
        </w:rPr>
        <w:t>00m，普陆4集气平台周边</w:t>
      </w:r>
      <w:r>
        <w:rPr>
          <w:rFonts w:hint="eastAsia"/>
          <w:color w:val="FF0000"/>
        </w:rPr>
        <w:t>20</w:t>
      </w:r>
      <w:r>
        <w:rPr>
          <w:color w:val="FF0000"/>
        </w:rPr>
        <w:t>00m范围</w:t>
      </w:r>
      <w:r>
        <w:rPr>
          <w:rFonts w:hint="eastAsia"/>
          <w:color w:val="FF0000"/>
        </w:rPr>
        <w:t>（</w:t>
      </w:r>
      <w:r>
        <w:rPr>
          <w:color w:val="FF0000"/>
        </w:rPr>
        <w:t>HJ349-20</w:t>
      </w:r>
      <w:r>
        <w:rPr>
          <w:rFonts w:hint="eastAsia"/>
          <w:color w:val="FF0000"/>
        </w:rPr>
        <w:t>23中要求的评价范围为50m，考虑本项目</w:t>
      </w:r>
      <w:r>
        <w:rPr>
          <w:rFonts w:hint="eastAsia"/>
          <w:bCs/>
          <w:color w:val="FF0000"/>
        </w:rPr>
        <w:t>普陆4集气平台</w:t>
      </w:r>
      <w:r>
        <w:rPr>
          <w:bCs/>
          <w:color w:val="FF0000"/>
        </w:rPr>
        <w:t>土壤</w:t>
      </w:r>
      <w:r>
        <w:rPr>
          <w:rFonts w:hint="eastAsia"/>
          <w:bCs/>
          <w:color w:val="FF0000"/>
        </w:rPr>
        <w:t>评价</w:t>
      </w:r>
      <w:r>
        <w:rPr>
          <w:bCs/>
          <w:color w:val="FF0000"/>
        </w:rPr>
        <w:t>范围内</w:t>
      </w:r>
      <w:r>
        <w:rPr>
          <w:rFonts w:hint="eastAsia"/>
          <w:bCs/>
          <w:color w:val="FF0000"/>
        </w:rPr>
        <w:t>（200m范围）分布有公益林，将生态影响评价范围扩至20000m</w:t>
      </w:r>
      <w:r>
        <w:rPr>
          <w:rFonts w:hint="eastAsia"/>
          <w:color w:val="FF0000"/>
        </w:rPr>
        <w:t>）</w:t>
      </w:r>
      <w:r>
        <w:rPr>
          <w:color w:val="FF0000"/>
        </w:rPr>
        <w:t>。</w:t>
      </w:r>
    </w:p>
    <w:bookmarkEnd w:id="69"/>
    <w:bookmarkEnd w:id="70"/>
    <w:p>
      <w:pPr>
        <w:keepNext/>
        <w:keepLines/>
        <w:ind w:firstLine="0" w:firstLineChars="0"/>
        <w:outlineLvl w:val="2"/>
        <w:rPr>
          <w:rFonts w:ascii="Times New Roman" w:cs="Times New Roman"/>
          <w:b/>
          <w:szCs w:val="32"/>
        </w:rPr>
      </w:pPr>
      <w:r>
        <w:rPr>
          <w:rFonts w:ascii="Times New Roman" w:cs="Times New Roman"/>
          <w:b/>
          <w:szCs w:val="32"/>
        </w:rPr>
        <w:t>1.6.2 大气环境</w:t>
      </w:r>
    </w:p>
    <w:p>
      <w:pPr>
        <w:ind w:firstLine="490"/>
        <w:rPr>
          <w:rFonts w:ascii="Times New Roman" w:cs="Times New Roman"/>
          <w:b/>
          <w:bCs/>
          <w:spacing w:val="2"/>
          <w:kern w:val="2"/>
          <w:position w:val="2"/>
          <w:szCs w:val="22"/>
        </w:rPr>
      </w:pPr>
      <w:r>
        <w:rPr>
          <w:rFonts w:ascii="Times New Roman" w:cs="Times New Roman"/>
          <w:b/>
          <w:bCs/>
          <w:spacing w:val="2"/>
          <w:kern w:val="2"/>
          <w:position w:val="2"/>
          <w:szCs w:val="22"/>
        </w:rPr>
        <w:t>1、评价等级</w:t>
      </w:r>
    </w:p>
    <w:p>
      <w:pPr>
        <w:pStyle w:val="112"/>
        <w:ind w:firstLine="480"/>
        <w:rPr>
          <w:color w:val="FF0000"/>
        </w:rPr>
      </w:pPr>
      <w:r>
        <w:rPr>
          <w:color w:val="FF0000"/>
        </w:rPr>
        <w:t>根据《环境影响评价技术导则</w:t>
      </w:r>
      <w:r>
        <w:rPr>
          <w:rFonts w:hint="eastAsia"/>
          <w:color w:val="FF0000"/>
        </w:rPr>
        <w:t xml:space="preserve"> </w:t>
      </w:r>
      <w:r>
        <w:rPr>
          <w:color w:val="FF0000"/>
        </w:rPr>
        <w:t>大气环境》（HJ2.2-2018）</w:t>
      </w:r>
      <w:r>
        <w:rPr>
          <w:rFonts w:hint="eastAsia"/>
          <w:color w:val="FF0000"/>
        </w:rPr>
        <w:t>，</w:t>
      </w:r>
      <w:r>
        <w:rPr>
          <w:color w:val="FF0000"/>
        </w:rPr>
        <w:t>本项目</w:t>
      </w:r>
      <w:r>
        <w:rPr>
          <w:rFonts w:hint="eastAsia"/>
          <w:color w:val="FF0000"/>
        </w:rPr>
        <w:t>以运营期的污染源强来核定大气环境影响评价等级，</w:t>
      </w:r>
      <w:r>
        <w:rPr>
          <w:color w:val="FF0000"/>
        </w:rPr>
        <w:t>营运期正常工况下废气主要为普陆4集气平台站场内水套炉燃烧废气和</w:t>
      </w:r>
      <w:r>
        <w:rPr>
          <w:rFonts w:hint="eastAsia"/>
          <w:color w:val="FF0000"/>
        </w:rPr>
        <w:t>运营期废水池无组织挥发的少量V</w:t>
      </w:r>
      <w:r>
        <w:rPr>
          <w:color w:val="FF0000"/>
        </w:rPr>
        <w:t>OC</w:t>
      </w:r>
      <w:r>
        <w:rPr>
          <w:rFonts w:hint="eastAsia"/>
          <w:color w:val="FF0000"/>
        </w:rPr>
        <w:t>s（产生量较少，本次评价不再进行量化核算）</w:t>
      </w:r>
      <w:r>
        <w:rPr>
          <w:color w:val="FF0000"/>
        </w:rPr>
        <w:t>。水套炉燃烧废气主要为NO</w:t>
      </w:r>
      <w:r>
        <w:rPr>
          <w:color w:val="FF0000"/>
          <w:vertAlign w:val="subscript"/>
        </w:rPr>
        <w:t>X</w:t>
      </w:r>
      <w:r>
        <w:rPr>
          <w:color w:val="FF0000"/>
        </w:rPr>
        <w:t>。</w:t>
      </w:r>
    </w:p>
    <w:p>
      <w:pPr>
        <w:pStyle w:val="112"/>
        <w:ind w:firstLine="480"/>
        <w:rPr>
          <w:kern w:val="2"/>
          <w:szCs w:val="22"/>
        </w:rPr>
      </w:pPr>
      <w:r>
        <w:t>根据《环境影响评价技术导则</w:t>
      </w:r>
      <w:r>
        <w:rPr>
          <w:rFonts w:hint="eastAsia"/>
        </w:rPr>
        <w:t xml:space="preserve"> </w:t>
      </w:r>
      <w:r>
        <w:t>大气环境》（HJ2.2-2018）中评价等级划分的规定，按照导则推荐模式中的估算模式预测上述污染物下风向落地浓度，并分别计算该种污染物的最大地面浓度占标率Pi（第i个污染物），及第i个污染物的地面浓度达标准限值</w:t>
      </w:r>
      <w:r>
        <w:rPr>
          <w:kern w:val="2"/>
          <w:szCs w:val="22"/>
        </w:rPr>
        <w:t>10%时所对应的最远距离D</w:t>
      </w:r>
      <w:r>
        <w:rPr>
          <w:kern w:val="2"/>
          <w:szCs w:val="22"/>
          <w:vertAlign w:val="subscript"/>
        </w:rPr>
        <w:t>10%</w:t>
      </w:r>
      <w:r>
        <w:rPr>
          <w:kern w:val="2"/>
          <w:szCs w:val="22"/>
        </w:rPr>
        <w:t>。其中Pi定义为：</w:t>
      </w:r>
    </w:p>
    <w:p>
      <w:pPr>
        <w:snapToGrid w:val="0"/>
        <w:ind w:firstLine="560"/>
        <w:jc w:val="center"/>
        <w:rPr>
          <w:rFonts w:ascii="Times New Roman" w:cs="Times New Roman"/>
          <w:bCs/>
        </w:rPr>
      </w:pPr>
      <w:r>
        <w:rPr>
          <w:rFonts w:ascii="Times New Roman" w:cs="Times New Roman"/>
          <w:sz w:val="28"/>
        </w:rPr>
        <w:t xml:space="preserve">                  </w:t>
      </w:r>
      <w:r>
        <w:rPr>
          <w:rFonts w:ascii="Times New Roman" w:cs="Times New Roman"/>
          <w:position w:val="-30"/>
          <w:sz w:val="28"/>
        </w:rPr>
        <w:object>
          <v:shape id="_x0000_i1025" o:spt="75" type="#_x0000_t75" style="height:35pt;width:79.25pt;" o:ole="t" filled="f" o:preferrelative="t" stroked="f" coordsize="21600,21600">
            <v:path/>
            <v:fill on="f" focussize="0,0"/>
            <v:stroke on="f" joinstyle="miter"/>
            <v:imagedata r:id="rId46" o:title=""/>
            <o:lock v:ext="edit" aspectratio="t"/>
            <w10:wrap type="none"/>
            <w10:anchorlock/>
          </v:shape>
          <o:OLEObject Type="Embed" ProgID="Equation.3" ShapeID="_x0000_i1025" DrawAspect="Content" ObjectID="_1468075725" r:id="rId45">
            <o:LockedField>false</o:LockedField>
          </o:OLEObject>
        </w:object>
      </w:r>
      <w:r>
        <w:rPr>
          <w:rFonts w:ascii="Times New Roman" w:cs="Times New Roman"/>
          <w:sz w:val="28"/>
        </w:rPr>
        <w:t xml:space="preserve">                </w:t>
      </w:r>
      <w:r>
        <w:rPr>
          <w:rFonts w:ascii="Times New Roman" w:cs="Times New Roman"/>
        </w:rPr>
        <w:t>（1）</w:t>
      </w:r>
    </w:p>
    <w:p>
      <w:pPr>
        <w:pStyle w:val="112"/>
        <w:ind w:firstLine="480"/>
      </w:pPr>
      <w:r>
        <w:t>式中：P</w:t>
      </w:r>
      <w:r>
        <w:rPr>
          <w:vertAlign w:val="subscript"/>
        </w:rPr>
        <w:t>i</w:t>
      </w:r>
      <w:r>
        <w:t>——第i个污染物的最大地面空气质量浓度占标率，%；</w:t>
      </w:r>
    </w:p>
    <w:p>
      <w:pPr>
        <w:pStyle w:val="112"/>
        <w:ind w:firstLine="1200" w:firstLineChars="500"/>
      </w:pPr>
      <w:r>
        <w:t>C</w:t>
      </w:r>
      <w:r>
        <w:rPr>
          <w:vertAlign w:val="subscript"/>
        </w:rPr>
        <w:t>i</w:t>
      </w:r>
      <w:r>
        <w:t>——采用估算模式计算出的第i个污染物的最大1h地面空气质量浓度，ug/m</w:t>
      </w:r>
      <w:r>
        <w:rPr>
          <w:vertAlign w:val="superscript"/>
        </w:rPr>
        <w:t>3</w:t>
      </w:r>
      <w:r>
        <w:t>；</w:t>
      </w:r>
    </w:p>
    <w:p>
      <w:pPr>
        <w:pStyle w:val="112"/>
        <w:ind w:firstLine="1200" w:firstLineChars="500"/>
      </w:pPr>
      <w:r>
        <w:t>C</w:t>
      </w:r>
      <w:r>
        <w:rPr>
          <w:vertAlign w:val="subscript"/>
        </w:rPr>
        <w:t>oi</w:t>
      </w:r>
      <w:r>
        <w:t>——第i个污染物的环境空气质量浓度标准，ug/m</w:t>
      </w:r>
      <w:r>
        <w:rPr>
          <w:vertAlign w:val="superscript"/>
        </w:rPr>
        <w:t>3</w:t>
      </w:r>
      <w:r>
        <w:t>。</w:t>
      </w:r>
    </w:p>
    <w:p>
      <w:pPr>
        <w:pStyle w:val="112"/>
        <w:ind w:firstLine="480"/>
      </w:pPr>
      <w:r>
        <w:t>在采用估算模型计算评价等级，估算模型参数表见下表。</w:t>
      </w:r>
    </w:p>
    <w:p>
      <w:pPr>
        <w:pStyle w:val="37"/>
        <w:rPr>
          <w:rFonts w:cs="Times New Roman"/>
        </w:rPr>
      </w:pPr>
      <w:r>
        <w:rPr>
          <w:rFonts w:cs="Times New Roman"/>
        </w:rPr>
        <w:t>表1.6-</w:t>
      </w:r>
      <w:r>
        <w:rPr>
          <w:rFonts w:hint="eastAsia" w:cs="Times New Roman"/>
        </w:rPr>
        <w:t>2</w:t>
      </w:r>
      <w:r>
        <w:rPr>
          <w:rFonts w:cs="Times New Roman"/>
        </w:rPr>
        <w:t xml:space="preserve">  估算模型参数表</w:t>
      </w:r>
    </w:p>
    <w:tbl>
      <w:tblPr>
        <w:tblStyle w:val="57"/>
        <w:tblW w:w="8892"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2396"/>
        <w:gridCol w:w="2924"/>
        <w:gridCol w:w="357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73" w:hRule="atLeast"/>
          <w:jc w:val="center"/>
        </w:trPr>
        <w:tc>
          <w:tcPr>
            <w:tcW w:w="5320" w:type="dxa"/>
            <w:gridSpan w:val="2"/>
            <w:vAlign w:val="center"/>
          </w:tcPr>
          <w:p>
            <w:pPr>
              <w:pStyle w:val="539"/>
              <w:rPr>
                <w:b/>
                <w:bCs/>
              </w:rPr>
            </w:pPr>
            <w:r>
              <w:rPr>
                <w:b/>
                <w:bCs/>
              </w:rPr>
              <w:t>参数</w:t>
            </w:r>
          </w:p>
        </w:tc>
        <w:tc>
          <w:tcPr>
            <w:tcW w:w="3572" w:type="dxa"/>
            <w:vAlign w:val="center"/>
          </w:tcPr>
          <w:p>
            <w:pPr>
              <w:pStyle w:val="539"/>
              <w:rPr>
                <w:b/>
                <w:bCs/>
              </w:rPr>
            </w:pPr>
            <w:r>
              <w:rPr>
                <w:b/>
                <w:bCs/>
              </w:rPr>
              <w:t>取值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73" w:hRule="atLeast"/>
          <w:jc w:val="center"/>
        </w:trPr>
        <w:tc>
          <w:tcPr>
            <w:tcW w:w="2396" w:type="dxa"/>
            <w:vMerge w:val="restart"/>
            <w:vAlign w:val="center"/>
          </w:tcPr>
          <w:p>
            <w:pPr>
              <w:pStyle w:val="539"/>
            </w:pPr>
            <w:r>
              <w:t>城市农村/选项</w:t>
            </w:r>
          </w:p>
        </w:tc>
        <w:tc>
          <w:tcPr>
            <w:tcW w:w="2923" w:type="dxa"/>
            <w:vAlign w:val="center"/>
          </w:tcPr>
          <w:p>
            <w:pPr>
              <w:pStyle w:val="539"/>
            </w:pPr>
            <w:r>
              <w:t>城市/农村</w:t>
            </w:r>
          </w:p>
        </w:tc>
        <w:tc>
          <w:tcPr>
            <w:tcW w:w="3572" w:type="dxa"/>
            <w:vAlign w:val="center"/>
          </w:tcPr>
          <w:p>
            <w:pPr>
              <w:pStyle w:val="539"/>
            </w:pPr>
            <w:r>
              <w:t>农村</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73" w:hRule="atLeast"/>
          <w:jc w:val="center"/>
        </w:trPr>
        <w:tc>
          <w:tcPr>
            <w:tcW w:w="2396" w:type="dxa"/>
            <w:vMerge w:val="continue"/>
            <w:vAlign w:val="center"/>
          </w:tcPr>
          <w:p>
            <w:pPr>
              <w:pStyle w:val="539"/>
            </w:pPr>
          </w:p>
        </w:tc>
        <w:tc>
          <w:tcPr>
            <w:tcW w:w="2923" w:type="dxa"/>
            <w:vAlign w:val="center"/>
          </w:tcPr>
          <w:p>
            <w:pPr>
              <w:pStyle w:val="539"/>
            </w:pPr>
            <w:r>
              <w:t>人口数（城市人口数）</w:t>
            </w:r>
          </w:p>
        </w:tc>
        <w:tc>
          <w:tcPr>
            <w:tcW w:w="3572" w:type="dxa"/>
            <w:vAlign w:val="center"/>
          </w:tcPr>
          <w:p>
            <w:pPr>
              <w:pStyle w:val="539"/>
            </w:pPr>
            <w: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70" w:hRule="atLeast"/>
          <w:jc w:val="center"/>
        </w:trPr>
        <w:tc>
          <w:tcPr>
            <w:tcW w:w="5320" w:type="dxa"/>
            <w:gridSpan w:val="2"/>
            <w:vAlign w:val="center"/>
          </w:tcPr>
          <w:p>
            <w:pPr>
              <w:pStyle w:val="539"/>
            </w:pPr>
            <w:r>
              <w:t>最高环境温度/℃</w:t>
            </w:r>
          </w:p>
        </w:tc>
        <w:tc>
          <w:tcPr>
            <w:tcW w:w="3572" w:type="dxa"/>
            <w:vAlign w:val="center"/>
          </w:tcPr>
          <w:p>
            <w:pPr>
              <w:pStyle w:val="539"/>
            </w:pPr>
            <w:r>
              <w:t>41.3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73" w:hRule="atLeast"/>
          <w:jc w:val="center"/>
        </w:trPr>
        <w:tc>
          <w:tcPr>
            <w:tcW w:w="5320" w:type="dxa"/>
            <w:gridSpan w:val="2"/>
            <w:vAlign w:val="center"/>
          </w:tcPr>
          <w:p>
            <w:pPr>
              <w:pStyle w:val="539"/>
            </w:pPr>
            <w:r>
              <w:t>最低环境温度/℃</w:t>
            </w:r>
          </w:p>
        </w:tc>
        <w:tc>
          <w:tcPr>
            <w:tcW w:w="3572" w:type="dxa"/>
            <w:vAlign w:val="center"/>
          </w:tcPr>
          <w:p>
            <w:pPr>
              <w:pStyle w:val="539"/>
            </w:pPr>
            <w:r>
              <w:t>-</w:t>
            </w:r>
            <w:r>
              <w:rPr>
                <w:rFonts w:hint="eastAsia"/>
              </w:rPr>
              <w:t>2</w:t>
            </w:r>
            <w: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73" w:hRule="atLeast"/>
          <w:jc w:val="center"/>
        </w:trPr>
        <w:tc>
          <w:tcPr>
            <w:tcW w:w="5320" w:type="dxa"/>
            <w:gridSpan w:val="2"/>
            <w:vAlign w:val="center"/>
          </w:tcPr>
          <w:p>
            <w:pPr>
              <w:pStyle w:val="539"/>
            </w:pPr>
            <w:r>
              <w:t>土地利用类型</w:t>
            </w:r>
          </w:p>
        </w:tc>
        <w:tc>
          <w:tcPr>
            <w:tcW w:w="3572" w:type="dxa"/>
            <w:vAlign w:val="center"/>
          </w:tcPr>
          <w:p>
            <w:pPr>
              <w:pStyle w:val="539"/>
            </w:pPr>
            <w:r>
              <w:t>农村</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73" w:hRule="atLeast"/>
          <w:jc w:val="center"/>
        </w:trPr>
        <w:tc>
          <w:tcPr>
            <w:tcW w:w="5320" w:type="dxa"/>
            <w:gridSpan w:val="2"/>
            <w:vAlign w:val="center"/>
          </w:tcPr>
          <w:p>
            <w:pPr>
              <w:pStyle w:val="539"/>
            </w:pPr>
            <w:r>
              <w:t>区域湿度条件</w:t>
            </w:r>
          </w:p>
        </w:tc>
        <w:tc>
          <w:tcPr>
            <w:tcW w:w="3572" w:type="dxa"/>
            <w:vAlign w:val="center"/>
          </w:tcPr>
          <w:p>
            <w:pPr>
              <w:pStyle w:val="539"/>
            </w:pPr>
            <w:r>
              <w:t>潮湿</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53" w:hRule="atLeast"/>
          <w:jc w:val="center"/>
        </w:trPr>
        <w:tc>
          <w:tcPr>
            <w:tcW w:w="2396" w:type="dxa"/>
            <w:vMerge w:val="restart"/>
            <w:vAlign w:val="center"/>
          </w:tcPr>
          <w:p>
            <w:pPr>
              <w:pStyle w:val="539"/>
            </w:pPr>
            <w:r>
              <w:t>是否考虑地形</w:t>
            </w:r>
          </w:p>
        </w:tc>
        <w:tc>
          <w:tcPr>
            <w:tcW w:w="2923" w:type="dxa"/>
            <w:vAlign w:val="center"/>
          </w:tcPr>
          <w:p>
            <w:pPr>
              <w:pStyle w:val="539"/>
            </w:pPr>
            <w:r>
              <w:t>考虑地形</w:t>
            </w:r>
          </w:p>
        </w:tc>
        <w:tc>
          <w:tcPr>
            <w:tcW w:w="3572" w:type="dxa"/>
            <w:vAlign w:val="center"/>
          </w:tcPr>
          <w:p>
            <w:pPr>
              <w:pStyle w:val="539"/>
            </w:pPr>
            <w: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53" w:hRule="atLeast"/>
          <w:jc w:val="center"/>
        </w:trPr>
        <w:tc>
          <w:tcPr>
            <w:tcW w:w="2396" w:type="dxa"/>
            <w:vMerge w:val="continue"/>
            <w:vAlign w:val="center"/>
          </w:tcPr>
          <w:p>
            <w:pPr>
              <w:pStyle w:val="539"/>
            </w:pPr>
          </w:p>
        </w:tc>
        <w:tc>
          <w:tcPr>
            <w:tcW w:w="2923" w:type="dxa"/>
            <w:vAlign w:val="center"/>
          </w:tcPr>
          <w:p>
            <w:pPr>
              <w:pStyle w:val="539"/>
            </w:pPr>
            <w:r>
              <w:t>地形数据分辨率</w:t>
            </w:r>
            <w:r>
              <w:rPr>
                <w:rFonts w:hint="eastAsia"/>
              </w:rPr>
              <w:t>（</w:t>
            </w:r>
            <w:r>
              <w:t>m</w:t>
            </w:r>
            <w:r>
              <w:rPr>
                <w:rFonts w:hint="eastAsia"/>
              </w:rPr>
              <w:t>）</w:t>
            </w:r>
          </w:p>
        </w:tc>
        <w:tc>
          <w:tcPr>
            <w:tcW w:w="3572" w:type="dxa"/>
            <w:vAlign w:val="center"/>
          </w:tcPr>
          <w:p>
            <w:pPr>
              <w:pStyle w:val="539"/>
            </w:pPr>
            <w:r>
              <w:t>90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102" w:hRule="atLeast"/>
          <w:jc w:val="center"/>
        </w:trPr>
        <w:tc>
          <w:tcPr>
            <w:tcW w:w="2396" w:type="dxa"/>
            <w:vMerge w:val="restart"/>
            <w:vAlign w:val="center"/>
          </w:tcPr>
          <w:p>
            <w:pPr>
              <w:pStyle w:val="539"/>
            </w:pPr>
            <w:r>
              <w:t>是否考虑岸线熏烟</w:t>
            </w:r>
          </w:p>
        </w:tc>
        <w:tc>
          <w:tcPr>
            <w:tcW w:w="2923" w:type="dxa"/>
            <w:vAlign w:val="center"/>
          </w:tcPr>
          <w:p>
            <w:pPr>
              <w:pStyle w:val="539"/>
            </w:pPr>
            <w:r>
              <w:t>考虑岸线熏烟</w:t>
            </w:r>
          </w:p>
        </w:tc>
        <w:tc>
          <w:tcPr>
            <w:tcW w:w="3572" w:type="dxa"/>
            <w:vAlign w:val="center"/>
          </w:tcPr>
          <w:p>
            <w:pPr>
              <w:pStyle w:val="539"/>
            </w:pPr>
            <w:r>
              <w:t>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102" w:hRule="atLeast"/>
          <w:jc w:val="center"/>
        </w:trPr>
        <w:tc>
          <w:tcPr>
            <w:tcW w:w="2396" w:type="dxa"/>
            <w:vMerge w:val="continue"/>
            <w:vAlign w:val="center"/>
          </w:tcPr>
          <w:p>
            <w:pPr>
              <w:pStyle w:val="539"/>
            </w:pPr>
          </w:p>
        </w:tc>
        <w:tc>
          <w:tcPr>
            <w:tcW w:w="2923" w:type="dxa"/>
            <w:vAlign w:val="center"/>
          </w:tcPr>
          <w:p>
            <w:pPr>
              <w:pStyle w:val="539"/>
            </w:pPr>
            <w:r>
              <w:t>岸线距离/km</w:t>
            </w:r>
          </w:p>
        </w:tc>
        <w:tc>
          <w:tcPr>
            <w:tcW w:w="3572" w:type="dxa"/>
            <w:vAlign w:val="center"/>
          </w:tcPr>
          <w:p>
            <w:pPr>
              <w:pStyle w:val="539"/>
            </w:pPr>
            <w: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102" w:hRule="atLeast"/>
          <w:jc w:val="center"/>
        </w:trPr>
        <w:tc>
          <w:tcPr>
            <w:tcW w:w="2396" w:type="dxa"/>
            <w:vMerge w:val="continue"/>
            <w:vAlign w:val="center"/>
          </w:tcPr>
          <w:p>
            <w:pPr>
              <w:pStyle w:val="539"/>
            </w:pPr>
          </w:p>
        </w:tc>
        <w:tc>
          <w:tcPr>
            <w:tcW w:w="2923" w:type="dxa"/>
            <w:vAlign w:val="center"/>
          </w:tcPr>
          <w:p>
            <w:pPr>
              <w:pStyle w:val="539"/>
            </w:pPr>
            <w:r>
              <w:t>岸线方向/o</w:t>
            </w:r>
          </w:p>
        </w:tc>
        <w:tc>
          <w:tcPr>
            <w:tcW w:w="3572" w:type="dxa"/>
            <w:vAlign w:val="center"/>
          </w:tcPr>
          <w:p>
            <w:pPr>
              <w:pStyle w:val="539"/>
            </w:pPr>
            <w:r>
              <w:t>/</w:t>
            </w:r>
          </w:p>
        </w:tc>
      </w:tr>
    </w:tbl>
    <w:p>
      <w:pPr>
        <w:pStyle w:val="112"/>
        <w:ind w:firstLine="480"/>
      </w:pPr>
      <w:r>
        <w:t>各污染物Pi估算模式计算结果如下表。</w:t>
      </w:r>
    </w:p>
    <w:p>
      <w:pPr>
        <w:pStyle w:val="37"/>
        <w:rPr>
          <w:rFonts w:cs="Times New Roman"/>
        </w:rPr>
      </w:pPr>
      <w:r>
        <w:rPr>
          <w:rFonts w:cs="Times New Roman"/>
        </w:rPr>
        <w:t>表1.6-</w:t>
      </w:r>
      <w:r>
        <w:rPr>
          <w:rFonts w:hint="eastAsia" w:cs="Times New Roman"/>
        </w:rPr>
        <w:t>3</w:t>
      </w:r>
      <w:r>
        <w:rPr>
          <w:rFonts w:cs="Times New Roman"/>
        </w:rPr>
        <w:t xml:space="preserve">  估算模式计算结果</w:t>
      </w:r>
    </w:p>
    <w:tbl>
      <w:tblPr>
        <w:tblStyle w:val="57"/>
        <w:tblW w:w="89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1102"/>
        <w:gridCol w:w="1276"/>
        <w:gridCol w:w="2835"/>
        <w:gridCol w:w="19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733" w:type="dxa"/>
            <w:vMerge w:val="restart"/>
            <w:tcBorders>
              <w:right w:val="single" w:color="000000" w:sz="4" w:space="0"/>
            </w:tcBorders>
            <w:vAlign w:val="center"/>
          </w:tcPr>
          <w:p>
            <w:pPr>
              <w:pStyle w:val="37"/>
              <w:spacing w:line="240" w:lineRule="auto"/>
              <w:rPr>
                <w:rFonts w:cs="Times New Roman"/>
                <w:szCs w:val="21"/>
              </w:rPr>
            </w:pPr>
            <w:r>
              <w:rPr>
                <w:rFonts w:cs="Times New Roman"/>
                <w:szCs w:val="21"/>
              </w:rPr>
              <w:t>污染源</w:t>
            </w:r>
          </w:p>
        </w:tc>
        <w:tc>
          <w:tcPr>
            <w:tcW w:w="1102" w:type="dxa"/>
            <w:vMerge w:val="restart"/>
            <w:tcBorders>
              <w:left w:val="single" w:color="000000" w:sz="4" w:space="0"/>
            </w:tcBorders>
            <w:vAlign w:val="center"/>
          </w:tcPr>
          <w:p>
            <w:pPr>
              <w:pStyle w:val="37"/>
              <w:spacing w:line="240" w:lineRule="auto"/>
              <w:rPr>
                <w:rFonts w:cs="Times New Roman"/>
                <w:szCs w:val="21"/>
              </w:rPr>
            </w:pPr>
            <w:r>
              <w:rPr>
                <w:rFonts w:cs="Times New Roman"/>
                <w:szCs w:val="21"/>
              </w:rPr>
              <w:t>污染物</w:t>
            </w:r>
          </w:p>
        </w:tc>
        <w:tc>
          <w:tcPr>
            <w:tcW w:w="6101" w:type="dxa"/>
            <w:gridSpan w:val="3"/>
            <w:tcBorders>
              <w:bottom w:val="single" w:color="auto" w:sz="2" w:space="0"/>
            </w:tcBorders>
            <w:vAlign w:val="center"/>
          </w:tcPr>
          <w:p>
            <w:pPr>
              <w:pStyle w:val="37"/>
              <w:spacing w:line="240" w:lineRule="auto"/>
              <w:rPr>
                <w:rFonts w:cs="Times New Roman"/>
                <w:szCs w:val="21"/>
              </w:rPr>
            </w:pPr>
            <w:r>
              <w:rPr>
                <w:rFonts w:cs="Times New Roman"/>
                <w:szCs w:val="21"/>
              </w:rPr>
              <w:t>预测结果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733" w:type="dxa"/>
            <w:vMerge w:val="continue"/>
            <w:tcBorders>
              <w:right w:val="single" w:color="000000" w:sz="4" w:space="0"/>
            </w:tcBorders>
            <w:vAlign w:val="center"/>
          </w:tcPr>
          <w:p>
            <w:pPr>
              <w:pStyle w:val="37"/>
              <w:spacing w:line="240" w:lineRule="auto"/>
              <w:rPr>
                <w:rFonts w:cs="Times New Roman"/>
                <w:szCs w:val="21"/>
              </w:rPr>
            </w:pPr>
          </w:p>
        </w:tc>
        <w:tc>
          <w:tcPr>
            <w:tcW w:w="1102" w:type="dxa"/>
            <w:vMerge w:val="continue"/>
            <w:tcBorders>
              <w:left w:val="single" w:color="000000" w:sz="4" w:space="0"/>
            </w:tcBorders>
            <w:vAlign w:val="center"/>
          </w:tcPr>
          <w:p>
            <w:pPr>
              <w:pStyle w:val="37"/>
              <w:spacing w:line="240" w:lineRule="auto"/>
              <w:rPr>
                <w:rFonts w:cs="Times New Roman"/>
                <w:szCs w:val="21"/>
              </w:rPr>
            </w:pPr>
          </w:p>
        </w:tc>
        <w:tc>
          <w:tcPr>
            <w:tcW w:w="1276" w:type="dxa"/>
            <w:tcBorders>
              <w:top w:val="single" w:color="auto" w:sz="2" w:space="0"/>
              <w:right w:val="single" w:color="auto" w:sz="2" w:space="0"/>
            </w:tcBorders>
            <w:vAlign w:val="center"/>
          </w:tcPr>
          <w:p>
            <w:pPr>
              <w:pStyle w:val="37"/>
              <w:spacing w:line="240" w:lineRule="auto"/>
              <w:rPr>
                <w:rFonts w:cs="Times New Roman"/>
                <w:szCs w:val="21"/>
              </w:rPr>
            </w:pPr>
            <w:r>
              <w:rPr>
                <w:rFonts w:cs="Times New Roman"/>
                <w:szCs w:val="21"/>
              </w:rPr>
              <w:t>距离（m）</w:t>
            </w:r>
          </w:p>
        </w:tc>
        <w:tc>
          <w:tcPr>
            <w:tcW w:w="2835" w:type="dxa"/>
            <w:tcBorders>
              <w:top w:val="single" w:color="auto" w:sz="2" w:space="0"/>
              <w:left w:val="single" w:color="auto" w:sz="2" w:space="0"/>
              <w:right w:val="single" w:color="000000" w:sz="4" w:space="0"/>
            </w:tcBorders>
            <w:vAlign w:val="center"/>
          </w:tcPr>
          <w:p>
            <w:pPr>
              <w:pStyle w:val="37"/>
              <w:spacing w:line="240" w:lineRule="auto"/>
              <w:rPr>
                <w:rFonts w:cs="Times New Roman"/>
                <w:szCs w:val="21"/>
              </w:rPr>
            </w:pPr>
            <w:r>
              <w:rPr>
                <w:rFonts w:cs="Times New Roman"/>
                <w:szCs w:val="21"/>
              </w:rPr>
              <w:t>最大落地浓度（mg/m</w:t>
            </w:r>
            <w:r>
              <w:rPr>
                <w:rFonts w:cs="Times New Roman"/>
                <w:szCs w:val="21"/>
                <w:vertAlign w:val="superscript"/>
              </w:rPr>
              <w:t>3</w:t>
            </w:r>
            <w:r>
              <w:rPr>
                <w:rFonts w:cs="Times New Roman"/>
                <w:szCs w:val="21"/>
              </w:rPr>
              <w:t>）</w:t>
            </w:r>
          </w:p>
        </w:tc>
        <w:tc>
          <w:tcPr>
            <w:tcW w:w="1990" w:type="dxa"/>
            <w:tcBorders>
              <w:top w:val="single" w:color="auto" w:sz="2" w:space="0"/>
              <w:left w:val="single" w:color="000000" w:sz="4" w:space="0"/>
            </w:tcBorders>
            <w:vAlign w:val="center"/>
          </w:tcPr>
          <w:p>
            <w:pPr>
              <w:pStyle w:val="37"/>
              <w:spacing w:line="240" w:lineRule="auto"/>
              <w:rPr>
                <w:rFonts w:cs="Times New Roman"/>
                <w:szCs w:val="21"/>
              </w:rPr>
            </w:pPr>
            <w:r>
              <w:rPr>
                <w:rFonts w:cs="Times New Roman"/>
                <w:szCs w:val="21"/>
              </w:rPr>
              <w:t>最大占标率（%）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733" w:type="dxa"/>
            <w:tcBorders>
              <w:right w:val="single" w:color="000000" w:sz="4" w:space="0"/>
            </w:tcBorders>
            <w:vAlign w:val="center"/>
          </w:tcPr>
          <w:p>
            <w:pPr>
              <w:pStyle w:val="37"/>
              <w:spacing w:line="240" w:lineRule="auto"/>
              <w:rPr>
                <w:rFonts w:cs="Times New Roman"/>
                <w:b w:val="0"/>
                <w:bCs/>
                <w:szCs w:val="21"/>
              </w:rPr>
            </w:pPr>
            <w:r>
              <w:rPr>
                <w:rFonts w:cs="Times New Roman"/>
                <w:b w:val="0"/>
                <w:bCs/>
                <w:szCs w:val="21"/>
              </w:rPr>
              <w:t>水套炉排气筒</w:t>
            </w:r>
          </w:p>
        </w:tc>
        <w:tc>
          <w:tcPr>
            <w:tcW w:w="1102" w:type="dxa"/>
            <w:tcBorders>
              <w:left w:val="single" w:color="000000" w:sz="4" w:space="0"/>
            </w:tcBorders>
            <w:vAlign w:val="center"/>
          </w:tcPr>
          <w:p>
            <w:pPr>
              <w:pStyle w:val="37"/>
              <w:spacing w:line="240" w:lineRule="auto"/>
              <w:rPr>
                <w:rFonts w:cs="Times New Roman"/>
                <w:b w:val="0"/>
                <w:bCs/>
                <w:szCs w:val="21"/>
              </w:rPr>
            </w:pPr>
            <w:r>
              <w:rPr>
                <w:rFonts w:cs="Times New Roman"/>
                <w:b w:val="0"/>
                <w:bCs/>
                <w:szCs w:val="21"/>
              </w:rPr>
              <w:t>氮氧化物</w:t>
            </w:r>
          </w:p>
        </w:tc>
        <w:tc>
          <w:tcPr>
            <w:tcW w:w="1276" w:type="dxa"/>
            <w:tcBorders>
              <w:right w:val="single" w:color="auto" w:sz="2" w:space="0"/>
            </w:tcBorders>
            <w:vAlign w:val="center"/>
          </w:tcPr>
          <w:p>
            <w:pPr>
              <w:pStyle w:val="37"/>
              <w:spacing w:line="240" w:lineRule="auto"/>
              <w:rPr>
                <w:rFonts w:cs="Times New Roman"/>
                <w:b w:val="0"/>
                <w:bCs/>
                <w:szCs w:val="21"/>
              </w:rPr>
            </w:pPr>
            <w:r>
              <w:rPr>
                <w:rFonts w:cs="Times New Roman"/>
                <w:b w:val="0"/>
                <w:bCs/>
                <w:szCs w:val="21"/>
              </w:rPr>
              <w:t>26</w:t>
            </w:r>
          </w:p>
        </w:tc>
        <w:tc>
          <w:tcPr>
            <w:tcW w:w="2835" w:type="dxa"/>
            <w:tcBorders>
              <w:left w:val="single" w:color="auto" w:sz="2" w:space="0"/>
              <w:right w:val="single" w:color="000000" w:sz="4" w:space="0"/>
            </w:tcBorders>
            <w:vAlign w:val="center"/>
          </w:tcPr>
          <w:p>
            <w:pPr>
              <w:pStyle w:val="37"/>
              <w:spacing w:line="240" w:lineRule="auto"/>
              <w:rPr>
                <w:rFonts w:cs="Times New Roman"/>
                <w:b w:val="0"/>
                <w:bCs/>
                <w:szCs w:val="21"/>
              </w:rPr>
            </w:pPr>
            <w:r>
              <w:rPr>
                <w:rFonts w:cs="Times New Roman"/>
                <w:b w:val="0"/>
                <w:bCs/>
                <w:szCs w:val="21"/>
              </w:rPr>
              <w:t>0.00</w:t>
            </w:r>
            <w:r>
              <w:rPr>
                <w:rFonts w:hint="eastAsia" w:cs="Times New Roman"/>
                <w:b w:val="0"/>
                <w:bCs/>
                <w:szCs w:val="21"/>
              </w:rPr>
              <w:t>58</w:t>
            </w:r>
          </w:p>
        </w:tc>
        <w:tc>
          <w:tcPr>
            <w:tcW w:w="1990" w:type="dxa"/>
            <w:tcBorders>
              <w:left w:val="single" w:color="000000" w:sz="4" w:space="0"/>
            </w:tcBorders>
            <w:vAlign w:val="center"/>
          </w:tcPr>
          <w:p>
            <w:pPr>
              <w:pStyle w:val="37"/>
              <w:spacing w:line="240" w:lineRule="auto"/>
              <w:rPr>
                <w:rFonts w:cs="Times New Roman"/>
                <w:b w:val="0"/>
                <w:bCs/>
                <w:szCs w:val="21"/>
              </w:rPr>
            </w:pPr>
            <w:r>
              <w:rPr>
                <w:rFonts w:hint="eastAsia" w:cs="Times New Roman"/>
                <w:b w:val="0"/>
                <w:bCs/>
                <w:szCs w:val="21"/>
              </w:rPr>
              <w:t>2.33</w:t>
            </w:r>
          </w:p>
        </w:tc>
      </w:tr>
    </w:tbl>
    <w:p>
      <w:pPr>
        <w:pStyle w:val="112"/>
        <w:ind w:firstLine="480"/>
      </w:pPr>
      <w:r>
        <w:t>大气环境影响评价工作等级按下表1.6-</w:t>
      </w:r>
      <w:r>
        <w:rPr>
          <w:rFonts w:hint="eastAsia"/>
        </w:rPr>
        <w:t>3</w:t>
      </w:r>
      <w:r>
        <w:t>分级判据进行划分，若污染物数i＞1，取P值中最大者（P</w:t>
      </w:r>
      <w:r>
        <w:rPr>
          <w:vertAlign w:val="subscript"/>
        </w:rPr>
        <w:t>max</w:t>
      </w:r>
      <w:r>
        <w:t>）；则本次评价P</w:t>
      </w:r>
      <w:r>
        <w:rPr>
          <w:vertAlign w:val="subscript"/>
        </w:rPr>
        <w:t>max</w:t>
      </w:r>
      <w:r>
        <w:t>=</w:t>
      </w:r>
      <w:r>
        <w:rPr>
          <w:rFonts w:hint="eastAsia"/>
        </w:rPr>
        <w:t>2.33</w:t>
      </w:r>
      <w:r>
        <w:t>%，评价等级划分情况见下表。</w:t>
      </w:r>
    </w:p>
    <w:p>
      <w:pPr>
        <w:pStyle w:val="37"/>
        <w:rPr>
          <w:rFonts w:cs="Times New Roman"/>
        </w:rPr>
      </w:pPr>
      <w:r>
        <w:rPr>
          <w:rFonts w:cs="Times New Roman"/>
        </w:rPr>
        <w:t>表1.6-</w:t>
      </w:r>
      <w:r>
        <w:rPr>
          <w:rFonts w:hint="eastAsia" w:cs="Times New Roman"/>
        </w:rPr>
        <w:t>4</w:t>
      </w:r>
      <w:r>
        <w:rPr>
          <w:rFonts w:cs="Times New Roman"/>
        </w:rPr>
        <w:t xml:space="preserve">  评价工作等级</w:t>
      </w:r>
    </w:p>
    <w:tbl>
      <w:tblPr>
        <w:tblStyle w:val="57"/>
        <w:tblW w:w="90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63"/>
        <w:gridCol w:w="59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3063" w:type="dxa"/>
            <w:vAlign w:val="center"/>
          </w:tcPr>
          <w:p>
            <w:pPr>
              <w:pStyle w:val="539"/>
              <w:rPr>
                <w:b/>
                <w:bCs/>
              </w:rPr>
            </w:pPr>
            <w:r>
              <w:rPr>
                <w:b/>
                <w:bCs/>
              </w:rPr>
              <w:t>评价工作等级</w:t>
            </w:r>
          </w:p>
        </w:tc>
        <w:tc>
          <w:tcPr>
            <w:tcW w:w="5976" w:type="dxa"/>
            <w:vAlign w:val="center"/>
          </w:tcPr>
          <w:p>
            <w:pPr>
              <w:pStyle w:val="539"/>
              <w:rPr>
                <w:b/>
                <w:bCs/>
              </w:rPr>
            </w:pPr>
            <w:r>
              <w:rPr>
                <w:b/>
                <w:bCs/>
              </w:rPr>
              <w:t>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3063" w:type="dxa"/>
            <w:vAlign w:val="center"/>
          </w:tcPr>
          <w:p>
            <w:pPr>
              <w:pStyle w:val="539"/>
            </w:pPr>
            <w:r>
              <w:t>一级评价</w:t>
            </w:r>
          </w:p>
        </w:tc>
        <w:tc>
          <w:tcPr>
            <w:tcW w:w="5976" w:type="dxa"/>
            <w:vAlign w:val="center"/>
          </w:tcPr>
          <w:p>
            <w:pPr>
              <w:pStyle w:val="539"/>
            </w:pPr>
            <w:r>
              <w:t>P</w:t>
            </w:r>
            <w:r>
              <w:rPr>
                <w:vertAlign w:val="subscript"/>
              </w:rPr>
              <w:t>max</w:t>
            </w:r>
            <w: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3063" w:type="dxa"/>
            <w:vAlign w:val="center"/>
          </w:tcPr>
          <w:p>
            <w:pPr>
              <w:pStyle w:val="539"/>
            </w:pPr>
            <w:r>
              <w:t>二级评价</w:t>
            </w:r>
          </w:p>
        </w:tc>
        <w:tc>
          <w:tcPr>
            <w:tcW w:w="5976" w:type="dxa"/>
            <w:vAlign w:val="center"/>
          </w:tcPr>
          <w:p>
            <w:pPr>
              <w:pStyle w:val="539"/>
            </w:pPr>
            <w:r>
              <w:t>1≤P</w:t>
            </w:r>
            <w:r>
              <w:rPr>
                <w:vertAlign w:val="subscript"/>
              </w:rPr>
              <w:t>max</w:t>
            </w:r>
            <w:r>
              <w:t>&lt;10%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3063" w:type="dxa"/>
            <w:vAlign w:val="center"/>
          </w:tcPr>
          <w:p>
            <w:pPr>
              <w:pStyle w:val="539"/>
            </w:pPr>
            <w:r>
              <w:t>三级评价</w:t>
            </w:r>
          </w:p>
        </w:tc>
        <w:tc>
          <w:tcPr>
            <w:tcW w:w="5976" w:type="dxa"/>
            <w:vAlign w:val="center"/>
          </w:tcPr>
          <w:p>
            <w:pPr>
              <w:pStyle w:val="539"/>
            </w:pPr>
            <w:r>
              <w:t>P</w:t>
            </w:r>
            <w:r>
              <w:rPr>
                <w:vertAlign w:val="subscript"/>
              </w:rPr>
              <w:t>max</w:t>
            </w:r>
            <w:r>
              <w:t>&lt;1%</w:t>
            </w:r>
          </w:p>
        </w:tc>
      </w:tr>
    </w:tbl>
    <w:p>
      <w:pPr>
        <w:pStyle w:val="112"/>
        <w:ind w:firstLine="480"/>
      </w:pPr>
      <w:r>
        <w:t>经估算模式计算，1%≤P</w:t>
      </w:r>
      <w:r>
        <w:rPr>
          <w:vertAlign w:val="subscript"/>
        </w:rPr>
        <w:t>max</w:t>
      </w:r>
      <w:r>
        <w:t>&lt;10%；由上表判定依据可知，本项目大气环境影响评价等级为二级。根据导则要求，二级评价不进行进一步预测与评价，只对污染物排放量进行核算。</w:t>
      </w:r>
    </w:p>
    <w:p>
      <w:pPr>
        <w:ind w:firstLine="490"/>
        <w:rPr>
          <w:rFonts w:ascii="Times New Roman" w:cs="Times New Roman"/>
          <w:b/>
          <w:bCs/>
          <w:spacing w:val="2"/>
          <w:kern w:val="2"/>
          <w:position w:val="2"/>
          <w:szCs w:val="22"/>
        </w:rPr>
      </w:pPr>
      <w:r>
        <w:rPr>
          <w:rFonts w:ascii="Times New Roman" w:cs="Times New Roman"/>
          <w:b/>
          <w:bCs/>
          <w:spacing w:val="2"/>
          <w:kern w:val="2"/>
          <w:position w:val="2"/>
          <w:szCs w:val="22"/>
        </w:rPr>
        <w:t>2、评价范围</w:t>
      </w:r>
    </w:p>
    <w:p>
      <w:pPr>
        <w:ind w:firstLine="480"/>
        <w:rPr>
          <w:rFonts w:ascii="Times New Roman" w:cs="Times New Roman"/>
        </w:rPr>
      </w:pPr>
      <w:r>
        <w:rPr>
          <w:rFonts w:ascii="Times New Roman" w:cs="Times New Roman"/>
        </w:rPr>
        <w:t>本项目大气评价范围</w:t>
      </w:r>
      <w:r>
        <w:rPr>
          <w:rFonts w:hint="eastAsia" w:ascii="Times New Roman" w:cs="Times New Roman"/>
        </w:rPr>
        <w:t>：以普陆4集气平台为中心</w:t>
      </w:r>
      <w:r>
        <w:rPr>
          <w:rFonts w:ascii="Times New Roman" w:cs="Times New Roman"/>
        </w:rPr>
        <w:t>，边长为5km的矩形区域。</w:t>
      </w:r>
    </w:p>
    <w:p>
      <w:pPr>
        <w:keepNext/>
        <w:keepLines/>
        <w:ind w:firstLine="0" w:firstLineChars="0"/>
        <w:outlineLvl w:val="2"/>
        <w:rPr>
          <w:rFonts w:ascii="Times New Roman" w:cs="Times New Roman"/>
          <w:b/>
          <w:szCs w:val="32"/>
        </w:rPr>
      </w:pPr>
      <w:r>
        <w:rPr>
          <w:rFonts w:ascii="Times New Roman" w:cs="Times New Roman"/>
          <w:b/>
          <w:szCs w:val="32"/>
        </w:rPr>
        <w:t>1.6.3 地表水环境</w:t>
      </w:r>
    </w:p>
    <w:p>
      <w:pPr>
        <w:ind w:firstLine="487" w:firstLineChars="199"/>
        <w:rPr>
          <w:rFonts w:ascii="Times New Roman" w:cs="Times New Roman"/>
          <w:b/>
          <w:bCs/>
          <w:spacing w:val="2"/>
          <w:kern w:val="2"/>
          <w:position w:val="2"/>
          <w:szCs w:val="22"/>
        </w:rPr>
      </w:pPr>
      <w:r>
        <w:rPr>
          <w:rFonts w:ascii="Times New Roman" w:cs="Times New Roman"/>
          <w:b/>
          <w:bCs/>
          <w:spacing w:val="2"/>
          <w:kern w:val="2"/>
          <w:position w:val="2"/>
          <w:szCs w:val="22"/>
        </w:rPr>
        <w:t>1、评价等级</w:t>
      </w:r>
    </w:p>
    <w:p>
      <w:pPr>
        <w:pStyle w:val="112"/>
        <w:ind w:firstLine="480"/>
      </w:pPr>
      <w:r>
        <w:t>根据《环境影响评价技术导则 地表水环境》（HJ2.3-2018）中关于项目评价等级与评价范围的规定及工程分析</w:t>
      </w:r>
      <w:r>
        <w:rPr>
          <w:rFonts w:hint="eastAsia"/>
        </w:rPr>
        <w:t>，</w:t>
      </w:r>
      <w:r>
        <w:rPr>
          <w:spacing w:val="-8"/>
          <w:szCs w:val="21"/>
        </w:rPr>
        <w:t>施工期管线施工人员生活污水依托租用附近居民房收集处理</w:t>
      </w:r>
      <w:r>
        <w:rPr>
          <w:rFonts w:hint="eastAsia"/>
          <w:spacing w:val="-8"/>
          <w:szCs w:val="21"/>
        </w:rPr>
        <w:t>，井</w:t>
      </w:r>
      <w:r>
        <w:rPr>
          <w:spacing w:val="-8"/>
          <w:szCs w:val="21"/>
        </w:rPr>
        <w:t>场施工</w:t>
      </w:r>
      <w:r>
        <w:rPr>
          <w:rFonts w:hint="eastAsia"/>
          <w:spacing w:val="-8"/>
          <w:szCs w:val="21"/>
          <w:lang w:eastAsia="zh-CN"/>
        </w:rPr>
        <w:t>如厕</w:t>
      </w:r>
      <w:r>
        <w:rPr>
          <w:spacing w:val="-8"/>
          <w:szCs w:val="21"/>
        </w:rPr>
        <w:t>生活污水</w:t>
      </w:r>
      <w:r>
        <w:rPr>
          <w:rFonts w:hint="eastAsia"/>
          <w:spacing w:val="-8"/>
          <w:szCs w:val="21"/>
        </w:rPr>
        <w:t>依托</w:t>
      </w:r>
      <w:r>
        <w:rPr>
          <w:spacing w:val="-8"/>
          <w:szCs w:val="21"/>
        </w:rPr>
        <w:t>经</w:t>
      </w:r>
      <w:r>
        <w:rPr>
          <w:bCs/>
          <w:spacing w:val="-8"/>
          <w:szCs w:val="21"/>
        </w:rPr>
        <w:t>生态环保厕所收集处理</w:t>
      </w:r>
      <w:r>
        <w:t>后，用作周边农肥，不外排</w:t>
      </w:r>
      <w:r>
        <w:rPr>
          <w:rFonts w:hint="eastAsia"/>
        </w:rPr>
        <w:t>，员工洗澡、食堂废水经单独收集后拉运至黄金镇场镇污水处理厂处理</w:t>
      </w:r>
      <w:r>
        <w:rPr>
          <w:rFonts w:hint="eastAsia"/>
          <w:spacing w:val="-8"/>
          <w:szCs w:val="21"/>
        </w:rPr>
        <w:t>；初期雨水和</w:t>
      </w:r>
      <w:r>
        <w:rPr>
          <w:spacing w:val="-8"/>
          <w:szCs w:val="21"/>
        </w:rPr>
        <w:t>钻井废水经</w:t>
      </w:r>
      <w:r>
        <w:rPr>
          <w:rFonts w:hint="eastAsia"/>
          <w:spacing w:val="-8"/>
          <w:szCs w:val="21"/>
        </w:rPr>
        <w:t>清洁化操作平台</w:t>
      </w:r>
      <w:r>
        <w:rPr>
          <w:spacing w:val="-8"/>
          <w:szCs w:val="21"/>
        </w:rPr>
        <w:t>预处理后装车拉运至毛开1井回注站回注</w:t>
      </w:r>
      <w:r>
        <w:rPr>
          <w:rFonts w:hint="eastAsia"/>
          <w:spacing w:val="-8"/>
          <w:szCs w:val="21"/>
        </w:rPr>
        <w:t>；</w:t>
      </w:r>
      <w:r>
        <w:rPr>
          <w:spacing w:val="-8"/>
          <w:szCs w:val="21"/>
        </w:rPr>
        <w:t>压裂废水和洗井废水</w:t>
      </w:r>
      <w:r>
        <w:rPr>
          <w:rFonts w:hint="eastAsia"/>
          <w:spacing w:val="-8"/>
          <w:szCs w:val="21"/>
        </w:rPr>
        <w:t>暂存于现有污水池</w:t>
      </w:r>
      <w:r>
        <w:rPr>
          <w:spacing w:val="-8"/>
          <w:szCs w:val="21"/>
        </w:rPr>
        <w:t>，并及时装车拉运至大湾403污水站处理达标后管输至毛开1井回注站回注</w:t>
      </w:r>
      <w:r>
        <w:t>。</w:t>
      </w:r>
      <w:bookmarkStart w:id="71" w:name="_Hlk81048370"/>
      <w:r>
        <w:t>本项目运营期产生的气田水</w:t>
      </w:r>
      <w:r>
        <w:rPr>
          <w:rFonts w:hint="eastAsia"/>
        </w:rPr>
        <w:t>暂存于污水缓冲罐</w:t>
      </w:r>
      <w:r>
        <w:t>，然后通过密闭罐车拉运至大湾403污水站处理达到《气田水回注方法》（SY/T 6596</w:t>
      </w:r>
      <w:r>
        <w:rPr>
          <w:rFonts w:hint="eastAsia"/>
        </w:rPr>
        <w:t>-</w:t>
      </w:r>
      <w:r>
        <w:t>2016）中注入水基本要求后管输至毛开1井回注站回注处理，不外排</w:t>
      </w:r>
      <w:r>
        <w:rPr>
          <w:rFonts w:hint="eastAsia"/>
        </w:rPr>
        <w:t>；值守</w:t>
      </w:r>
      <w:r>
        <w:t>人员生活</w:t>
      </w:r>
      <w:r>
        <w:rPr>
          <w:rFonts w:hint="eastAsia"/>
        </w:rPr>
        <w:t>污水经</w:t>
      </w:r>
      <w:r>
        <w:t>生态环保厕所收集后，用作周边农肥，不外排。</w:t>
      </w:r>
      <w:bookmarkEnd w:id="71"/>
      <w:r>
        <w:t>因此，本项目地表水环境影响评价等级定为水污染影响型三级B。根据建设项目水文要素影响分析，项目不涉及水文要素影响。</w:t>
      </w:r>
    </w:p>
    <w:p>
      <w:pPr>
        <w:ind w:firstLine="490"/>
        <w:rPr>
          <w:rFonts w:ascii="Times New Roman" w:cs="Times New Roman"/>
          <w:b/>
          <w:bCs/>
          <w:spacing w:val="2"/>
          <w:kern w:val="2"/>
          <w:position w:val="2"/>
          <w:szCs w:val="22"/>
        </w:rPr>
      </w:pPr>
      <w:r>
        <w:rPr>
          <w:rFonts w:ascii="Times New Roman" w:cs="Times New Roman"/>
          <w:b/>
          <w:bCs/>
          <w:spacing w:val="2"/>
          <w:kern w:val="2"/>
          <w:position w:val="2"/>
          <w:szCs w:val="22"/>
        </w:rPr>
        <w:t>2、评价范围</w:t>
      </w:r>
    </w:p>
    <w:p>
      <w:pPr>
        <w:ind w:firstLine="480"/>
        <w:rPr>
          <w:rFonts w:ascii="Times New Roman" w:cs="Times New Roman"/>
        </w:rPr>
      </w:pPr>
      <w:r>
        <w:rPr>
          <w:rFonts w:ascii="Times New Roman" w:cs="Times New Roman"/>
        </w:rPr>
        <w:t>根据《环境影响评价技术导则 地表水环境》（HJ2.3-2018）中第5.3.2.2条规定，并结合项目实际情况，</w:t>
      </w:r>
      <w:r>
        <w:rPr>
          <w:rFonts w:ascii="Times New Roman" w:cs="Times New Roman"/>
          <w:color w:val="FF0000"/>
        </w:rPr>
        <w:t>本次环评地表水环境影响评价</w:t>
      </w:r>
      <w:r>
        <w:rPr>
          <w:rFonts w:hint="eastAsia" w:ascii="Times New Roman" w:cs="Times New Roman"/>
          <w:color w:val="FF0000"/>
        </w:rPr>
        <w:t>主要</w:t>
      </w:r>
      <w:r>
        <w:rPr>
          <w:rFonts w:ascii="Times New Roman" w:cs="Times New Roman"/>
          <w:color w:val="FF0000"/>
        </w:rPr>
        <w:t>对污、废水的产生情况以及</w:t>
      </w:r>
      <w:r>
        <w:rPr>
          <w:rFonts w:hint="eastAsia" w:ascii="Times New Roman" w:cs="Times New Roman"/>
          <w:color w:val="FF0000"/>
        </w:rPr>
        <w:t>依托污水处理设施环境可行性分析</w:t>
      </w:r>
      <w:r>
        <w:rPr>
          <w:rFonts w:ascii="Times New Roman" w:cs="Times New Roman"/>
          <w:color w:val="FF0000"/>
        </w:rPr>
        <w:t>，并对</w:t>
      </w:r>
      <w:r>
        <w:rPr>
          <w:rFonts w:hint="eastAsia" w:ascii="Times New Roman" w:cs="Times New Roman"/>
          <w:color w:val="FF0000"/>
        </w:rPr>
        <w:t>涉及地表水环境风险影响范围所及的水环境保护目标水域进行分析</w:t>
      </w:r>
      <w:r>
        <w:rPr>
          <w:rFonts w:ascii="Times New Roman" w:cs="Times New Roman"/>
          <w:color w:val="FF0000"/>
        </w:rPr>
        <w:t>。</w:t>
      </w:r>
    </w:p>
    <w:p>
      <w:pPr>
        <w:keepNext/>
        <w:keepLines/>
        <w:ind w:firstLine="0" w:firstLineChars="0"/>
        <w:outlineLvl w:val="2"/>
        <w:rPr>
          <w:rFonts w:ascii="Times New Roman" w:cs="Times New Roman"/>
          <w:b/>
          <w:szCs w:val="32"/>
        </w:rPr>
      </w:pPr>
      <w:r>
        <w:rPr>
          <w:rFonts w:ascii="Times New Roman" w:cs="Times New Roman"/>
          <w:b/>
          <w:szCs w:val="32"/>
        </w:rPr>
        <w:t>1.6.4 地下水环境</w:t>
      </w:r>
    </w:p>
    <w:p>
      <w:pPr>
        <w:ind w:firstLine="490"/>
        <w:rPr>
          <w:rFonts w:ascii="Times New Roman" w:cs="Times New Roman"/>
          <w:b/>
          <w:bCs/>
          <w:spacing w:val="2"/>
          <w:kern w:val="2"/>
          <w:position w:val="2"/>
          <w:szCs w:val="22"/>
        </w:rPr>
      </w:pPr>
      <w:r>
        <w:rPr>
          <w:rFonts w:ascii="Times New Roman" w:cs="Times New Roman"/>
          <w:b/>
          <w:bCs/>
          <w:spacing w:val="2"/>
          <w:kern w:val="2"/>
          <w:position w:val="2"/>
          <w:szCs w:val="22"/>
        </w:rPr>
        <w:t>1、评价等级</w:t>
      </w:r>
    </w:p>
    <w:p>
      <w:pPr>
        <w:pStyle w:val="112"/>
        <w:ind w:firstLine="480"/>
      </w:pPr>
      <w:r>
        <w:t>根据《环境影响评价技术导则 地下水环境》（HJ610-2016）第6.2.2.4条：线性工程根据所涉地下水环境敏感程度和主要站场位置（如输油站、泵站、加油站、机务段、服务站等）进行分段判定评价等级。本项目</w:t>
      </w:r>
      <w:r>
        <w:rPr>
          <w:rFonts w:hint="eastAsia"/>
        </w:rPr>
        <w:t>按2</w:t>
      </w:r>
      <w:r>
        <w:t>段进行评价，即普陆4集气平台</w:t>
      </w:r>
      <w:r>
        <w:rPr>
          <w:rFonts w:hint="eastAsia"/>
        </w:rPr>
        <w:t>、</w:t>
      </w:r>
      <w:r>
        <w:t>普陆4集气平台~</w:t>
      </w:r>
      <w:r>
        <w:rPr>
          <w:rFonts w:hint="eastAsia"/>
        </w:rPr>
        <w:t>P107集气站集气管道</w:t>
      </w:r>
      <w:r>
        <w:t>。根据《环境影响评价技术导则 地下水环境》（HJ610-2016）附录A，普陆4集气平台属于“F石油、天然气第38项天然气、页岩气开采（含净化）”，编制环评报告书的Ⅱ类建设项目；集输管线属于“F石油、天然气第41项石油、天然气、成品油管线（不含城市天然气管线）”，编制环评报告书的Ⅲ类建设项目。</w:t>
      </w:r>
    </w:p>
    <w:p>
      <w:pPr>
        <w:pStyle w:val="112"/>
        <w:ind w:firstLine="480"/>
      </w:pPr>
      <w:r>
        <w:t>根据《环境影响评价技术导则 地下水环境》（HJ610-2016）中地下水环境影响评价工作等级划分原则，地下水评价工作等级应依据建设项目行业类别和地下水环境敏感程度分级进行判定。由于项目集输管线输送介质为气液</w:t>
      </w:r>
      <w:r>
        <w:rPr>
          <w:rFonts w:hint="eastAsia"/>
        </w:rPr>
        <w:t>混合</w:t>
      </w:r>
      <w:r>
        <w:t>天然气，输气管线是全封闭系统，采用外防腐层和强制电流阴极保护联合方式，对地下水不会造成影响。当管线发生破裂事故，其泄漏的天然气绝大部分进</w:t>
      </w:r>
      <w:r>
        <w:rPr>
          <w:rFonts w:hint="eastAsia"/>
        </w:rPr>
        <w:t>入</w:t>
      </w:r>
      <w:r>
        <w:t>大气环境中，因此项目管线本工程不论在施工期或运营期排放的污、废水量都极小，且污染物类型简单，不易对地下水造成污染影响。</w:t>
      </w:r>
    </w:p>
    <w:p>
      <w:pPr>
        <w:pStyle w:val="112"/>
        <w:ind w:firstLine="480"/>
      </w:pPr>
      <w:r>
        <w:t>根据现场调查和资料收集，评价区范围内有居民分布，井场周围分散居民主要以浅层地下水（山泉出露水为主）作为生活饮用水源</w:t>
      </w:r>
      <w:r>
        <w:rPr>
          <w:rFonts w:hint="eastAsia"/>
        </w:rPr>
        <w:t>，</w:t>
      </w:r>
      <w:r>
        <w:t>属于</w:t>
      </w:r>
      <w:r>
        <w:rPr>
          <w:bCs/>
        </w:rPr>
        <w:t>分散式饮用水水源地</w:t>
      </w:r>
      <w:r>
        <w:t>。因此，评价区地下水环境敏感程度定为“较敏感”。地下水环境敏感程度识别详见表1.6-</w:t>
      </w:r>
      <w:r>
        <w:rPr>
          <w:rFonts w:hint="eastAsia"/>
        </w:rPr>
        <w:t>5</w:t>
      </w:r>
      <w:r>
        <w:t>。</w:t>
      </w:r>
    </w:p>
    <w:p>
      <w:pPr>
        <w:pStyle w:val="37"/>
        <w:rPr>
          <w:rFonts w:cs="Times New Roman"/>
        </w:rPr>
      </w:pPr>
      <w:r>
        <w:rPr>
          <w:rFonts w:cs="Times New Roman"/>
        </w:rPr>
        <w:t>表1.6-</w:t>
      </w:r>
      <w:r>
        <w:rPr>
          <w:rFonts w:hint="eastAsia" w:cs="Times New Roman"/>
        </w:rPr>
        <w:t>5</w:t>
      </w:r>
      <w:r>
        <w:rPr>
          <w:rFonts w:cs="Times New Roman"/>
        </w:rPr>
        <w:t xml:space="preserve">  地下水环境敏感程度分级表</w:t>
      </w:r>
    </w:p>
    <w:tbl>
      <w:tblPr>
        <w:tblStyle w:val="57"/>
        <w:tblW w:w="5199" w:type="pct"/>
        <w:jc w:val="center"/>
        <w:tblLayout w:type="autofit"/>
        <w:tblCellMar>
          <w:top w:w="0" w:type="dxa"/>
          <w:left w:w="0" w:type="dxa"/>
          <w:bottom w:w="0" w:type="dxa"/>
          <w:right w:w="0" w:type="dxa"/>
        </w:tblCellMar>
      </w:tblPr>
      <w:tblGrid>
        <w:gridCol w:w="1277"/>
        <w:gridCol w:w="7360"/>
      </w:tblGrid>
      <w:tr>
        <w:tblPrEx>
          <w:tblCellMar>
            <w:top w:w="0" w:type="dxa"/>
            <w:left w:w="0" w:type="dxa"/>
            <w:bottom w:w="0" w:type="dxa"/>
            <w:right w:w="0" w:type="dxa"/>
          </w:tblCellMar>
        </w:tblPrEx>
        <w:trPr>
          <w:trHeight w:val="19" w:hRule="atLeast"/>
          <w:jc w:val="center"/>
        </w:trPr>
        <w:tc>
          <w:tcPr>
            <w:tcW w:w="739" w:type="pct"/>
            <w:tcBorders>
              <w:top w:val="single" w:color="000000" w:sz="12"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分级</w:t>
            </w:r>
          </w:p>
        </w:tc>
        <w:tc>
          <w:tcPr>
            <w:tcW w:w="4261" w:type="pct"/>
            <w:tcBorders>
              <w:top w:val="single" w:color="000000" w:sz="12"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地下水环境敏感特征</w:t>
            </w:r>
          </w:p>
        </w:tc>
      </w:tr>
      <w:tr>
        <w:tblPrEx>
          <w:tblCellMar>
            <w:top w:w="0" w:type="dxa"/>
            <w:left w:w="0" w:type="dxa"/>
            <w:bottom w:w="0" w:type="dxa"/>
            <w:right w:w="0" w:type="dxa"/>
          </w:tblCellMar>
        </w:tblPrEx>
        <w:trPr>
          <w:trHeight w:val="19" w:hRule="atLeast"/>
          <w:jc w:val="center"/>
        </w:trPr>
        <w:tc>
          <w:tcPr>
            <w:tcW w:w="739" w:type="pct"/>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敏感</w:t>
            </w:r>
          </w:p>
        </w:tc>
        <w:tc>
          <w:tcPr>
            <w:tcW w:w="4261" w:type="pct"/>
            <w:tcBorders>
              <w:top w:val="single" w:color="000000" w:sz="4" w:space="0"/>
              <w:left w:val="single" w:color="000000" w:sz="4" w:space="0"/>
              <w:bottom w:val="single" w:color="000000" w:sz="4" w:space="0"/>
              <w:right w:val="nil"/>
            </w:tcBorders>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集中式饮用水水源（包括已建成的在用、备用、应急水源地，在建和规划的水源地）准保护区；除集中式饮用水水源地以外的国家或地方政府设定的与地下水环境相关的其它保护区，如热水、矿泉水、温泉等特殊地下水资源保护区。</w:t>
            </w:r>
          </w:p>
        </w:tc>
      </w:tr>
      <w:tr>
        <w:tblPrEx>
          <w:tblCellMar>
            <w:top w:w="0" w:type="dxa"/>
            <w:left w:w="0" w:type="dxa"/>
            <w:bottom w:w="0" w:type="dxa"/>
            <w:right w:w="0" w:type="dxa"/>
          </w:tblCellMar>
        </w:tblPrEx>
        <w:trPr>
          <w:trHeight w:val="19" w:hRule="atLeast"/>
          <w:jc w:val="center"/>
        </w:trPr>
        <w:tc>
          <w:tcPr>
            <w:tcW w:w="739" w:type="pct"/>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较敏感（√）</w:t>
            </w:r>
          </w:p>
        </w:tc>
        <w:tc>
          <w:tcPr>
            <w:tcW w:w="4261" w:type="pct"/>
            <w:tcBorders>
              <w:top w:val="single" w:color="000000" w:sz="4" w:space="0"/>
              <w:left w:val="single" w:color="000000" w:sz="4" w:space="0"/>
              <w:bottom w:val="single" w:color="000000" w:sz="4" w:space="0"/>
              <w:right w:val="nil"/>
            </w:tcBorders>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集中式饮用水水源（包括已建成的在用、备用、应急水源，在建和规划的饮用水水源）准保护区以外的补给径流区；未划定准保护区的集中水式饮用水水源，其保护区以外的补给径流区；</w:t>
            </w:r>
            <w:r>
              <w:rPr>
                <w:rFonts w:ascii="Times New Roman" w:cs="Times New Roman"/>
                <w:bCs/>
                <w:kern w:val="2"/>
                <w:sz w:val="21"/>
              </w:rPr>
              <w:t>分散式饮用水水源地；</w:t>
            </w:r>
            <w:r>
              <w:rPr>
                <w:rFonts w:ascii="Times New Roman" w:cs="Times New Roman"/>
                <w:kern w:val="2"/>
                <w:sz w:val="21"/>
              </w:rPr>
              <w:t>特殊地下水资源（如矿泉水、温泉等）保护区以外的分布区等其他未列入上述敏感分级的环境敏感区。</w:t>
            </w:r>
          </w:p>
        </w:tc>
      </w:tr>
      <w:tr>
        <w:tblPrEx>
          <w:tblCellMar>
            <w:top w:w="0" w:type="dxa"/>
            <w:left w:w="0" w:type="dxa"/>
            <w:bottom w:w="0" w:type="dxa"/>
            <w:right w:w="0" w:type="dxa"/>
          </w:tblCellMar>
        </w:tblPrEx>
        <w:trPr>
          <w:trHeight w:val="19" w:hRule="atLeast"/>
          <w:jc w:val="center"/>
        </w:trPr>
        <w:tc>
          <w:tcPr>
            <w:tcW w:w="739" w:type="pct"/>
            <w:tcBorders>
              <w:top w:val="single" w:color="000000" w:sz="4" w:space="0"/>
              <w:left w:val="nil"/>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不敏感</w:t>
            </w:r>
          </w:p>
        </w:tc>
        <w:tc>
          <w:tcPr>
            <w:tcW w:w="4261" w:type="pct"/>
            <w:tcBorders>
              <w:top w:val="single" w:color="000000" w:sz="4" w:space="0"/>
              <w:left w:val="single" w:color="000000" w:sz="4" w:space="0"/>
              <w:bottom w:val="single" w:color="000000" w:sz="12" w:space="0"/>
              <w:right w:val="nil"/>
            </w:tcBorders>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上述地区之外的其它地区。</w:t>
            </w:r>
          </w:p>
        </w:tc>
      </w:tr>
    </w:tbl>
    <w:p>
      <w:pPr>
        <w:pStyle w:val="112"/>
        <w:ind w:firstLine="480"/>
      </w:pPr>
      <w:r>
        <w:t>根据《环境影响评价技术导则地下水环境》（HJ610-2016）建设项目地下水环境影响评价工作等级划分见表1.6-</w:t>
      </w:r>
      <w:r>
        <w:rPr>
          <w:rFonts w:hint="eastAsia"/>
        </w:rPr>
        <w:t>6</w:t>
      </w:r>
      <w:r>
        <w:t>。</w:t>
      </w:r>
    </w:p>
    <w:p>
      <w:pPr>
        <w:pStyle w:val="37"/>
        <w:rPr>
          <w:rFonts w:cs="Times New Roman"/>
        </w:rPr>
      </w:pPr>
      <w:r>
        <w:rPr>
          <w:rFonts w:cs="Times New Roman"/>
        </w:rPr>
        <w:t>表1.6-</w:t>
      </w:r>
      <w:r>
        <w:rPr>
          <w:rFonts w:hint="eastAsia" w:cs="Times New Roman"/>
        </w:rPr>
        <w:t>6</w:t>
      </w:r>
      <w:r>
        <w:rPr>
          <w:rFonts w:cs="Times New Roman"/>
        </w:rPr>
        <w:t xml:space="preserve">  地下水环境影响评价工作等级分级表</w:t>
      </w:r>
    </w:p>
    <w:tbl>
      <w:tblPr>
        <w:tblStyle w:val="57"/>
        <w:tblW w:w="5126" w:type="pct"/>
        <w:jc w:val="center"/>
        <w:tblLayout w:type="autofit"/>
        <w:tblCellMar>
          <w:top w:w="0" w:type="dxa"/>
          <w:left w:w="0" w:type="dxa"/>
          <w:bottom w:w="0" w:type="dxa"/>
          <w:right w:w="0" w:type="dxa"/>
        </w:tblCellMar>
      </w:tblPr>
      <w:tblGrid>
        <w:gridCol w:w="3108"/>
        <w:gridCol w:w="1824"/>
        <w:gridCol w:w="1829"/>
        <w:gridCol w:w="1754"/>
      </w:tblGrid>
      <w:tr>
        <w:tblPrEx>
          <w:tblCellMar>
            <w:top w:w="0" w:type="dxa"/>
            <w:left w:w="0" w:type="dxa"/>
            <w:bottom w:w="0" w:type="dxa"/>
            <w:right w:w="0" w:type="dxa"/>
          </w:tblCellMar>
        </w:tblPrEx>
        <w:trPr>
          <w:trHeight w:val="19" w:hRule="atLeast"/>
          <w:jc w:val="center"/>
        </w:trPr>
        <w:tc>
          <w:tcPr>
            <w:tcW w:w="1825" w:type="pct"/>
            <w:tcBorders>
              <w:top w:val="single" w:color="000000" w:sz="12" w:space="0"/>
              <w:left w:val="nil"/>
              <w:bottom w:val="single" w:color="000000" w:sz="4" w:space="0"/>
              <w:right w:val="single" w:color="000000" w:sz="4" w:space="0"/>
              <w:tl2br w:val="single" w:color="auto" w:sz="4" w:space="0"/>
            </w:tcBorders>
          </w:tcPr>
          <w:p>
            <w:pPr>
              <w:topLinePunct w:val="0"/>
              <w:adjustRightInd/>
              <w:spacing w:line="240" w:lineRule="auto"/>
              <w:ind w:firstLine="0" w:firstLineChars="0"/>
              <w:jc w:val="right"/>
              <w:rPr>
                <w:rFonts w:ascii="Times New Roman" w:cs="Times New Roman"/>
                <w:b/>
                <w:bCs/>
                <w:kern w:val="2"/>
                <w:sz w:val="21"/>
              </w:rPr>
            </w:pPr>
            <w:r>
              <w:rPr>
                <w:rFonts w:ascii="Times New Roman" w:cs="Times New Roman"/>
                <w:b/>
                <w:bCs/>
                <w:kern w:val="2"/>
                <w:sz w:val="21"/>
              </w:rPr>
              <w:t>类别</w:t>
            </w:r>
          </w:p>
          <w:p>
            <w:pPr>
              <w:topLinePunct w:val="0"/>
              <w:adjustRightInd/>
              <w:spacing w:line="240" w:lineRule="auto"/>
              <w:ind w:firstLine="0" w:firstLineChars="0"/>
              <w:rPr>
                <w:rFonts w:ascii="Times New Roman" w:cs="Times New Roman"/>
                <w:b/>
                <w:bCs/>
                <w:kern w:val="2"/>
                <w:sz w:val="21"/>
              </w:rPr>
            </w:pPr>
            <w:r>
              <w:rPr>
                <w:rFonts w:ascii="Times New Roman" w:cs="Times New Roman"/>
                <w:b/>
                <w:bCs/>
                <w:kern w:val="2"/>
                <w:sz w:val="21"/>
              </w:rPr>
              <w:t>环境敏感程度</w:t>
            </w:r>
          </w:p>
        </w:tc>
        <w:tc>
          <w:tcPr>
            <w:tcW w:w="1071" w:type="pct"/>
            <w:tcBorders>
              <w:top w:val="single" w:color="000000" w:sz="12"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Ⅰ类项目</w:t>
            </w:r>
          </w:p>
        </w:tc>
        <w:tc>
          <w:tcPr>
            <w:tcW w:w="1074" w:type="pct"/>
            <w:tcBorders>
              <w:top w:val="single" w:color="000000" w:sz="12"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Ⅱ类项目</w:t>
            </w:r>
          </w:p>
        </w:tc>
        <w:tc>
          <w:tcPr>
            <w:tcW w:w="1030" w:type="pct"/>
            <w:tcBorders>
              <w:top w:val="single" w:color="000000" w:sz="12"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Ⅲ类项目</w:t>
            </w:r>
          </w:p>
        </w:tc>
      </w:tr>
      <w:tr>
        <w:tblPrEx>
          <w:tblCellMar>
            <w:top w:w="0" w:type="dxa"/>
            <w:left w:w="0" w:type="dxa"/>
            <w:bottom w:w="0" w:type="dxa"/>
            <w:right w:w="0" w:type="dxa"/>
          </w:tblCellMar>
        </w:tblPrEx>
        <w:trPr>
          <w:trHeight w:val="19" w:hRule="atLeast"/>
          <w:jc w:val="center"/>
        </w:trPr>
        <w:tc>
          <w:tcPr>
            <w:tcW w:w="1825" w:type="pct"/>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敏感</w:t>
            </w:r>
          </w:p>
        </w:tc>
        <w:tc>
          <w:tcPr>
            <w:tcW w:w="1071"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一</w:t>
            </w:r>
          </w:p>
        </w:tc>
        <w:tc>
          <w:tcPr>
            <w:tcW w:w="1074"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一</w:t>
            </w:r>
          </w:p>
        </w:tc>
        <w:tc>
          <w:tcPr>
            <w:tcW w:w="1030"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二</w:t>
            </w:r>
          </w:p>
        </w:tc>
      </w:tr>
      <w:tr>
        <w:tblPrEx>
          <w:tblCellMar>
            <w:top w:w="0" w:type="dxa"/>
            <w:left w:w="0" w:type="dxa"/>
            <w:bottom w:w="0" w:type="dxa"/>
            <w:right w:w="0" w:type="dxa"/>
          </w:tblCellMar>
        </w:tblPrEx>
        <w:trPr>
          <w:trHeight w:val="19" w:hRule="atLeast"/>
          <w:jc w:val="center"/>
        </w:trPr>
        <w:tc>
          <w:tcPr>
            <w:tcW w:w="1825" w:type="pct"/>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较敏感</w:t>
            </w:r>
          </w:p>
        </w:tc>
        <w:tc>
          <w:tcPr>
            <w:tcW w:w="1071"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一</w:t>
            </w:r>
          </w:p>
        </w:tc>
        <w:tc>
          <w:tcPr>
            <w:tcW w:w="1074"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二</w:t>
            </w:r>
            <w:r>
              <w:rPr>
                <w:rFonts w:ascii="Times New Roman" w:cs="Times New Roman"/>
                <w:bCs/>
                <w:kern w:val="2"/>
                <w:sz w:val="21"/>
              </w:rPr>
              <w:t>（√）</w:t>
            </w:r>
          </w:p>
        </w:tc>
        <w:tc>
          <w:tcPr>
            <w:tcW w:w="1030"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ascii="Times New Roman" w:cs="Times New Roman"/>
                <w:bCs/>
                <w:kern w:val="2"/>
                <w:sz w:val="21"/>
              </w:rPr>
            </w:pPr>
            <w:r>
              <w:rPr>
                <w:rFonts w:ascii="Times New Roman" w:cs="Times New Roman"/>
                <w:bCs/>
                <w:kern w:val="2"/>
                <w:sz w:val="21"/>
              </w:rPr>
              <w:t>三（√）</w:t>
            </w:r>
          </w:p>
        </w:tc>
      </w:tr>
      <w:tr>
        <w:tblPrEx>
          <w:tblCellMar>
            <w:top w:w="0" w:type="dxa"/>
            <w:left w:w="0" w:type="dxa"/>
            <w:bottom w:w="0" w:type="dxa"/>
            <w:right w:w="0" w:type="dxa"/>
          </w:tblCellMar>
        </w:tblPrEx>
        <w:trPr>
          <w:trHeight w:val="19" w:hRule="atLeast"/>
          <w:jc w:val="center"/>
        </w:trPr>
        <w:tc>
          <w:tcPr>
            <w:tcW w:w="1825" w:type="pct"/>
            <w:tcBorders>
              <w:top w:val="single" w:color="000000" w:sz="4" w:space="0"/>
              <w:left w:val="nil"/>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不敏感</w:t>
            </w:r>
          </w:p>
        </w:tc>
        <w:tc>
          <w:tcPr>
            <w:tcW w:w="1071" w:type="pct"/>
            <w:tcBorders>
              <w:top w:val="single" w:color="000000" w:sz="4" w:space="0"/>
              <w:left w:val="single" w:color="000000" w:sz="4" w:space="0"/>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二</w:t>
            </w:r>
          </w:p>
        </w:tc>
        <w:tc>
          <w:tcPr>
            <w:tcW w:w="1074" w:type="pct"/>
            <w:tcBorders>
              <w:top w:val="single" w:color="000000" w:sz="4" w:space="0"/>
              <w:left w:val="single" w:color="000000" w:sz="4" w:space="0"/>
              <w:bottom w:val="single" w:color="000000" w:sz="12" w:space="0"/>
              <w:right w:val="single" w:color="000000" w:sz="4"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三</w:t>
            </w:r>
          </w:p>
        </w:tc>
        <w:tc>
          <w:tcPr>
            <w:tcW w:w="1030" w:type="pct"/>
            <w:tcBorders>
              <w:top w:val="single" w:color="000000" w:sz="4" w:space="0"/>
              <w:left w:val="single" w:color="000000" w:sz="4" w:space="0"/>
              <w:bottom w:val="single" w:color="000000" w:sz="12" w:space="0"/>
              <w:right w:val="nil"/>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三</w:t>
            </w:r>
          </w:p>
        </w:tc>
      </w:tr>
    </w:tbl>
    <w:p>
      <w:pPr>
        <w:ind w:firstLine="477" w:firstLineChars="199"/>
        <w:rPr>
          <w:rFonts w:ascii="Times New Roman" w:cs="Times New Roman"/>
        </w:rPr>
      </w:pPr>
      <w:r>
        <w:rPr>
          <w:rFonts w:ascii="Times New Roman" w:cs="Times New Roman"/>
        </w:rPr>
        <w:t>综合以上“项目类别”和“地下水环境敏感程度分级”结果，查询《环境影响评价技术导则 地下水环境》（HJ610-2016）建设项目评价工作等级分级表，确定本次建设项目中涉及的普陆4井台</w:t>
      </w:r>
      <w:r>
        <w:rPr>
          <w:rFonts w:hint="eastAsia" w:ascii="Times New Roman" w:cs="Times New Roman"/>
        </w:rPr>
        <w:t>、</w:t>
      </w:r>
      <w:r>
        <w:rPr>
          <w:rFonts w:ascii="Times New Roman" w:cs="Times New Roman"/>
        </w:rPr>
        <w:t>普陆4集气平台评价工作等级为“</w:t>
      </w:r>
      <w:r>
        <w:rPr>
          <w:rFonts w:hint="eastAsia" w:ascii="Times New Roman" w:cs="Times New Roman"/>
        </w:rPr>
        <w:t>二</w:t>
      </w:r>
      <w:r>
        <w:rPr>
          <w:rFonts w:ascii="Times New Roman" w:cs="Times New Roman"/>
        </w:rPr>
        <w:t>级”</w:t>
      </w:r>
      <w:r>
        <w:rPr>
          <w:rFonts w:hint="eastAsia" w:ascii="Times New Roman" w:cs="Times New Roman"/>
        </w:rPr>
        <w:t>，</w:t>
      </w:r>
      <w:r>
        <w:t xml:space="preserve"> </w:t>
      </w:r>
      <w:r>
        <w:rPr>
          <w:rFonts w:ascii="Times New Roman" w:cs="Times New Roman"/>
        </w:rPr>
        <w:t>普陆4集气平台~</w:t>
      </w:r>
      <w:r>
        <w:rPr>
          <w:rFonts w:hint="eastAsia" w:ascii="Times New Roman" w:cs="Times New Roman"/>
        </w:rPr>
        <w:t>P107集气站集气管道</w:t>
      </w:r>
      <w:r>
        <w:rPr>
          <w:rFonts w:ascii="Times New Roman" w:cs="Times New Roman"/>
        </w:rPr>
        <w:t>评价工作等级为“</w:t>
      </w:r>
      <w:r>
        <w:rPr>
          <w:rFonts w:hint="eastAsia" w:ascii="Times New Roman" w:cs="Times New Roman"/>
        </w:rPr>
        <w:t>三</w:t>
      </w:r>
      <w:r>
        <w:rPr>
          <w:rFonts w:ascii="Times New Roman" w:cs="Times New Roman"/>
        </w:rPr>
        <w:t>级”。</w:t>
      </w:r>
    </w:p>
    <w:p>
      <w:pPr>
        <w:ind w:firstLine="482"/>
        <w:rPr>
          <w:rFonts w:ascii="Times New Roman" w:cs="Times New Roman"/>
          <w:b/>
          <w:bCs/>
        </w:rPr>
      </w:pPr>
      <w:r>
        <w:rPr>
          <w:rFonts w:ascii="Times New Roman" w:cs="Times New Roman"/>
          <w:b/>
          <w:bCs/>
        </w:rPr>
        <w:t>2、评价范围</w:t>
      </w:r>
    </w:p>
    <w:p>
      <w:pPr>
        <w:pStyle w:val="112"/>
        <w:ind w:firstLine="480"/>
      </w:pPr>
      <w:r>
        <w:rPr>
          <w:rFonts w:hint="eastAsia" w:ascii="宋体" w:hAnsi="宋体" w:cs="宋体"/>
        </w:rPr>
        <w:t>①</w:t>
      </w:r>
      <w:r>
        <w:t>公式计算法</w:t>
      </w:r>
    </w:p>
    <w:p>
      <w:pPr>
        <w:pStyle w:val="112"/>
        <w:ind w:firstLine="480"/>
      </w:pPr>
      <w:r>
        <w:t>根据《环境影响评价技术导则 地下水环境》（HJ610-2016）2016），当建设项目所在地水文地质条件相对简单，且所掌握的资料能够满足公式计算法的要求时，应采用公式计算法确定：</w:t>
      </w:r>
    </w:p>
    <w:p>
      <w:pPr>
        <w:ind w:firstLine="0" w:firstLineChars="0"/>
        <w:jc w:val="center"/>
        <w:rPr>
          <w:rFonts w:ascii="Times New Roman" w:cs="Times New Roman"/>
        </w:rPr>
      </w:pPr>
      <w:r>
        <w:rPr>
          <w:rFonts w:ascii="Times New Roman" w:cs="Times New Roman"/>
        </w:rPr>
        <w:t>L=α×K×I×T/n</w:t>
      </w:r>
      <w:r>
        <w:rPr>
          <w:rFonts w:ascii="Times New Roman" w:cs="Times New Roman"/>
          <w:vertAlign w:val="subscript"/>
        </w:rPr>
        <w:t>e</w:t>
      </w:r>
    </w:p>
    <w:p>
      <w:pPr>
        <w:ind w:firstLine="480"/>
        <w:rPr>
          <w:rFonts w:ascii="Times New Roman" w:cs="Times New Roman"/>
        </w:rPr>
      </w:pPr>
      <w:r>
        <w:rPr>
          <w:rFonts w:ascii="Times New Roman" w:cs="Times New Roman"/>
        </w:rPr>
        <w:t>式中：L—下游迁移距离，m；</w:t>
      </w:r>
    </w:p>
    <w:p>
      <w:pPr>
        <w:ind w:firstLine="480"/>
        <w:rPr>
          <w:rFonts w:ascii="Times New Roman" w:cs="Times New Roman"/>
        </w:rPr>
      </w:pPr>
      <w:r>
        <w:rPr>
          <w:rFonts w:ascii="Times New Roman" w:cs="Times New Roman"/>
        </w:rPr>
        <w:t xml:space="preserve">      α—变化系数，α≥1，一般取2；</w:t>
      </w:r>
    </w:p>
    <w:p>
      <w:pPr>
        <w:ind w:firstLine="480"/>
        <w:rPr>
          <w:rFonts w:ascii="Times New Roman" w:cs="Times New Roman"/>
        </w:rPr>
      </w:pPr>
      <w:r>
        <w:rPr>
          <w:rFonts w:ascii="Times New Roman" w:cs="Times New Roman"/>
        </w:rPr>
        <w:t xml:space="preserve">      K—渗透系数；</w:t>
      </w:r>
    </w:p>
    <w:p>
      <w:pPr>
        <w:ind w:firstLine="480"/>
        <w:rPr>
          <w:rFonts w:ascii="Times New Roman" w:cs="Times New Roman"/>
        </w:rPr>
      </w:pPr>
      <w:r>
        <w:rPr>
          <w:rFonts w:ascii="Times New Roman" w:cs="Times New Roman"/>
        </w:rPr>
        <w:t xml:space="preserve">      I—水力坡度；</w:t>
      </w:r>
    </w:p>
    <w:p>
      <w:pPr>
        <w:ind w:firstLine="480"/>
        <w:rPr>
          <w:rFonts w:ascii="Times New Roman" w:cs="Times New Roman"/>
        </w:rPr>
      </w:pPr>
      <w:r>
        <w:rPr>
          <w:rFonts w:ascii="Times New Roman" w:cs="Times New Roman"/>
        </w:rPr>
        <w:t xml:space="preserve">      T—质点迁移天数；</w:t>
      </w:r>
    </w:p>
    <w:p>
      <w:pPr>
        <w:ind w:firstLine="480"/>
        <w:rPr>
          <w:rFonts w:ascii="Times New Roman" w:cs="Times New Roman"/>
        </w:rPr>
      </w:pPr>
      <w:r>
        <w:rPr>
          <w:rFonts w:ascii="Times New Roman" w:cs="Times New Roman"/>
        </w:rPr>
        <w:t xml:space="preserve">      Ne—有效孔隙度，无量纲。</w:t>
      </w:r>
    </w:p>
    <w:p>
      <w:pPr>
        <w:pStyle w:val="112"/>
        <w:ind w:firstLine="480"/>
      </w:pPr>
      <w:r>
        <w:rPr>
          <w:rFonts w:hint="eastAsia" w:ascii="宋体" w:hAnsi="宋体" w:cs="宋体"/>
        </w:rPr>
        <w:t>②</w:t>
      </w:r>
      <w:r>
        <w:t>查表法</w:t>
      </w:r>
    </w:p>
    <w:p>
      <w:pPr>
        <w:pStyle w:val="112"/>
        <w:ind w:firstLine="480"/>
      </w:pPr>
      <w:r>
        <w:t>当不满足公式计算法要求</w:t>
      </w:r>
      <w:r>
        <w:rPr>
          <w:rFonts w:hint="eastAsia"/>
        </w:rPr>
        <w:t>时</w:t>
      </w:r>
      <w:r>
        <w:t>，可采用查表法确定。</w:t>
      </w:r>
    </w:p>
    <w:p>
      <w:pPr>
        <w:pStyle w:val="37"/>
        <w:rPr>
          <w:rFonts w:cs="Times New Roman"/>
        </w:rPr>
      </w:pPr>
      <w:r>
        <w:rPr>
          <w:rFonts w:cs="Times New Roman"/>
        </w:rPr>
        <w:t>表1.6-</w:t>
      </w:r>
      <w:r>
        <w:rPr>
          <w:rFonts w:hint="eastAsia" w:cs="Times New Roman"/>
        </w:rPr>
        <w:t>7</w:t>
      </w:r>
      <w:r>
        <w:rPr>
          <w:rFonts w:cs="Times New Roman"/>
        </w:rPr>
        <w:t xml:space="preserve">  地下水环境现状调查评价范围参照表</w:t>
      </w:r>
    </w:p>
    <w:tbl>
      <w:tblPr>
        <w:tblStyle w:val="57"/>
        <w:tblW w:w="5419" w:type="pct"/>
        <w:jc w:val="center"/>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268"/>
        <w:gridCol w:w="3227"/>
        <w:gridCol w:w="3741"/>
      </w:tblGrid>
      <w:tr>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1228" w:type="pct"/>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评价等级</w:t>
            </w:r>
          </w:p>
        </w:tc>
        <w:tc>
          <w:tcPr>
            <w:tcW w:w="1747" w:type="pct"/>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调查评价面积（km</w:t>
            </w:r>
            <w:r>
              <w:rPr>
                <w:rFonts w:ascii="Times New Roman" w:cs="Times New Roman"/>
                <w:b/>
                <w:bCs/>
                <w:kern w:val="2"/>
                <w:sz w:val="21"/>
                <w:vertAlign w:val="superscript"/>
              </w:rPr>
              <w:t>2</w:t>
            </w:r>
            <w:r>
              <w:rPr>
                <w:rFonts w:ascii="Times New Roman" w:cs="Times New Roman"/>
                <w:b/>
                <w:bCs/>
                <w:kern w:val="2"/>
                <w:sz w:val="21"/>
              </w:rPr>
              <w:t>）</w:t>
            </w:r>
          </w:p>
        </w:tc>
        <w:tc>
          <w:tcPr>
            <w:tcW w:w="2025" w:type="pct"/>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备注</w:t>
            </w:r>
          </w:p>
        </w:tc>
      </w:tr>
      <w:tr>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1228" w:type="pct"/>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一级</w:t>
            </w:r>
          </w:p>
        </w:tc>
        <w:tc>
          <w:tcPr>
            <w:tcW w:w="1747" w:type="pct"/>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≥20</w:t>
            </w:r>
          </w:p>
        </w:tc>
        <w:tc>
          <w:tcPr>
            <w:tcW w:w="2025" w:type="pct"/>
            <w:vMerge w:val="restart"/>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应包括重要的地下水环境保护目标，必要时适当扩大范围</w:t>
            </w:r>
          </w:p>
        </w:tc>
      </w:tr>
      <w:tr>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1228" w:type="pct"/>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二级</w:t>
            </w:r>
          </w:p>
        </w:tc>
        <w:tc>
          <w:tcPr>
            <w:tcW w:w="1747" w:type="pct"/>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6-20</w:t>
            </w:r>
          </w:p>
        </w:tc>
        <w:tc>
          <w:tcPr>
            <w:tcW w:w="2025" w:type="pct"/>
            <w:vMerge w:val="continue"/>
          </w:tcPr>
          <w:p>
            <w:pPr>
              <w:topLinePunct w:val="0"/>
              <w:adjustRightInd/>
              <w:spacing w:line="240" w:lineRule="auto"/>
              <w:ind w:firstLine="0" w:firstLineChars="0"/>
              <w:jc w:val="center"/>
              <w:rPr>
                <w:rFonts w:ascii="Times New Roman" w:cs="Times New Roman"/>
                <w:kern w:val="2"/>
                <w:sz w:val="21"/>
              </w:rPr>
            </w:pPr>
          </w:p>
        </w:tc>
      </w:tr>
      <w:tr>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1228" w:type="pct"/>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三级</w:t>
            </w:r>
          </w:p>
        </w:tc>
        <w:tc>
          <w:tcPr>
            <w:tcW w:w="1747" w:type="pct"/>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w:t>
            </w:r>
          </w:p>
        </w:tc>
        <w:tc>
          <w:tcPr>
            <w:tcW w:w="2025" w:type="pct"/>
            <w:vMerge w:val="continue"/>
          </w:tcPr>
          <w:p>
            <w:pPr>
              <w:topLinePunct w:val="0"/>
              <w:adjustRightInd/>
              <w:spacing w:line="240" w:lineRule="auto"/>
              <w:ind w:firstLine="0" w:firstLineChars="0"/>
              <w:jc w:val="center"/>
              <w:rPr>
                <w:rFonts w:ascii="Times New Roman" w:cs="Times New Roman"/>
                <w:kern w:val="2"/>
                <w:sz w:val="21"/>
              </w:rPr>
            </w:pPr>
          </w:p>
        </w:tc>
      </w:tr>
    </w:tbl>
    <w:p>
      <w:pPr>
        <w:pStyle w:val="112"/>
        <w:ind w:firstLine="480"/>
      </w:pPr>
      <w:r>
        <w:rPr>
          <w:rFonts w:hint="eastAsia" w:ascii="宋体" w:hAnsi="宋体" w:cs="宋体"/>
        </w:rPr>
        <w:t>③</w:t>
      </w:r>
      <w:r>
        <w:t>自定义法</w:t>
      </w:r>
    </w:p>
    <w:p>
      <w:pPr>
        <w:pStyle w:val="112"/>
        <w:ind w:firstLine="480"/>
      </w:pPr>
      <w:r>
        <w:t>当计算或查表范围超出所处水文地质单元边界时，应以所处水文地质单元边界为宜，可根据建设项目所在区域水文地质条件确定</w:t>
      </w:r>
      <w:r>
        <w:rPr>
          <w:rFonts w:hint="eastAsia"/>
        </w:rPr>
        <w:t>，本项目采用自定义法确定，</w:t>
      </w:r>
      <w:r>
        <w:rPr>
          <w:rFonts w:hint="eastAsia"/>
          <w:color w:val="FF0000"/>
        </w:rPr>
        <w:t>以</w:t>
      </w:r>
      <w:r>
        <w:rPr>
          <w:bCs/>
          <w:color w:val="FF0000"/>
        </w:rPr>
        <w:t>普陆4集气平台所在地</w:t>
      </w:r>
      <w:r>
        <w:rPr>
          <w:rFonts w:hint="eastAsia"/>
          <w:bCs/>
          <w:color w:val="FF0000"/>
        </w:rPr>
        <w:t>的补径排关系单元（</w:t>
      </w:r>
      <w:r>
        <w:rPr>
          <w:bCs/>
          <w:color w:val="FF0000"/>
        </w:rPr>
        <w:t>分水岭和周边地表水</w:t>
      </w:r>
      <w:r>
        <w:rPr>
          <w:rFonts w:hint="eastAsia"/>
          <w:bCs/>
          <w:color w:val="FF0000"/>
        </w:rPr>
        <w:t>）</w:t>
      </w:r>
      <w:r>
        <w:rPr>
          <w:bCs/>
          <w:color w:val="FF0000"/>
        </w:rPr>
        <w:t>为界</w:t>
      </w:r>
      <w:r>
        <w:rPr>
          <w:rFonts w:hint="eastAsia"/>
          <w:bCs/>
          <w:color w:val="FF0000"/>
        </w:rPr>
        <w:t>，</w:t>
      </w:r>
      <w:r>
        <w:rPr>
          <w:bCs/>
        </w:rPr>
        <w:t>确定本项目</w:t>
      </w:r>
      <w:r>
        <w:rPr>
          <w:rFonts w:hint="eastAsia"/>
        </w:rPr>
        <w:t>地下水评价范围为24.5</w:t>
      </w:r>
      <w:r>
        <w:t>km</w:t>
      </w:r>
      <w:r>
        <w:rPr>
          <w:vertAlign w:val="superscript"/>
        </w:rPr>
        <w:t>2</w:t>
      </w:r>
      <w:r>
        <w:rPr>
          <w:rFonts w:hint="eastAsia"/>
        </w:rPr>
        <w:t>，四至范围为：东至沙坝村，南至张家湾，西至后河，北至中河。</w:t>
      </w:r>
    </w:p>
    <w:p>
      <w:pPr>
        <w:pStyle w:val="112"/>
        <w:ind w:firstLine="480"/>
      </w:pPr>
      <w:r>
        <w:t>综上，根据</w:t>
      </w:r>
      <w:r>
        <w:rPr>
          <w:rFonts w:hint="eastAsia"/>
        </w:rPr>
        <w:t>自定义</w:t>
      </w:r>
      <w:r>
        <w:t>法结果及项目所在地的水文地质特点同时考虑项目周边地下水环境保护目标，最终确定本工程的地下水环境影响评价范围为见下表，项目地下水环境影响评价范围见附图。</w:t>
      </w:r>
    </w:p>
    <w:p>
      <w:pPr>
        <w:pStyle w:val="37"/>
        <w:rPr>
          <w:rFonts w:cs="Times New Roman"/>
        </w:rPr>
      </w:pPr>
      <w:r>
        <w:rPr>
          <w:rFonts w:cs="Times New Roman"/>
        </w:rPr>
        <w:t>表1.6-</w:t>
      </w:r>
      <w:r>
        <w:rPr>
          <w:rFonts w:hint="eastAsia" w:cs="Times New Roman"/>
        </w:rPr>
        <w:t>8</w:t>
      </w:r>
      <w:r>
        <w:rPr>
          <w:rFonts w:cs="Times New Roman"/>
        </w:rPr>
        <w:t xml:space="preserve">  项目地下水环境影响评价范围一览表</w:t>
      </w:r>
    </w:p>
    <w:tbl>
      <w:tblPr>
        <w:tblStyle w:val="57"/>
        <w:tblW w:w="5313"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620"/>
        <w:gridCol w:w="2595"/>
        <w:gridCol w:w="284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99" w:type="pct"/>
            <w:tcBorders>
              <w:tl2br w:val="nil"/>
              <w:tr2bl w:val="nil"/>
            </w:tcBorders>
            <w:vAlign w:val="center"/>
          </w:tcPr>
          <w:p>
            <w:pPr>
              <w:topLinePunct w:val="0"/>
              <w:adjustRightInd/>
              <w:spacing w:line="240" w:lineRule="auto"/>
              <w:ind w:firstLine="0" w:firstLineChars="0"/>
              <w:jc w:val="center"/>
              <w:rPr>
                <w:rFonts w:ascii="Times New Roman" w:cs="Times New Roman"/>
                <w:b/>
                <w:sz w:val="21"/>
                <w:szCs w:val="20"/>
              </w:rPr>
            </w:pPr>
            <w:r>
              <w:rPr>
                <w:rFonts w:ascii="Times New Roman" w:cs="Times New Roman"/>
                <w:b/>
                <w:sz w:val="21"/>
                <w:szCs w:val="20"/>
              </w:rPr>
              <w:t>站场名称</w:t>
            </w:r>
          </w:p>
        </w:tc>
        <w:tc>
          <w:tcPr>
            <w:tcW w:w="1433" w:type="pct"/>
            <w:tcBorders>
              <w:right w:val="single" w:color="auto" w:sz="4" w:space="0"/>
              <w:tl2br w:val="nil"/>
              <w:tr2bl w:val="nil"/>
            </w:tcBorders>
            <w:vAlign w:val="center"/>
          </w:tcPr>
          <w:p>
            <w:pPr>
              <w:topLinePunct w:val="0"/>
              <w:adjustRightInd/>
              <w:spacing w:line="240" w:lineRule="auto"/>
              <w:ind w:firstLine="0" w:firstLineChars="0"/>
              <w:jc w:val="center"/>
              <w:rPr>
                <w:rFonts w:ascii="Times New Roman" w:cs="Times New Roman"/>
                <w:b/>
                <w:sz w:val="21"/>
                <w:szCs w:val="20"/>
              </w:rPr>
            </w:pPr>
            <w:r>
              <w:rPr>
                <w:rFonts w:ascii="Times New Roman" w:cs="Times New Roman"/>
                <w:b/>
                <w:sz w:val="21"/>
                <w:szCs w:val="20"/>
              </w:rPr>
              <w:t>评价范围面S（km</w:t>
            </w:r>
            <w:r>
              <w:rPr>
                <w:rFonts w:ascii="Times New Roman" w:cs="Times New Roman"/>
                <w:b/>
                <w:sz w:val="21"/>
                <w:szCs w:val="20"/>
                <w:vertAlign w:val="superscript"/>
              </w:rPr>
              <w:t>2</w:t>
            </w:r>
            <w:r>
              <w:rPr>
                <w:rFonts w:ascii="Times New Roman" w:cs="Times New Roman"/>
                <w:b/>
                <w:sz w:val="21"/>
                <w:szCs w:val="20"/>
              </w:rPr>
              <w:t>）</w:t>
            </w:r>
          </w:p>
        </w:tc>
        <w:tc>
          <w:tcPr>
            <w:tcW w:w="1568" w:type="pct"/>
            <w:tcBorders>
              <w:left w:val="single" w:color="auto" w:sz="4" w:space="0"/>
              <w:tl2br w:val="nil"/>
              <w:tr2bl w:val="nil"/>
            </w:tcBorders>
            <w:vAlign w:val="center"/>
          </w:tcPr>
          <w:p>
            <w:pPr>
              <w:topLinePunct w:val="0"/>
              <w:adjustRightInd/>
              <w:spacing w:line="240" w:lineRule="auto"/>
              <w:ind w:firstLine="0" w:firstLineChars="0"/>
              <w:jc w:val="center"/>
              <w:rPr>
                <w:rFonts w:ascii="Times New Roman" w:cs="Times New Roman"/>
                <w:b/>
                <w:sz w:val="21"/>
                <w:szCs w:val="20"/>
              </w:rPr>
            </w:pPr>
            <w:r>
              <w:rPr>
                <w:rFonts w:ascii="Times New Roman" w:cs="Times New Roman"/>
                <w:b/>
                <w:sz w:val="21"/>
                <w:szCs w:val="20"/>
              </w:rPr>
              <w:t>四至范围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1999"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0"/>
              </w:rPr>
            </w:pPr>
            <w:r>
              <w:rPr>
                <w:rFonts w:ascii="Times New Roman" w:cs="Times New Roman"/>
                <w:bCs/>
                <w:sz w:val="21"/>
                <w:szCs w:val="20"/>
              </w:rPr>
              <w:t>普陆4集气平台</w:t>
            </w:r>
          </w:p>
        </w:tc>
        <w:tc>
          <w:tcPr>
            <w:tcW w:w="1433" w:type="pct"/>
            <w:tcBorders>
              <w:right w:val="single" w:color="auto" w:sz="4" w:space="0"/>
              <w:tl2br w:val="nil"/>
              <w:tr2bl w:val="nil"/>
            </w:tcBorders>
            <w:vAlign w:val="center"/>
          </w:tcPr>
          <w:p>
            <w:pPr>
              <w:topLinePunct w:val="0"/>
              <w:adjustRightInd/>
              <w:spacing w:line="240" w:lineRule="auto"/>
              <w:ind w:firstLine="0" w:firstLineChars="0"/>
              <w:jc w:val="center"/>
              <w:rPr>
                <w:rFonts w:ascii="Times New Roman" w:cs="Times New Roman"/>
                <w:bCs/>
                <w:sz w:val="21"/>
                <w:szCs w:val="20"/>
              </w:rPr>
            </w:pPr>
            <w:r>
              <w:rPr>
                <w:rFonts w:hint="eastAsia" w:ascii="Times New Roman" w:cs="Times New Roman"/>
                <w:bCs/>
                <w:sz w:val="21"/>
                <w:szCs w:val="20"/>
              </w:rPr>
              <w:t>24.5</w:t>
            </w:r>
          </w:p>
        </w:tc>
        <w:tc>
          <w:tcPr>
            <w:tcW w:w="1568" w:type="pct"/>
            <w:tcBorders>
              <w:left w:val="single" w:color="auto" w:sz="4" w:space="0"/>
              <w:tl2br w:val="nil"/>
              <w:tr2bl w:val="nil"/>
            </w:tcBorders>
            <w:vAlign w:val="center"/>
          </w:tcPr>
          <w:p>
            <w:pPr>
              <w:topLinePunct w:val="0"/>
              <w:adjustRightInd/>
              <w:spacing w:line="240" w:lineRule="auto"/>
              <w:ind w:firstLine="0" w:firstLineChars="0"/>
              <w:jc w:val="center"/>
              <w:rPr>
                <w:rFonts w:ascii="Times New Roman" w:cs="Times New Roman"/>
                <w:bCs/>
                <w:sz w:val="21"/>
                <w:szCs w:val="20"/>
              </w:rPr>
            </w:pPr>
            <w:r>
              <w:rPr>
                <w:rFonts w:hint="eastAsia" w:ascii="Times New Roman" w:cs="Times New Roman"/>
                <w:bCs/>
                <w:sz w:val="21"/>
                <w:szCs w:val="20"/>
              </w:rPr>
              <w:t>东至沙坝村，南至张家湾，西至后河，北至中河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1999" w:type="pct"/>
            <w:tcBorders>
              <w:tl2br w:val="nil"/>
              <w:tr2bl w:val="nil"/>
            </w:tcBorders>
            <w:vAlign w:val="center"/>
          </w:tcPr>
          <w:p>
            <w:pPr>
              <w:topLinePunct w:val="0"/>
              <w:adjustRightInd/>
              <w:spacing w:line="240" w:lineRule="auto"/>
              <w:ind w:firstLine="0" w:firstLineChars="0"/>
              <w:jc w:val="center"/>
              <w:rPr>
                <w:rFonts w:ascii="Times New Roman" w:cs="Times New Roman"/>
                <w:bCs/>
                <w:sz w:val="21"/>
                <w:szCs w:val="20"/>
              </w:rPr>
            </w:pPr>
            <w:r>
              <w:rPr>
                <w:rFonts w:ascii="Times New Roman" w:cs="Times New Roman"/>
                <w:bCs/>
                <w:sz w:val="21"/>
                <w:szCs w:val="20"/>
              </w:rPr>
              <w:t>管线区域</w:t>
            </w:r>
          </w:p>
        </w:tc>
        <w:tc>
          <w:tcPr>
            <w:tcW w:w="1433" w:type="pct"/>
            <w:tcBorders>
              <w:right w:val="single" w:color="auto" w:sz="4" w:space="0"/>
              <w:tl2br w:val="nil"/>
              <w:tr2bl w:val="nil"/>
            </w:tcBorders>
            <w:vAlign w:val="center"/>
          </w:tcPr>
          <w:p>
            <w:pPr>
              <w:topLinePunct w:val="0"/>
              <w:adjustRightInd/>
              <w:spacing w:line="240" w:lineRule="auto"/>
              <w:ind w:firstLine="0" w:firstLineChars="0"/>
              <w:jc w:val="center"/>
              <w:rPr>
                <w:rFonts w:ascii="Times New Roman" w:cs="Times New Roman"/>
                <w:bCs/>
                <w:sz w:val="21"/>
                <w:szCs w:val="20"/>
              </w:rPr>
            </w:pPr>
            <w:r>
              <w:rPr>
                <w:rFonts w:ascii="Times New Roman" w:cs="Times New Roman"/>
                <w:bCs/>
                <w:sz w:val="21"/>
                <w:szCs w:val="20"/>
              </w:rPr>
              <w:t>管线边界两侧外延200m作为评价范围</w:t>
            </w:r>
          </w:p>
        </w:tc>
        <w:tc>
          <w:tcPr>
            <w:tcW w:w="1568" w:type="pct"/>
            <w:tcBorders>
              <w:left w:val="single" w:color="auto" w:sz="4" w:space="0"/>
              <w:tl2br w:val="nil"/>
              <w:tr2bl w:val="nil"/>
            </w:tcBorders>
            <w:vAlign w:val="center"/>
          </w:tcPr>
          <w:p>
            <w:pPr>
              <w:topLinePunct w:val="0"/>
              <w:adjustRightInd/>
              <w:spacing w:line="240" w:lineRule="auto"/>
              <w:ind w:firstLine="0" w:firstLineChars="0"/>
              <w:jc w:val="center"/>
              <w:rPr>
                <w:rFonts w:ascii="Times New Roman" w:cs="Times New Roman"/>
                <w:bCs/>
                <w:sz w:val="21"/>
                <w:szCs w:val="20"/>
              </w:rPr>
            </w:pPr>
            <w:r>
              <w:rPr>
                <w:rFonts w:hint="eastAsia" w:ascii="Times New Roman" w:cs="Times New Roman"/>
                <w:bCs/>
                <w:sz w:val="21"/>
                <w:szCs w:val="20"/>
              </w:rPr>
              <w:t>/</w:t>
            </w:r>
          </w:p>
        </w:tc>
      </w:tr>
    </w:tbl>
    <w:p>
      <w:pPr>
        <w:keepNext/>
        <w:keepLines/>
        <w:ind w:firstLine="0" w:firstLineChars="0"/>
        <w:outlineLvl w:val="2"/>
        <w:rPr>
          <w:rFonts w:ascii="Times New Roman" w:cs="Times New Roman"/>
          <w:b/>
          <w:szCs w:val="32"/>
        </w:rPr>
      </w:pPr>
      <w:r>
        <w:rPr>
          <w:rFonts w:ascii="Times New Roman" w:cs="Times New Roman"/>
          <w:b/>
          <w:szCs w:val="32"/>
        </w:rPr>
        <w:t>1.6.5 声环境</w:t>
      </w:r>
    </w:p>
    <w:p>
      <w:pPr>
        <w:ind w:firstLine="487" w:firstLineChars="199"/>
        <w:rPr>
          <w:rFonts w:ascii="Times New Roman" w:cs="Times New Roman"/>
          <w:b/>
          <w:bCs/>
          <w:spacing w:val="2"/>
          <w:kern w:val="2"/>
          <w:position w:val="2"/>
          <w:szCs w:val="22"/>
        </w:rPr>
      </w:pPr>
      <w:r>
        <w:rPr>
          <w:rFonts w:ascii="Times New Roman" w:cs="Times New Roman"/>
          <w:b/>
          <w:bCs/>
          <w:spacing w:val="2"/>
          <w:kern w:val="2"/>
          <w:position w:val="2"/>
          <w:szCs w:val="22"/>
        </w:rPr>
        <w:t>1、评价等级</w:t>
      </w:r>
    </w:p>
    <w:p>
      <w:pPr>
        <w:pStyle w:val="112"/>
        <w:ind w:firstLine="480"/>
      </w:pPr>
      <w:r>
        <w:t>根据《环境影响评价技术导则 声环境》（HJ2.4-20</w:t>
      </w:r>
      <w:r>
        <w:rPr>
          <w:rFonts w:hint="eastAsia"/>
        </w:rPr>
        <w:t>21</w:t>
      </w:r>
      <w:r>
        <w:t>）中声环境影响评价工作等级划分的基本原则及工程设计资料确定本项目声环境影响评价工作等级。本项目施工期噪声主要来自施工作业机械，营运期噪声主要为管输设备高压输气产生的气流噪声；根据现场调查，沿线地区声环境质量较好，</w:t>
      </w:r>
      <w:r>
        <w:rPr>
          <w:color w:val="FF0000"/>
        </w:rPr>
        <w:t>本项目站场及管道沿线所处的环境功能区为《声环境质量标准》（GB3096-2008）规定的2类地区</w:t>
      </w:r>
      <w:r>
        <w:t>。因此，按照《环境影响评价技术导则 声环境》（HJ2.4-20</w:t>
      </w:r>
      <w:r>
        <w:rPr>
          <w:rFonts w:hint="eastAsia"/>
        </w:rPr>
        <w:t>21</w:t>
      </w:r>
      <w:r>
        <w:t>）中推荐的声学环境评价工作等级划分方法，本项目属“建设项目所处的声环境功能区为GB3096规定的</w:t>
      </w:r>
      <w:r>
        <w:rPr>
          <w:rFonts w:hint="eastAsia"/>
        </w:rPr>
        <w:t>1、2类地区，或</w:t>
      </w:r>
      <w:r>
        <w:t>建设项目建设前后评价范围内敏感目标噪声级增量达3dB（A）</w:t>
      </w:r>
      <w:r>
        <w:rPr>
          <w:rFonts w:hint="eastAsia"/>
        </w:rPr>
        <w:t>~5</w:t>
      </w:r>
      <w:r>
        <w:t>dB（A），</w:t>
      </w:r>
      <w:r>
        <w:rPr>
          <w:rFonts w:hint="eastAsia"/>
        </w:rPr>
        <w:t>或</w:t>
      </w:r>
      <w:r>
        <w:t>受影响人口数量</w:t>
      </w:r>
      <w:r>
        <w:rPr>
          <w:rFonts w:hint="eastAsia"/>
        </w:rPr>
        <w:t>增加</w:t>
      </w:r>
      <w:r>
        <w:t>较多时，按二级评价”。因此，本次声环境影响评价级别定为二级评价。</w:t>
      </w:r>
    </w:p>
    <w:p>
      <w:pPr>
        <w:ind w:firstLine="490"/>
        <w:rPr>
          <w:rFonts w:ascii="Times New Roman" w:cs="Times New Roman"/>
          <w:b/>
          <w:bCs/>
          <w:spacing w:val="2"/>
          <w:kern w:val="2"/>
          <w:position w:val="2"/>
          <w:szCs w:val="22"/>
        </w:rPr>
      </w:pPr>
      <w:r>
        <w:rPr>
          <w:rFonts w:ascii="Times New Roman" w:cs="Times New Roman"/>
          <w:b/>
          <w:bCs/>
          <w:spacing w:val="2"/>
          <w:kern w:val="2"/>
          <w:position w:val="2"/>
          <w:szCs w:val="22"/>
        </w:rPr>
        <w:t>2、评价范围</w:t>
      </w:r>
    </w:p>
    <w:p>
      <w:pPr>
        <w:pStyle w:val="112"/>
        <w:ind w:firstLine="480"/>
      </w:pPr>
      <w:r>
        <w:t>本项目噪声环境影响评价工作等级为二级评价，根据《环境影响评价技术导则 声环境》（HJ2.4-20</w:t>
      </w:r>
      <w:r>
        <w:rPr>
          <w:rFonts w:hint="eastAsia"/>
        </w:rPr>
        <w:t>21</w:t>
      </w:r>
      <w:r>
        <w:t>）中有关规定及沿线各工艺站场周边环境特征。施工期声环境评价范围确定为沿线两侧各200m范围内的村庄或居民区，营运期的声环境评价范围确定为场站厂界及沿线两侧各200m范围内的村庄或居民区。</w:t>
      </w:r>
    </w:p>
    <w:p>
      <w:pPr>
        <w:keepNext/>
        <w:keepLines/>
        <w:ind w:firstLine="0" w:firstLineChars="0"/>
        <w:outlineLvl w:val="2"/>
        <w:rPr>
          <w:rFonts w:ascii="Times New Roman" w:cs="Times New Roman"/>
          <w:b/>
          <w:szCs w:val="32"/>
        </w:rPr>
      </w:pPr>
      <w:r>
        <w:rPr>
          <w:rFonts w:ascii="Times New Roman" w:cs="Times New Roman"/>
          <w:b/>
          <w:szCs w:val="32"/>
        </w:rPr>
        <w:t>1.6.6 土壤环境影响</w:t>
      </w:r>
    </w:p>
    <w:p>
      <w:pPr>
        <w:ind w:firstLine="487" w:firstLineChars="199"/>
        <w:rPr>
          <w:rFonts w:ascii="Times New Roman" w:cs="Times New Roman"/>
          <w:b/>
          <w:bCs/>
          <w:spacing w:val="2"/>
          <w:kern w:val="2"/>
          <w:position w:val="2"/>
          <w:szCs w:val="22"/>
        </w:rPr>
      </w:pPr>
      <w:r>
        <w:rPr>
          <w:rFonts w:ascii="Times New Roman" w:cs="Times New Roman"/>
          <w:b/>
          <w:bCs/>
          <w:spacing w:val="2"/>
          <w:kern w:val="2"/>
          <w:position w:val="2"/>
          <w:szCs w:val="22"/>
        </w:rPr>
        <w:t>1、评价等级</w:t>
      </w:r>
    </w:p>
    <w:p>
      <w:pPr>
        <w:pStyle w:val="112"/>
        <w:ind w:firstLine="480"/>
      </w:pPr>
      <w:r>
        <w:t>根据《环境影响评价技术导则 土壤环境</w:t>
      </w:r>
      <w:r>
        <w:rPr>
          <w:rFonts w:hint="eastAsia"/>
        </w:rPr>
        <w:t>（试行）</w:t>
      </w:r>
      <w:r>
        <w:t>》（HJ964-2018）第6.2.5条：线性工程重点针对主要站场位置（如输油站、泵站、阀室、加油站、维修场所等）参照6.2.2分段判定评价等级。本项目</w:t>
      </w:r>
      <w:r>
        <w:rPr>
          <w:rFonts w:hint="eastAsia"/>
        </w:rPr>
        <w:t>按2</w:t>
      </w:r>
      <w:r>
        <w:t>段进行评价，即普陆4集气平台</w:t>
      </w:r>
      <w:r>
        <w:rPr>
          <w:rFonts w:hint="eastAsia"/>
        </w:rPr>
        <w:t>、</w:t>
      </w:r>
      <w:r>
        <w:t>普陆4集气平台~</w:t>
      </w:r>
      <w:r>
        <w:rPr>
          <w:rFonts w:hint="eastAsia"/>
        </w:rPr>
        <w:t>P107</w:t>
      </w:r>
      <w:r>
        <w:t>集气站</w:t>
      </w:r>
      <w:r>
        <w:rPr>
          <w:rFonts w:hint="eastAsia"/>
        </w:rPr>
        <w:t>集气管道</w:t>
      </w:r>
      <w:r>
        <w:t>。根据《环境影响评价技术导则 土壤环境</w:t>
      </w:r>
      <w:r>
        <w:rPr>
          <w:rFonts w:hint="eastAsia"/>
        </w:rPr>
        <w:t>（试行）</w:t>
      </w:r>
      <w:r>
        <w:t>》（HJ964-2018）附录A，普陆4集气平台属于“采矿业化学矿采选；石棉矿采选；煤矿采选、天然气开采、页岩气开采、砂岩气开采、煤层气开采（含净化、液化）”，为Ⅱ类建设项目；集输管线属于“交通运输仓储邮政业其他”，为Ⅳ类建设项目。</w:t>
      </w:r>
    </w:p>
    <w:p>
      <w:pPr>
        <w:pStyle w:val="112"/>
        <w:ind w:firstLine="480"/>
      </w:pPr>
      <w:r>
        <w:t>普陆4集气平台</w:t>
      </w:r>
      <w:r>
        <w:rPr>
          <w:rFonts w:hint="eastAsia"/>
        </w:rPr>
        <w:t>总</w:t>
      </w:r>
      <w:r>
        <w:t>占地面积约为</w:t>
      </w:r>
      <w:r>
        <w:rPr>
          <w:rFonts w:hint="eastAsia"/>
        </w:rPr>
        <w:t>8720</w:t>
      </w:r>
      <w:r>
        <w:rPr>
          <w:rFonts w:hint="eastAsia"/>
          <w:bCs/>
        </w:rPr>
        <w:t>m</w:t>
      </w:r>
      <w:r>
        <w:rPr>
          <w:rFonts w:hint="eastAsia"/>
          <w:bCs/>
          <w:vertAlign w:val="superscript"/>
        </w:rPr>
        <w:t>2</w:t>
      </w:r>
      <w:r>
        <w:t>，占地规模均为小型，周边存在耕地，土壤环境敏感程度为敏感，周边存在耕地，土壤环境敏感程度为敏感。</w:t>
      </w:r>
    </w:p>
    <w:p>
      <w:pPr>
        <w:pStyle w:val="37"/>
        <w:rPr>
          <w:rFonts w:cs="Times New Roman"/>
        </w:rPr>
      </w:pPr>
      <w:r>
        <w:rPr>
          <w:rFonts w:cs="Times New Roman"/>
        </w:rPr>
        <w:t>表1.6-</w:t>
      </w:r>
      <w:r>
        <w:rPr>
          <w:rFonts w:hint="eastAsia" w:cs="Times New Roman"/>
        </w:rPr>
        <w:t>8</w:t>
      </w:r>
      <w:r>
        <w:rPr>
          <w:rFonts w:cs="Times New Roman"/>
        </w:rPr>
        <w:t xml:space="preserve">  污染影响型评价工作等级划分表</w:t>
      </w:r>
    </w:p>
    <w:tbl>
      <w:tblPr>
        <w:tblStyle w:val="57"/>
        <w:tblW w:w="867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20"/>
        <w:gridCol w:w="723"/>
        <w:gridCol w:w="791"/>
        <w:gridCol w:w="792"/>
        <w:gridCol w:w="792"/>
        <w:gridCol w:w="792"/>
        <w:gridCol w:w="792"/>
        <w:gridCol w:w="792"/>
        <w:gridCol w:w="792"/>
        <w:gridCol w:w="79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20" w:type="dxa"/>
            <w:vMerge w:val="restart"/>
            <w:vAlign w:val="center"/>
          </w:tcPr>
          <w:p>
            <w:pPr>
              <w:snapToGrid w:val="0"/>
              <w:spacing w:line="240" w:lineRule="auto"/>
              <w:ind w:firstLine="422"/>
              <w:rPr>
                <w:rFonts w:ascii="Times New Roman" w:cs="Times New Roman"/>
                <w:b/>
                <w:bCs/>
                <w:sz w:val="21"/>
                <w:szCs w:val="21"/>
              </w:rPr>
            </w:pPr>
            <w:r>
              <w:rPr>
                <w:rFonts w:ascii="Times New Roman" w:cs="Times New Roman"/>
                <w:b/>
                <w:bCs/>
                <w:sz w:val="21"/>
                <w:szCs w:val="21"/>
              </w:rPr>
              <w:pict>
                <v:line id="直接连接符 57" o:spid="_x0000_s1026" o:spt="20" style="position:absolute;left:0pt;margin-left:-5.3pt;margin-top:-0.35pt;height:54.7pt;width:78.65pt;z-index:251659264;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">
                  <v:path arrowok="t"/>
                  <v:fill focussize="0,0"/>
                  <v:stroke/>
                  <v:imagedata o:title=""/>
                  <o:lock v:ext="edit"/>
                </v:line>
              </w:pict>
            </w:r>
            <w:r>
              <w:rPr>
                <w:rFonts w:ascii="Times New Roman" w:cs="Times New Roman"/>
                <w:b/>
                <w:bCs/>
                <w:sz w:val="21"/>
                <w:szCs w:val="21"/>
              </w:rPr>
              <w:t>项目类别</w:t>
            </w:r>
          </w:p>
          <w:p>
            <w:pPr>
              <w:snapToGrid w:val="0"/>
              <w:spacing w:line="240" w:lineRule="auto"/>
              <w:ind w:firstLine="0" w:firstLineChars="0"/>
              <w:rPr>
                <w:rFonts w:ascii="Times New Roman" w:cs="Times New Roman"/>
                <w:b/>
                <w:bCs/>
                <w:sz w:val="21"/>
                <w:szCs w:val="21"/>
              </w:rPr>
            </w:pPr>
            <w:r>
              <w:rPr>
                <w:rFonts w:ascii="Times New Roman" w:cs="Times New Roman"/>
                <w:b/>
                <w:bCs/>
                <w:sz w:val="21"/>
                <w:szCs w:val="21"/>
              </w:rPr>
              <w:t>评价工</w:t>
            </w:r>
          </w:p>
          <w:p>
            <w:pPr>
              <w:snapToGrid w:val="0"/>
              <w:spacing w:line="240" w:lineRule="auto"/>
              <w:ind w:firstLine="0" w:firstLineChars="0"/>
              <w:rPr>
                <w:rFonts w:ascii="Times New Roman" w:cs="Times New Roman"/>
                <w:b/>
                <w:bCs/>
                <w:sz w:val="21"/>
                <w:szCs w:val="21"/>
              </w:rPr>
            </w:pPr>
            <w:r>
              <w:rPr>
                <w:rFonts w:ascii="Times New Roman" w:cs="Times New Roman"/>
                <w:b/>
                <w:bCs/>
                <w:sz w:val="21"/>
                <w:szCs w:val="21"/>
              </w:rPr>
              <w:pict>
                <v:line id="直接连接符 58" o:spid="_x0000_s1031" o:spt="20" style="position:absolute;left:0pt;margin-left:-5.3pt;margin-top:9.45pt;height:17.3pt;width:78.3pt;z-index:251660288;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">
                  <v:path arrowok="t"/>
                  <v:fill focussize="0,0"/>
                  <v:stroke/>
                  <v:imagedata o:title=""/>
                  <o:lock v:ext="edit"/>
                </v:line>
              </w:pict>
            </w:r>
            <w:r>
              <w:rPr>
                <w:rFonts w:ascii="Times New Roman" w:cs="Times New Roman"/>
                <w:b/>
                <w:bCs/>
                <w:sz w:val="21"/>
                <w:szCs w:val="21"/>
              </w:rPr>
              <w:t>作等级</w:t>
            </w:r>
          </w:p>
          <w:p>
            <w:pPr>
              <w:snapToGrid w:val="0"/>
              <w:spacing w:line="240" w:lineRule="auto"/>
              <w:ind w:firstLine="0" w:firstLineChars="0"/>
              <w:rPr>
                <w:rFonts w:ascii="Times New Roman" w:cs="Times New Roman"/>
                <w:b/>
                <w:bCs/>
                <w:sz w:val="21"/>
                <w:szCs w:val="21"/>
              </w:rPr>
            </w:pPr>
            <w:r>
              <w:rPr>
                <w:rFonts w:ascii="Times New Roman" w:cs="Times New Roman"/>
                <w:b/>
                <w:bCs/>
                <w:sz w:val="21"/>
                <w:szCs w:val="21"/>
              </w:rPr>
              <w:t>敏感程度</w:t>
            </w:r>
          </w:p>
        </w:tc>
        <w:tc>
          <w:tcPr>
            <w:tcW w:w="2306" w:type="dxa"/>
            <w:gridSpan w:val="3"/>
            <w:vAlign w:val="center"/>
          </w:tcPr>
          <w:p>
            <w:pPr>
              <w:snapToGrid w:val="0"/>
              <w:spacing w:line="240" w:lineRule="auto"/>
              <w:ind w:firstLine="0" w:firstLineChars="0"/>
              <w:jc w:val="center"/>
              <w:rPr>
                <w:rFonts w:ascii="Times New Roman" w:cs="Times New Roman"/>
                <w:b/>
                <w:bCs/>
                <w:sz w:val="21"/>
                <w:szCs w:val="21"/>
              </w:rPr>
            </w:pPr>
            <w:r>
              <w:rPr>
                <w:rFonts w:ascii="Times New Roman" w:cs="Times New Roman"/>
                <w:b/>
                <w:bCs/>
                <w:sz w:val="21"/>
                <w:szCs w:val="21"/>
              </w:rPr>
              <w:fldChar w:fldCharType="begin"/>
            </w:r>
            <w:r>
              <w:rPr>
                <w:rFonts w:ascii="Times New Roman" w:cs="Times New Roman"/>
                <w:b/>
                <w:bCs/>
                <w:sz w:val="21"/>
                <w:szCs w:val="21"/>
              </w:rPr>
              <w:instrText xml:space="preserve"> = 1 \* ROMAN </w:instrText>
            </w:r>
            <w:r>
              <w:rPr>
                <w:rFonts w:ascii="Times New Roman" w:cs="Times New Roman"/>
                <w:b/>
                <w:bCs/>
                <w:sz w:val="21"/>
                <w:szCs w:val="21"/>
              </w:rPr>
              <w:fldChar w:fldCharType="separate"/>
            </w:r>
            <w:r>
              <w:rPr>
                <w:rFonts w:ascii="Times New Roman" w:cs="Times New Roman"/>
                <w:b/>
                <w:bCs/>
                <w:sz w:val="21"/>
                <w:szCs w:val="21"/>
              </w:rPr>
              <w:t>I</w:t>
            </w:r>
            <w:r>
              <w:rPr>
                <w:rFonts w:ascii="Times New Roman" w:cs="Times New Roman"/>
                <w:b/>
                <w:bCs/>
                <w:sz w:val="21"/>
                <w:szCs w:val="21"/>
              </w:rPr>
              <w:fldChar w:fldCharType="end"/>
            </w:r>
            <w:r>
              <w:rPr>
                <w:rFonts w:ascii="Times New Roman" w:cs="Times New Roman"/>
                <w:b/>
                <w:bCs/>
                <w:sz w:val="21"/>
                <w:szCs w:val="21"/>
              </w:rPr>
              <w:t>类</w:t>
            </w:r>
          </w:p>
        </w:tc>
        <w:tc>
          <w:tcPr>
            <w:tcW w:w="2376" w:type="dxa"/>
            <w:gridSpan w:val="3"/>
            <w:vAlign w:val="center"/>
          </w:tcPr>
          <w:p>
            <w:pPr>
              <w:snapToGrid w:val="0"/>
              <w:spacing w:line="240" w:lineRule="auto"/>
              <w:ind w:firstLine="0" w:firstLineChars="0"/>
              <w:jc w:val="center"/>
              <w:rPr>
                <w:rFonts w:ascii="Times New Roman" w:cs="Times New Roman"/>
                <w:b/>
                <w:bCs/>
                <w:sz w:val="21"/>
                <w:szCs w:val="21"/>
              </w:rPr>
            </w:pPr>
            <w:r>
              <w:rPr>
                <w:rFonts w:ascii="Times New Roman" w:cs="Times New Roman"/>
                <w:b/>
                <w:bCs/>
                <w:sz w:val="21"/>
                <w:szCs w:val="21"/>
              </w:rPr>
              <w:fldChar w:fldCharType="begin"/>
            </w:r>
            <w:r>
              <w:rPr>
                <w:rFonts w:ascii="Times New Roman" w:cs="Times New Roman"/>
                <w:b/>
                <w:bCs/>
                <w:sz w:val="21"/>
                <w:szCs w:val="21"/>
              </w:rPr>
              <w:instrText xml:space="preserve"> = 2 \* ROMAN </w:instrText>
            </w:r>
            <w:r>
              <w:rPr>
                <w:rFonts w:ascii="Times New Roman" w:cs="Times New Roman"/>
                <w:b/>
                <w:bCs/>
                <w:sz w:val="21"/>
                <w:szCs w:val="21"/>
              </w:rPr>
              <w:fldChar w:fldCharType="separate"/>
            </w:r>
            <w:r>
              <w:rPr>
                <w:rFonts w:ascii="Times New Roman" w:cs="Times New Roman"/>
                <w:b/>
                <w:bCs/>
                <w:sz w:val="21"/>
                <w:szCs w:val="21"/>
              </w:rPr>
              <w:t>II</w:t>
            </w:r>
            <w:r>
              <w:rPr>
                <w:rFonts w:ascii="Times New Roman" w:cs="Times New Roman"/>
                <w:b/>
                <w:bCs/>
                <w:sz w:val="21"/>
                <w:szCs w:val="21"/>
              </w:rPr>
              <w:fldChar w:fldCharType="end"/>
            </w:r>
            <w:r>
              <w:rPr>
                <w:rFonts w:ascii="Times New Roman" w:cs="Times New Roman"/>
                <w:b/>
                <w:bCs/>
                <w:sz w:val="21"/>
                <w:szCs w:val="21"/>
              </w:rPr>
              <w:t>类</w:t>
            </w:r>
          </w:p>
        </w:tc>
        <w:tc>
          <w:tcPr>
            <w:tcW w:w="2377" w:type="dxa"/>
            <w:gridSpan w:val="3"/>
            <w:vAlign w:val="center"/>
          </w:tcPr>
          <w:p>
            <w:pPr>
              <w:snapToGrid w:val="0"/>
              <w:spacing w:line="240" w:lineRule="auto"/>
              <w:ind w:firstLine="0" w:firstLineChars="0"/>
              <w:jc w:val="center"/>
              <w:rPr>
                <w:rFonts w:ascii="Times New Roman" w:cs="Times New Roman"/>
                <w:b/>
                <w:bCs/>
                <w:sz w:val="21"/>
                <w:szCs w:val="21"/>
              </w:rPr>
            </w:pPr>
            <w:r>
              <w:rPr>
                <w:rFonts w:ascii="Times New Roman" w:cs="Times New Roman"/>
                <w:b/>
                <w:bCs/>
                <w:sz w:val="21"/>
                <w:szCs w:val="21"/>
              </w:rPr>
              <w:fldChar w:fldCharType="begin"/>
            </w:r>
            <w:r>
              <w:rPr>
                <w:rFonts w:ascii="Times New Roman" w:cs="Times New Roman"/>
                <w:b/>
                <w:bCs/>
                <w:sz w:val="21"/>
                <w:szCs w:val="21"/>
              </w:rPr>
              <w:instrText xml:space="preserve"> = 3 \* ROMAN </w:instrText>
            </w:r>
            <w:r>
              <w:rPr>
                <w:rFonts w:ascii="Times New Roman" w:cs="Times New Roman"/>
                <w:b/>
                <w:bCs/>
                <w:sz w:val="21"/>
                <w:szCs w:val="21"/>
              </w:rPr>
              <w:fldChar w:fldCharType="separate"/>
            </w:r>
            <w:r>
              <w:rPr>
                <w:rFonts w:ascii="Times New Roman" w:cs="Times New Roman"/>
                <w:b/>
                <w:bCs/>
                <w:sz w:val="21"/>
                <w:szCs w:val="21"/>
              </w:rPr>
              <w:t>III</w:t>
            </w:r>
            <w:r>
              <w:rPr>
                <w:rFonts w:ascii="Times New Roman" w:cs="Times New Roman"/>
                <w:b/>
                <w:bCs/>
                <w:sz w:val="21"/>
                <w:szCs w:val="21"/>
              </w:rPr>
              <w:fldChar w:fldCharType="end"/>
            </w:r>
            <w:r>
              <w:rPr>
                <w:rFonts w:ascii="Times New Roman" w:cs="Times New Roman"/>
                <w:b/>
                <w:bCs/>
                <w:sz w:val="21"/>
                <w:szCs w:val="21"/>
              </w:rPr>
              <w:t>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1620" w:type="dxa"/>
            <w:vMerge w:val="continue"/>
            <w:vAlign w:val="center"/>
          </w:tcPr>
          <w:p>
            <w:pPr>
              <w:snapToGrid w:val="0"/>
              <w:spacing w:line="240" w:lineRule="auto"/>
              <w:ind w:firstLine="0" w:firstLineChars="0"/>
              <w:jc w:val="center"/>
              <w:rPr>
                <w:rFonts w:ascii="Times New Roman" w:cs="Times New Roman"/>
                <w:b/>
                <w:bCs/>
                <w:sz w:val="21"/>
                <w:szCs w:val="21"/>
              </w:rPr>
            </w:pPr>
          </w:p>
        </w:tc>
        <w:tc>
          <w:tcPr>
            <w:tcW w:w="723" w:type="dxa"/>
            <w:vAlign w:val="center"/>
          </w:tcPr>
          <w:p>
            <w:pPr>
              <w:snapToGrid w:val="0"/>
              <w:spacing w:line="240" w:lineRule="auto"/>
              <w:ind w:firstLine="0" w:firstLineChars="0"/>
              <w:jc w:val="center"/>
              <w:rPr>
                <w:rFonts w:ascii="Times New Roman" w:cs="Times New Roman"/>
                <w:b/>
                <w:bCs/>
                <w:sz w:val="21"/>
                <w:szCs w:val="21"/>
              </w:rPr>
            </w:pPr>
            <w:r>
              <w:rPr>
                <w:rFonts w:ascii="Times New Roman" w:cs="Times New Roman"/>
                <w:b/>
                <w:bCs/>
                <w:sz w:val="21"/>
                <w:szCs w:val="21"/>
              </w:rPr>
              <w:t>大</w:t>
            </w:r>
          </w:p>
        </w:tc>
        <w:tc>
          <w:tcPr>
            <w:tcW w:w="791" w:type="dxa"/>
            <w:vAlign w:val="center"/>
          </w:tcPr>
          <w:p>
            <w:pPr>
              <w:snapToGrid w:val="0"/>
              <w:spacing w:line="240" w:lineRule="auto"/>
              <w:ind w:firstLine="0" w:firstLineChars="0"/>
              <w:jc w:val="center"/>
              <w:rPr>
                <w:rFonts w:ascii="Times New Roman" w:cs="Times New Roman"/>
                <w:b/>
                <w:bCs/>
                <w:sz w:val="21"/>
                <w:szCs w:val="21"/>
              </w:rPr>
            </w:pPr>
            <w:r>
              <w:rPr>
                <w:rFonts w:ascii="Times New Roman" w:cs="Times New Roman"/>
                <w:b/>
                <w:bCs/>
                <w:sz w:val="21"/>
                <w:szCs w:val="21"/>
              </w:rPr>
              <w:t>中</w:t>
            </w:r>
          </w:p>
        </w:tc>
        <w:tc>
          <w:tcPr>
            <w:tcW w:w="792" w:type="dxa"/>
            <w:vAlign w:val="center"/>
          </w:tcPr>
          <w:p>
            <w:pPr>
              <w:snapToGrid w:val="0"/>
              <w:spacing w:line="240" w:lineRule="auto"/>
              <w:ind w:firstLine="0" w:firstLineChars="0"/>
              <w:jc w:val="center"/>
              <w:rPr>
                <w:rFonts w:ascii="Times New Roman" w:cs="Times New Roman"/>
                <w:b/>
                <w:bCs/>
                <w:sz w:val="21"/>
                <w:szCs w:val="21"/>
              </w:rPr>
            </w:pPr>
            <w:r>
              <w:rPr>
                <w:rFonts w:ascii="Times New Roman" w:cs="Times New Roman"/>
                <w:b/>
                <w:bCs/>
                <w:sz w:val="21"/>
                <w:szCs w:val="21"/>
              </w:rPr>
              <w:t>小</w:t>
            </w:r>
          </w:p>
        </w:tc>
        <w:tc>
          <w:tcPr>
            <w:tcW w:w="792" w:type="dxa"/>
            <w:vAlign w:val="center"/>
          </w:tcPr>
          <w:p>
            <w:pPr>
              <w:snapToGrid w:val="0"/>
              <w:spacing w:line="240" w:lineRule="auto"/>
              <w:ind w:firstLine="0" w:firstLineChars="0"/>
              <w:jc w:val="center"/>
              <w:rPr>
                <w:rFonts w:ascii="Times New Roman" w:cs="Times New Roman"/>
                <w:b/>
                <w:bCs/>
                <w:sz w:val="21"/>
                <w:szCs w:val="21"/>
              </w:rPr>
            </w:pPr>
            <w:r>
              <w:rPr>
                <w:rFonts w:ascii="Times New Roman" w:cs="Times New Roman"/>
                <w:b/>
                <w:bCs/>
                <w:sz w:val="21"/>
                <w:szCs w:val="21"/>
              </w:rPr>
              <w:t>大</w:t>
            </w:r>
          </w:p>
        </w:tc>
        <w:tc>
          <w:tcPr>
            <w:tcW w:w="792" w:type="dxa"/>
            <w:vAlign w:val="center"/>
          </w:tcPr>
          <w:p>
            <w:pPr>
              <w:snapToGrid w:val="0"/>
              <w:spacing w:line="240" w:lineRule="auto"/>
              <w:ind w:firstLine="0" w:firstLineChars="0"/>
              <w:jc w:val="center"/>
              <w:rPr>
                <w:rFonts w:ascii="Times New Roman" w:cs="Times New Roman"/>
                <w:b/>
                <w:bCs/>
                <w:sz w:val="21"/>
                <w:szCs w:val="21"/>
              </w:rPr>
            </w:pPr>
            <w:r>
              <w:rPr>
                <w:rFonts w:ascii="Times New Roman" w:cs="Times New Roman"/>
                <w:b/>
                <w:bCs/>
                <w:sz w:val="21"/>
                <w:szCs w:val="21"/>
              </w:rPr>
              <w:t>中</w:t>
            </w:r>
          </w:p>
        </w:tc>
        <w:tc>
          <w:tcPr>
            <w:tcW w:w="792" w:type="dxa"/>
            <w:vAlign w:val="center"/>
          </w:tcPr>
          <w:p>
            <w:pPr>
              <w:snapToGrid w:val="0"/>
              <w:spacing w:line="240" w:lineRule="auto"/>
              <w:ind w:firstLine="0" w:firstLineChars="0"/>
              <w:jc w:val="center"/>
              <w:rPr>
                <w:rFonts w:ascii="Times New Roman" w:cs="Times New Roman"/>
                <w:b/>
                <w:bCs/>
                <w:sz w:val="21"/>
                <w:szCs w:val="21"/>
              </w:rPr>
            </w:pPr>
            <w:r>
              <w:rPr>
                <w:rFonts w:ascii="Times New Roman" w:cs="Times New Roman"/>
                <w:b/>
                <w:bCs/>
                <w:sz w:val="21"/>
                <w:szCs w:val="21"/>
              </w:rPr>
              <w:t>小</w:t>
            </w:r>
          </w:p>
        </w:tc>
        <w:tc>
          <w:tcPr>
            <w:tcW w:w="792" w:type="dxa"/>
            <w:vAlign w:val="center"/>
          </w:tcPr>
          <w:p>
            <w:pPr>
              <w:snapToGrid w:val="0"/>
              <w:spacing w:line="240" w:lineRule="auto"/>
              <w:ind w:firstLine="0" w:firstLineChars="0"/>
              <w:jc w:val="center"/>
              <w:rPr>
                <w:rFonts w:ascii="Times New Roman" w:cs="Times New Roman"/>
                <w:b/>
                <w:bCs/>
                <w:sz w:val="21"/>
                <w:szCs w:val="21"/>
              </w:rPr>
            </w:pPr>
            <w:r>
              <w:rPr>
                <w:rFonts w:ascii="Times New Roman" w:cs="Times New Roman"/>
                <w:b/>
                <w:bCs/>
                <w:sz w:val="21"/>
                <w:szCs w:val="21"/>
              </w:rPr>
              <w:t>大</w:t>
            </w:r>
          </w:p>
        </w:tc>
        <w:tc>
          <w:tcPr>
            <w:tcW w:w="792" w:type="dxa"/>
            <w:vAlign w:val="center"/>
          </w:tcPr>
          <w:p>
            <w:pPr>
              <w:snapToGrid w:val="0"/>
              <w:spacing w:line="240" w:lineRule="auto"/>
              <w:ind w:firstLine="0" w:firstLineChars="0"/>
              <w:jc w:val="center"/>
              <w:rPr>
                <w:rFonts w:ascii="Times New Roman" w:cs="Times New Roman"/>
                <w:b/>
                <w:bCs/>
                <w:sz w:val="21"/>
                <w:szCs w:val="21"/>
              </w:rPr>
            </w:pPr>
            <w:r>
              <w:rPr>
                <w:rFonts w:ascii="Times New Roman" w:cs="Times New Roman"/>
                <w:b/>
                <w:bCs/>
                <w:sz w:val="21"/>
                <w:szCs w:val="21"/>
              </w:rPr>
              <w:t>中</w:t>
            </w:r>
          </w:p>
        </w:tc>
        <w:tc>
          <w:tcPr>
            <w:tcW w:w="793" w:type="dxa"/>
            <w:vAlign w:val="center"/>
          </w:tcPr>
          <w:p>
            <w:pPr>
              <w:snapToGrid w:val="0"/>
              <w:spacing w:line="240" w:lineRule="auto"/>
              <w:ind w:firstLine="0" w:firstLineChars="0"/>
              <w:jc w:val="center"/>
              <w:rPr>
                <w:rFonts w:ascii="Times New Roman" w:cs="Times New Roman"/>
                <w:b/>
                <w:bCs/>
                <w:sz w:val="21"/>
                <w:szCs w:val="21"/>
              </w:rPr>
            </w:pPr>
            <w:r>
              <w:rPr>
                <w:rFonts w:ascii="Times New Roman" w:cs="Times New Roman"/>
                <w:b/>
                <w:bCs/>
                <w:sz w:val="21"/>
                <w:szCs w:val="21"/>
              </w:rPr>
              <w:t>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20"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敏感</w:t>
            </w:r>
          </w:p>
        </w:tc>
        <w:tc>
          <w:tcPr>
            <w:tcW w:w="723"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一级</w:t>
            </w:r>
          </w:p>
        </w:tc>
        <w:tc>
          <w:tcPr>
            <w:tcW w:w="791"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一级</w:t>
            </w:r>
          </w:p>
        </w:tc>
        <w:tc>
          <w:tcPr>
            <w:tcW w:w="792"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一级</w:t>
            </w:r>
          </w:p>
        </w:tc>
        <w:tc>
          <w:tcPr>
            <w:tcW w:w="792"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二级</w:t>
            </w:r>
          </w:p>
        </w:tc>
        <w:tc>
          <w:tcPr>
            <w:tcW w:w="792"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二级</w:t>
            </w:r>
          </w:p>
        </w:tc>
        <w:tc>
          <w:tcPr>
            <w:tcW w:w="792"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b/>
                <w:bCs/>
                <w:sz w:val="21"/>
                <w:szCs w:val="21"/>
              </w:rPr>
              <w:t>二级</w:t>
            </w:r>
          </w:p>
        </w:tc>
        <w:tc>
          <w:tcPr>
            <w:tcW w:w="792" w:type="dxa"/>
            <w:shd w:val="clear" w:color="auto" w:fill="FFFFFF"/>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三级</w:t>
            </w:r>
          </w:p>
        </w:tc>
        <w:tc>
          <w:tcPr>
            <w:tcW w:w="792" w:type="dxa"/>
            <w:shd w:val="clear" w:color="auto" w:fill="FFFFFF"/>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三级</w:t>
            </w:r>
          </w:p>
        </w:tc>
        <w:tc>
          <w:tcPr>
            <w:tcW w:w="793" w:type="dxa"/>
            <w:shd w:val="clear" w:color="auto" w:fill="FFFFFF"/>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三级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20"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较敏感</w:t>
            </w:r>
          </w:p>
        </w:tc>
        <w:tc>
          <w:tcPr>
            <w:tcW w:w="723"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一级</w:t>
            </w:r>
          </w:p>
        </w:tc>
        <w:tc>
          <w:tcPr>
            <w:tcW w:w="791"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一级</w:t>
            </w:r>
          </w:p>
        </w:tc>
        <w:tc>
          <w:tcPr>
            <w:tcW w:w="792"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二级</w:t>
            </w:r>
          </w:p>
        </w:tc>
        <w:tc>
          <w:tcPr>
            <w:tcW w:w="792"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二级</w:t>
            </w:r>
          </w:p>
        </w:tc>
        <w:tc>
          <w:tcPr>
            <w:tcW w:w="792"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二级</w:t>
            </w:r>
          </w:p>
        </w:tc>
        <w:tc>
          <w:tcPr>
            <w:tcW w:w="792"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三级</w:t>
            </w:r>
          </w:p>
        </w:tc>
        <w:tc>
          <w:tcPr>
            <w:tcW w:w="792"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三级</w:t>
            </w:r>
          </w:p>
        </w:tc>
        <w:tc>
          <w:tcPr>
            <w:tcW w:w="792"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三级</w:t>
            </w:r>
          </w:p>
        </w:tc>
        <w:tc>
          <w:tcPr>
            <w:tcW w:w="793"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20"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不敏感</w:t>
            </w:r>
          </w:p>
        </w:tc>
        <w:tc>
          <w:tcPr>
            <w:tcW w:w="723"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一级</w:t>
            </w:r>
          </w:p>
        </w:tc>
        <w:tc>
          <w:tcPr>
            <w:tcW w:w="791"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二级</w:t>
            </w:r>
          </w:p>
        </w:tc>
        <w:tc>
          <w:tcPr>
            <w:tcW w:w="792"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二级</w:t>
            </w:r>
          </w:p>
        </w:tc>
        <w:tc>
          <w:tcPr>
            <w:tcW w:w="792"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二级</w:t>
            </w:r>
          </w:p>
        </w:tc>
        <w:tc>
          <w:tcPr>
            <w:tcW w:w="792"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三级</w:t>
            </w:r>
          </w:p>
        </w:tc>
        <w:tc>
          <w:tcPr>
            <w:tcW w:w="792"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三级</w:t>
            </w:r>
          </w:p>
        </w:tc>
        <w:tc>
          <w:tcPr>
            <w:tcW w:w="792"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三级</w:t>
            </w:r>
          </w:p>
        </w:tc>
        <w:tc>
          <w:tcPr>
            <w:tcW w:w="792"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w:t>
            </w:r>
          </w:p>
        </w:tc>
        <w:tc>
          <w:tcPr>
            <w:tcW w:w="793" w:type="dxa"/>
            <w:vAlign w:val="center"/>
          </w:tcPr>
          <w:p>
            <w:pPr>
              <w:snapToGrid w:val="0"/>
              <w:spacing w:line="240" w:lineRule="auto"/>
              <w:ind w:firstLine="0" w:firstLineChars="0"/>
              <w:jc w:val="center"/>
              <w:rPr>
                <w:rFonts w:ascii="Times New Roman" w:cs="Times New Roman"/>
                <w:sz w:val="21"/>
                <w:szCs w:val="21"/>
              </w:rPr>
            </w:pPr>
            <w:r>
              <w:rPr>
                <w:rFonts w:asci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79" w:type="dxa"/>
            <w:gridSpan w:val="10"/>
            <w:vAlign w:val="center"/>
          </w:tcPr>
          <w:p>
            <w:pPr>
              <w:snapToGrid w:val="0"/>
              <w:spacing w:line="240" w:lineRule="auto"/>
              <w:ind w:firstLine="0" w:firstLineChars="0"/>
              <w:rPr>
                <w:rFonts w:ascii="Times New Roman" w:cs="Times New Roman"/>
                <w:sz w:val="21"/>
                <w:szCs w:val="21"/>
              </w:rPr>
            </w:pPr>
            <w:r>
              <w:rPr>
                <w:rFonts w:ascii="Times New Roman" w:cs="Times New Roman"/>
                <w:sz w:val="21"/>
                <w:szCs w:val="21"/>
              </w:rPr>
              <w:t>注：“-”表示可不开展土壤环境影响评价工作</w:t>
            </w:r>
          </w:p>
        </w:tc>
      </w:tr>
    </w:tbl>
    <w:p>
      <w:pPr>
        <w:pStyle w:val="112"/>
        <w:ind w:firstLine="480"/>
        <w:rPr>
          <w:color w:val="FF0000"/>
        </w:rPr>
      </w:pPr>
      <w:r>
        <w:t>根据《环境影响评价技术导则</w:t>
      </w:r>
      <w:r>
        <w:rPr>
          <w:rFonts w:hint="eastAsia"/>
        </w:rPr>
        <w:t xml:space="preserve"> </w:t>
      </w:r>
      <w:r>
        <w:t>土壤环境（试行）》（HJ964-2018）第6.2.2.3条规定，项目普陆4集气平台土壤环境评价工作等级均为二级，</w:t>
      </w:r>
      <w:r>
        <w:rPr>
          <w:color w:val="FF0000"/>
        </w:rPr>
        <w:t>集输管线段</w:t>
      </w:r>
      <w:r>
        <w:rPr>
          <w:rFonts w:hint="eastAsia"/>
          <w:color w:val="FF0000"/>
        </w:rPr>
        <w:t>不涉及</w:t>
      </w:r>
      <w:r>
        <w:rPr>
          <w:color w:val="FF0000"/>
        </w:rPr>
        <w:t>评价等级</w:t>
      </w:r>
      <w:r>
        <w:rPr>
          <w:rFonts w:hint="eastAsia"/>
          <w:color w:val="FF0000"/>
        </w:rPr>
        <w:t>，</w:t>
      </w:r>
      <w:r>
        <w:rPr>
          <w:color w:val="FF0000"/>
        </w:rPr>
        <w:t>因此重点对普陆4集气平台开展土壤评价。</w:t>
      </w:r>
    </w:p>
    <w:p>
      <w:pPr>
        <w:ind w:firstLine="487" w:firstLineChars="199"/>
        <w:rPr>
          <w:rFonts w:ascii="Times New Roman" w:cs="Times New Roman"/>
          <w:b/>
          <w:bCs/>
          <w:spacing w:val="2"/>
          <w:kern w:val="2"/>
          <w:position w:val="2"/>
          <w:szCs w:val="22"/>
        </w:rPr>
      </w:pPr>
      <w:r>
        <w:rPr>
          <w:rFonts w:ascii="Times New Roman" w:cs="Times New Roman"/>
          <w:b/>
          <w:bCs/>
          <w:spacing w:val="2"/>
          <w:kern w:val="2"/>
          <w:position w:val="2"/>
          <w:szCs w:val="22"/>
        </w:rPr>
        <w:t>2、评价范围</w:t>
      </w:r>
    </w:p>
    <w:p>
      <w:pPr>
        <w:pStyle w:val="112"/>
        <w:ind w:firstLine="480"/>
      </w:pPr>
      <w:r>
        <w:t>本项目为土壤二级评价，重点针对主要站场位置（普陆4集气平台）进行评价，因此评价范围为站场外200m。</w:t>
      </w:r>
    </w:p>
    <w:p>
      <w:pPr>
        <w:keepNext/>
        <w:keepLines/>
        <w:ind w:firstLine="0" w:firstLineChars="0"/>
        <w:outlineLvl w:val="2"/>
        <w:rPr>
          <w:rFonts w:ascii="Times New Roman" w:cs="Times New Roman"/>
          <w:b/>
          <w:szCs w:val="32"/>
        </w:rPr>
      </w:pPr>
      <w:r>
        <w:rPr>
          <w:rFonts w:ascii="Times New Roman" w:cs="Times New Roman"/>
          <w:b/>
          <w:szCs w:val="32"/>
        </w:rPr>
        <w:t>1.6.7 环境风险</w:t>
      </w:r>
    </w:p>
    <w:p>
      <w:pPr>
        <w:ind w:firstLine="490"/>
        <w:rPr>
          <w:rFonts w:ascii="Times New Roman" w:cs="Times New Roman"/>
          <w:b/>
          <w:bCs/>
          <w:spacing w:val="2"/>
          <w:kern w:val="2"/>
          <w:position w:val="2"/>
          <w:szCs w:val="22"/>
        </w:rPr>
      </w:pPr>
      <w:bookmarkStart w:id="72" w:name="_Hlk53171179"/>
      <w:r>
        <w:rPr>
          <w:rFonts w:ascii="Times New Roman" w:cs="Times New Roman"/>
          <w:b/>
          <w:bCs/>
          <w:spacing w:val="2"/>
          <w:kern w:val="2"/>
          <w:position w:val="2"/>
          <w:szCs w:val="22"/>
        </w:rPr>
        <w:t>1、评价等级</w:t>
      </w:r>
    </w:p>
    <w:p>
      <w:pPr>
        <w:pStyle w:val="112"/>
        <w:ind w:firstLine="480"/>
      </w:pPr>
      <w:r>
        <w:t>根据《建设项目环境风险评价技术导则》（HJ169-2018）中关于环境风险评价工作等级的划分方法，</w:t>
      </w:r>
      <w:r>
        <w:rPr>
          <w:color w:val="FF0000"/>
        </w:rPr>
        <w:t>本工程输送的介质为不含硫天然气，同时本项目涉及柴油</w:t>
      </w:r>
      <w:r>
        <w:rPr>
          <w:rFonts w:hint="eastAsia"/>
          <w:color w:val="FF0000"/>
        </w:rPr>
        <w:t>、凝析油</w:t>
      </w:r>
      <w:r>
        <w:rPr>
          <w:color w:val="FF0000"/>
        </w:rPr>
        <w:t>储存</w:t>
      </w:r>
      <w:r>
        <w:rPr>
          <w:rFonts w:hint="eastAsia"/>
          <w:color w:val="FF0000"/>
        </w:rPr>
        <w:t>，</w:t>
      </w:r>
      <w:r>
        <w:rPr>
          <w:color w:val="FF0000"/>
        </w:rPr>
        <w:t>项目涉及的主要危险有害物质为甲烷、柴油</w:t>
      </w:r>
      <w:r>
        <w:rPr>
          <w:rFonts w:hint="eastAsia"/>
          <w:color w:val="FF0000"/>
        </w:rPr>
        <w:t>、凝析油</w:t>
      </w:r>
      <w:r>
        <w:rPr>
          <w:rFonts w:hint="eastAsia"/>
        </w:rPr>
        <w:t>。</w:t>
      </w:r>
      <w:r>
        <w:t>由于</w:t>
      </w:r>
      <w:r>
        <w:rPr>
          <w:rFonts w:hint="eastAsia"/>
        </w:rPr>
        <w:t>压裂、洗井废水</w:t>
      </w:r>
      <w:r>
        <w:t>不属于《建设项目</w:t>
      </w:r>
      <w:r>
        <w:rPr>
          <w:rFonts w:hint="eastAsia"/>
        </w:rPr>
        <w:t>环境</w:t>
      </w:r>
      <w:r>
        <w:t>风险评价技术导则》（HJ169-2018），附录B中重点关注的危险物质，根据分析</w:t>
      </w:r>
      <w:r>
        <w:rPr>
          <w:rFonts w:hint="eastAsia"/>
        </w:rPr>
        <w:t>压裂、洗井废水</w:t>
      </w:r>
      <w:r>
        <w:t>属于危害水环境物质，但不属于急性毒性类别1中物质。故不作为环境风险等级判定物质，本次评价仅对其在储存过程中的风险提出措施。</w:t>
      </w:r>
    </w:p>
    <w:p>
      <w:pPr>
        <w:pStyle w:val="112"/>
        <w:ind w:firstLine="480"/>
      </w:pPr>
      <w:r>
        <w:t>根据地7章环境风险分析，本项目危险</w:t>
      </w:r>
      <w:r>
        <w:rPr>
          <w:rFonts w:hint="eastAsia"/>
        </w:rPr>
        <w:t>物质</w:t>
      </w:r>
      <w:r>
        <w:t>最大存在量Q=</w:t>
      </w:r>
      <w:r>
        <w:rPr>
          <w:rFonts w:hint="eastAsia"/>
        </w:rPr>
        <w:t>1.0787，Q值划分为（1）1＜Q≤10；</w:t>
      </w:r>
      <w:r>
        <w:rPr>
          <w:kern w:val="2"/>
        </w:rPr>
        <w:t>本项目行业及生产工艺M为</w:t>
      </w:r>
      <w:r>
        <w:rPr>
          <w:rFonts w:hint="eastAsia"/>
          <w:kern w:val="2"/>
        </w:rPr>
        <w:t>15</w:t>
      </w:r>
      <w:r>
        <w:rPr>
          <w:kern w:val="2"/>
        </w:rPr>
        <w:t>，属于</w:t>
      </w:r>
      <w:r>
        <w:rPr>
          <w:rFonts w:hint="eastAsia"/>
          <w:kern w:val="2"/>
        </w:rPr>
        <w:t>（2）</w:t>
      </w:r>
      <w:r>
        <w:rPr>
          <w:kern w:val="2"/>
        </w:rPr>
        <w:t>10＜M≤20</w:t>
      </w:r>
      <w:r>
        <w:rPr>
          <w:rFonts w:hint="eastAsia"/>
          <w:kern w:val="2"/>
        </w:rPr>
        <w:t>（以</w:t>
      </w:r>
      <w:r>
        <w:rPr>
          <w:kern w:val="2"/>
        </w:rPr>
        <w:t>M</w:t>
      </w:r>
      <w:r>
        <w:rPr>
          <w:rFonts w:hint="eastAsia"/>
          <w:kern w:val="2"/>
        </w:rPr>
        <w:t>2表示）；</w:t>
      </w:r>
      <w:r>
        <w:rPr>
          <w:kern w:val="2"/>
        </w:rPr>
        <w:t>本项目危险物质及工艺系统危险性等级（P）划分为</w:t>
      </w:r>
      <w:r>
        <w:rPr>
          <w:rFonts w:hint="eastAsia"/>
          <w:kern w:val="2"/>
        </w:rPr>
        <w:t>P3，</w:t>
      </w:r>
      <w:r>
        <w:rPr>
          <w:kern w:val="2"/>
        </w:rPr>
        <w:t>大气环境敏感程度为E</w:t>
      </w:r>
      <w:r>
        <w:rPr>
          <w:rFonts w:hint="eastAsia"/>
          <w:kern w:val="2"/>
        </w:rPr>
        <w:t>3，</w:t>
      </w:r>
      <w:r>
        <w:rPr>
          <w:kern w:val="2"/>
        </w:rPr>
        <w:t>地表水环境敏感程度为E2</w:t>
      </w:r>
      <w:r>
        <w:rPr>
          <w:rFonts w:hint="eastAsia"/>
          <w:kern w:val="2"/>
        </w:rPr>
        <w:t>，</w:t>
      </w:r>
      <w:r>
        <w:rPr>
          <w:kern w:val="2"/>
        </w:rPr>
        <w:t>地下水环境敏感程度为E3</w:t>
      </w:r>
      <w:r>
        <w:rPr>
          <w:rFonts w:hint="eastAsia"/>
          <w:kern w:val="2"/>
        </w:rPr>
        <w:t>；</w:t>
      </w:r>
      <w:r>
        <w:rPr>
          <w:kern w:val="2"/>
        </w:rPr>
        <w:t>根据《建设项目环境风险评价技术导则》（HJ169-2018）中关于环境风险评价工作等级的划分方法，本项目风险潜势为</w:t>
      </w:r>
      <w:r>
        <w:rPr>
          <w:rFonts w:hint="eastAsia" w:ascii="宋体" w:hAnsi="宋体" w:cs="宋体"/>
          <w:kern w:val="2"/>
        </w:rPr>
        <w:t>Ⅲ</w:t>
      </w:r>
      <w:r>
        <w:rPr>
          <w:kern w:val="2"/>
        </w:rPr>
        <w:t>，确定本项目环境风险评价等级为</w:t>
      </w:r>
      <w:r>
        <w:rPr>
          <w:rFonts w:hint="eastAsia"/>
          <w:kern w:val="2"/>
        </w:rPr>
        <w:t>二级</w:t>
      </w:r>
      <w:r>
        <w:rPr>
          <w:kern w:val="2"/>
        </w:rPr>
        <w:t>。</w:t>
      </w:r>
    </w:p>
    <w:p>
      <w:pPr>
        <w:ind w:firstLine="490"/>
        <w:rPr>
          <w:rFonts w:ascii="Times New Roman" w:cs="Times New Roman"/>
          <w:b/>
          <w:bCs/>
          <w:spacing w:val="2"/>
          <w:kern w:val="2"/>
          <w:position w:val="2"/>
          <w:szCs w:val="22"/>
        </w:rPr>
      </w:pPr>
      <w:bookmarkStart w:id="73" w:name="_Hlk53176163"/>
      <w:r>
        <w:rPr>
          <w:rFonts w:ascii="Times New Roman" w:cs="Times New Roman"/>
          <w:b/>
          <w:bCs/>
          <w:spacing w:val="2"/>
          <w:kern w:val="2"/>
          <w:position w:val="2"/>
          <w:szCs w:val="22"/>
        </w:rPr>
        <w:t>2、评价范围</w:t>
      </w:r>
    </w:p>
    <w:bookmarkEnd w:id="72"/>
    <w:p>
      <w:pPr>
        <w:pStyle w:val="112"/>
        <w:ind w:firstLine="480"/>
      </w:pPr>
      <w:r>
        <w:t>风险评价范围为沿管线两侧各</w:t>
      </w:r>
      <w:r>
        <w:rPr>
          <w:rFonts w:hint="eastAsia"/>
        </w:rPr>
        <w:t>2</w:t>
      </w:r>
      <w:r>
        <w:t>00m的带状区域</w:t>
      </w:r>
      <w:r>
        <w:rPr>
          <w:rFonts w:hint="eastAsia"/>
        </w:rPr>
        <w:t>，</w:t>
      </w:r>
      <w:r>
        <w:t>站场</w:t>
      </w:r>
      <w:r>
        <w:rPr>
          <w:rFonts w:hint="eastAsia"/>
        </w:rPr>
        <w:t>周边5km区域</w:t>
      </w:r>
      <w:r>
        <w:t>。</w:t>
      </w:r>
    </w:p>
    <w:bookmarkEnd w:id="73"/>
    <w:p>
      <w:pPr>
        <w:keepNext/>
        <w:keepLines/>
        <w:ind w:firstLine="0" w:firstLineChars="0"/>
        <w:outlineLvl w:val="2"/>
        <w:rPr>
          <w:rFonts w:ascii="Times New Roman" w:cs="Times New Roman"/>
          <w:b/>
          <w:szCs w:val="32"/>
        </w:rPr>
      </w:pPr>
      <w:r>
        <w:rPr>
          <w:rFonts w:ascii="Times New Roman" w:cs="Times New Roman"/>
          <w:b/>
          <w:szCs w:val="32"/>
        </w:rPr>
        <w:t>1.6.8 工作等级的评价范围表</w:t>
      </w:r>
    </w:p>
    <w:p>
      <w:pPr>
        <w:pStyle w:val="37"/>
        <w:rPr>
          <w:rFonts w:cs="Times New Roman"/>
        </w:rPr>
      </w:pPr>
      <w:r>
        <w:rPr>
          <w:rFonts w:cs="Times New Roman"/>
        </w:rPr>
        <w:t>表1.6-</w:t>
      </w:r>
      <w:r>
        <w:rPr>
          <w:rFonts w:hint="eastAsia" w:cs="Times New Roman"/>
        </w:rPr>
        <w:t>9</w:t>
      </w:r>
      <w:r>
        <w:rPr>
          <w:rFonts w:cs="Times New Roman"/>
        </w:rPr>
        <w:t xml:space="preserve">  项目的工作等级和范围</w:t>
      </w:r>
    </w:p>
    <w:tbl>
      <w:tblPr>
        <w:tblStyle w:val="57"/>
        <w:tblW w:w="5302"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948"/>
        <w:gridCol w:w="883"/>
        <w:gridCol w:w="1446"/>
        <w:gridCol w:w="553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6" w:hRule="atLeast"/>
          <w:jc w:val="center"/>
        </w:trPr>
        <w:tc>
          <w:tcPr>
            <w:tcW w:w="1039" w:type="pct"/>
            <w:gridSpan w:val="2"/>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评价内容</w:t>
            </w:r>
          </w:p>
        </w:tc>
        <w:tc>
          <w:tcPr>
            <w:tcW w:w="821" w:type="pct"/>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工作等级</w:t>
            </w:r>
          </w:p>
        </w:tc>
        <w:tc>
          <w:tcPr>
            <w:tcW w:w="3140" w:type="pct"/>
            <w:vAlign w:val="center"/>
          </w:tcPr>
          <w:p>
            <w:pPr>
              <w:topLinePunct w:val="0"/>
              <w:adjustRightInd/>
              <w:spacing w:line="240" w:lineRule="auto"/>
              <w:ind w:firstLine="0" w:firstLineChars="0"/>
              <w:jc w:val="center"/>
              <w:rPr>
                <w:rFonts w:ascii="Times New Roman" w:cs="Times New Roman"/>
                <w:b/>
                <w:bCs/>
                <w:kern w:val="2"/>
                <w:sz w:val="21"/>
              </w:rPr>
            </w:pPr>
            <w:r>
              <w:rPr>
                <w:rFonts w:ascii="Times New Roman" w:cs="Times New Roman"/>
                <w:b/>
                <w:bCs/>
                <w:kern w:val="2"/>
                <w:sz w:val="21"/>
              </w:rPr>
              <w:t>评价范围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6" w:hRule="atLeast"/>
          <w:jc w:val="center"/>
        </w:trPr>
        <w:tc>
          <w:tcPr>
            <w:tcW w:w="1039" w:type="pct"/>
            <w:gridSpan w:val="2"/>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生态环境</w:t>
            </w:r>
          </w:p>
        </w:tc>
        <w:tc>
          <w:tcPr>
            <w:tcW w:w="821" w:type="pct"/>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二</w:t>
            </w:r>
            <w:r>
              <w:rPr>
                <w:rFonts w:ascii="Times New Roman" w:cs="Times New Roman"/>
                <w:kern w:val="2"/>
                <w:sz w:val="21"/>
              </w:rPr>
              <w:t>级</w:t>
            </w:r>
          </w:p>
        </w:tc>
        <w:tc>
          <w:tcPr>
            <w:tcW w:w="3140" w:type="pct"/>
            <w:vAlign w:val="center"/>
          </w:tcPr>
          <w:p>
            <w:pPr>
              <w:topLinePunct w:val="0"/>
              <w:adjustRightInd/>
              <w:spacing w:line="240" w:lineRule="auto"/>
              <w:ind w:firstLine="0" w:firstLineChars="0"/>
              <w:jc w:val="center"/>
              <w:rPr>
                <w:rFonts w:ascii="Times New Roman" w:cs="Times New Roman"/>
                <w:color w:val="FF0000"/>
                <w:kern w:val="2"/>
                <w:sz w:val="21"/>
              </w:rPr>
            </w:pPr>
            <w:r>
              <w:rPr>
                <w:rFonts w:ascii="Times New Roman" w:cs="Times New Roman"/>
                <w:color w:val="FF0000"/>
                <w:kern w:val="2"/>
                <w:sz w:val="21"/>
              </w:rPr>
              <w:t>为沿管道两侧各</w:t>
            </w:r>
            <w:r>
              <w:rPr>
                <w:rFonts w:hint="eastAsia" w:ascii="Times New Roman" w:cs="Times New Roman"/>
                <w:color w:val="FF0000"/>
                <w:kern w:val="2"/>
                <w:sz w:val="21"/>
              </w:rPr>
              <w:t>3</w:t>
            </w:r>
            <w:r>
              <w:rPr>
                <w:rFonts w:ascii="Times New Roman" w:cs="Times New Roman"/>
                <w:color w:val="FF0000"/>
                <w:kern w:val="2"/>
                <w:sz w:val="21"/>
              </w:rPr>
              <w:t>00m，站场周边</w:t>
            </w:r>
            <w:r>
              <w:rPr>
                <w:rFonts w:hint="eastAsia" w:ascii="Times New Roman" w:cs="Times New Roman"/>
                <w:color w:val="FF0000"/>
                <w:kern w:val="2"/>
                <w:sz w:val="21"/>
              </w:rPr>
              <w:t>20</w:t>
            </w:r>
            <w:r>
              <w:rPr>
                <w:rFonts w:ascii="Times New Roman" w:cs="Times New Roman"/>
                <w:color w:val="FF0000"/>
                <w:kern w:val="2"/>
                <w:sz w:val="21"/>
              </w:rPr>
              <w:t>00m范围，并对管道沿线涉及的生态环境敏感目标进行调查。</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6" w:hRule="atLeast"/>
          <w:jc w:val="center"/>
        </w:trPr>
        <w:tc>
          <w:tcPr>
            <w:tcW w:w="1039" w:type="pct"/>
            <w:gridSpan w:val="2"/>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环境空气</w:t>
            </w:r>
          </w:p>
        </w:tc>
        <w:tc>
          <w:tcPr>
            <w:tcW w:w="821" w:type="pct"/>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三级</w:t>
            </w:r>
          </w:p>
        </w:tc>
        <w:tc>
          <w:tcPr>
            <w:tcW w:w="3140" w:type="pct"/>
            <w:vAlign w:val="center"/>
          </w:tcPr>
          <w:p>
            <w:pPr>
              <w:topLinePunct w:val="0"/>
              <w:adjustRightInd/>
              <w:spacing w:line="240" w:lineRule="auto"/>
              <w:ind w:firstLine="0" w:firstLineChars="0"/>
              <w:jc w:val="center"/>
              <w:rPr>
                <w:rFonts w:ascii="Times New Roman" w:cs="Times New Roman"/>
                <w:kern w:val="2"/>
                <w:sz w:val="21"/>
              </w:rPr>
            </w:pPr>
            <w:r>
              <w:rPr>
                <w:rFonts w:hint="eastAsia" w:ascii="Times New Roman" w:cs="Times New Roman"/>
                <w:kern w:val="2"/>
                <w:sz w:val="21"/>
              </w:rPr>
              <w:t>以普陆4集气平台为中心</w:t>
            </w:r>
            <w:r>
              <w:rPr>
                <w:rFonts w:ascii="Times New Roman" w:cs="Times New Roman"/>
                <w:kern w:val="2"/>
                <w:sz w:val="21"/>
              </w:rPr>
              <w:t>，边长为5km的矩形区域</w:t>
            </w:r>
            <w:r>
              <w:rPr>
                <w:rFonts w:hint="eastAsia" w:ascii="Times New Roman" w:cs="Times New Roman"/>
                <w:kern w:val="2"/>
                <w:sz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6" w:hRule="atLeast"/>
          <w:jc w:val="center"/>
        </w:trPr>
        <w:tc>
          <w:tcPr>
            <w:tcW w:w="1039" w:type="pct"/>
            <w:gridSpan w:val="2"/>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地表水</w:t>
            </w:r>
          </w:p>
        </w:tc>
        <w:tc>
          <w:tcPr>
            <w:tcW w:w="821" w:type="pct"/>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三级B</w:t>
            </w:r>
          </w:p>
        </w:tc>
        <w:tc>
          <w:tcPr>
            <w:tcW w:w="3140" w:type="pct"/>
            <w:vAlign w:val="center"/>
          </w:tcPr>
          <w:p>
            <w:pPr>
              <w:topLinePunct w:val="0"/>
              <w:adjustRightInd/>
              <w:spacing w:line="240" w:lineRule="auto"/>
              <w:ind w:firstLine="0" w:firstLineChars="0"/>
              <w:jc w:val="center"/>
              <w:rPr>
                <w:rFonts w:ascii="Times New Roman" w:cs="Times New Roman"/>
                <w:color w:val="FF0000"/>
                <w:kern w:val="2"/>
                <w:sz w:val="21"/>
              </w:rPr>
            </w:pPr>
            <w:r>
              <w:rPr>
                <w:rFonts w:ascii="Times New Roman" w:cs="Times New Roman"/>
                <w:color w:val="FF0000"/>
                <w:kern w:val="2"/>
                <w:sz w:val="21"/>
              </w:rPr>
              <w:t>主要对污、废水的产生情况以及</w:t>
            </w:r>
            <w:r>
              <w:rPr>
                <w:rFonts w:hint="eastAsia" w:ascii="Times New Roman" w:cs="Times New Roman"/>
                <w:color w:val="FF0000"/>
                <w:kern w:val="2"/>
                <w:sz w:val="21"/>
              </w:rPr>
              <w:t>依托污水处理设施环境可行性分析</w:t>
            </w:r>
            <w:r>
              <w:rPr>
                <w:rFonts w:ascii="Times New Roman" w:cs="Times New Roman"/>
                <w:color w:val="FF0000"/>
                <w:kern w:val="2"/>
                <w:sz w:val="21"/>
              </w:rPr>
              <w:t>，并对</w:t>
            </w:r>
            <w:r>
              <w:rPr>
                <w:rFonts w:hint="eastAsia" w:ascii="Times New Roman" w:cs="Times New Roman"/>
                <w:color w:val="FF0000"/>
                <w:kern w:val="2"/>
                <w:sz w:val="21"/>
              </w:rPr>
              <w:t>涉及地表水环境风险影响范围所及的水环境保护目标水域进行分析</w:t>
            </w:r>
            <w:r>
              <w:rPr>
                <w:rFonts w:ascii="Times New Roman" w:cs="Times New Roman"/>
                <w:color w:val="FF0000"/>
                <w:kern w:val="2"/>
                <w:sz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6" w:hRule="atLeast"/>
          <w:jc w:val="center"/>
        </w:trPr>
        <w:tc>
          <w:tcPr>
            <w:tcW w:w="1039" w:type="pct"/>
            <w:gridSpan w:val="2"/>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地下水</w:t>
            </w:r>
          </w:p>
        </w:tc>
        <w:tc>
          <w:tcPr>
            <w:tcW w:w="821" w:type="pct"/>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三级</w:t>
            </w:r>
          </w:p>
        </w:tc>
        <w:tc>
          <w:tcPr>
            <w:tcW w:w="3140" w:type="pct"/>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bCs/>
                <w:sz w:val="21"/>
                <w:szCs w:val="20"/>
              </w:rPr>
              <w:t>普陆4集气平台</w:t>
            </w:r>
            <w:r>
              <w:rPr>
                <w:rFonts w:hint="eastAsia" w:ascii="Times New Roman" w:cs="Times New Roman"/>
                <w:kern w:val="2"/>
                <w:sz w:val="21"/>
              </w:rPr>
              <w:t>周边24.5km</w:t>
            </w:r>
            <w:r>
              <w:rPr>
                <w:rFonts w:hint="eastAsia" w:ascii="Times New Roman" w:cs="Times New Roman"/>
                <w:kern w:val="2"/>
                <w:sz w:val="21"/>
                <w:vertAlign w:val="superscript"/>
              </w:rPr>
              <w:t>2</w:t>
            </w:r>
            <w:r>
              <w:rPr>
                <w:rFonts w:hint="eastAsia" w:ascii="Times New Roman" w:cs="Times New Roman"/>
                <w:kern w:val="2"/>
                <w:sz w:val="21"/>
              </w:rPr>
              <w:t>，四至范围为：东至沙坝村，南至张家湾，西至后河，北至中河；</w:t>
            </w:r>
            <w:r>
              <w:rPr>
                <w:rFonts w:ascii="Times New Roman" w:cs="Times New Roman"/>
                <w:kern w:val="2"/>
                <w:sz w:val="21"/>
              </w:rPr>
              <w:t>管道沿线两侧各200m的带状区域</w:t>
            </w:r>
            <w:r>
              <w:rPr>
                <w:rFonts w:hint="eastAsia" w:ascii="Times New Roman" w:cs="Times New Roman"/>
                <w:kern w:val="2"/>
                <w:sz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22" w:hRule="atLeast"/>
          <w:jc w:val="center"/>
        </w:trPr>
        <w:tc>
          <w:tcPr>
            <w:tcW w:w="1039" w:type="pct"/>
            <w:gridSpan w:val="2"/>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噪声</w:t>
            </w:r>
          </w:p>
        </w:tc>
        <w:tc>
          <w:tcPr>
            <w:tcW w:w="821" w:type="pct"/>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二级</w:t>
            </w:r>
          </w:p>
        </w:tc>
        <w:tc>
          <w:tcPr>
            <w:tcW w:w="3140" w:type="pct"/>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施工期：沿线两侧各200m范围内的村庄或居民区。</w:t>
            </w:r>
          </w:p>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营运期：站场周边200m范围内的村庄或居民区。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50" w:hRule="atLeast"/>
          <w:jc w:val="center"/>
        </w:trPr>
        <w:tc>
          <w:tcPr>
            <w:tcW w:w="538" w:type="pct"/>
            <w:vMerge w:val="restart"/>
            <w:tcBorders>
              <w:right w:val="single" w:color="000000" w:sz="2"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土壤</w:t>
            </w:r>
          </w:p>
        </w:tc>
        <w:tc>
          <w:tcPr>
            <w:tcW w:w="501" w:type="pct"/>
            <w:tcBorders>
              <w:left w:val="single" w:color="000000" w:sz="2" w:space="0"/>
              <w:bottom w:val="single" w:color="000000" w:sz="2"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管线</w:t>
            </w:r>
          </w:p>
        </w:tc>
        <w:tc>
          <w:tcPr>
            <w:tcW w:w="821" w:type="pct"/>
            <w:tcBorders>
              <w:bottom w:val="single" w:color="000000" w:sz="2"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不开展评价</w:t>
            </w:r>
          </w:p>
        </w:tc>
        <w:tc>
          <w:tcPr>
            <w:tcW w:w="3140" w:type="pct"/>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6" w:hRule="atLeast"/>
          <w:jc w:val="center"/>
        </w:trPr>
        <w:tc>
          <w:tcPr>
            <w:tcW w:w="538" w:type="pct"/>
            <w:vMerge w:val="continue"/>
            <w:tcBorders>
              <w:right w:val="single" w:color="000000" w:sz="2"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501" w:type="pct"/>
            <w:tcBorders>
              <w:top w:val="single" w:color="000000" w:sz="2" w:space="0"/>
              <w:left w:val="single" w:color="000000" w:sz="2" w:space="0"/>
              <w:bottom w:val="single" w:color="000000" w:sz="2"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场站</w:t>
            </w:r>
          </w:p>
        </w:tc>
        <w:tc>
          <w:tcPr>
            <w:tcW w:w="821" w:type="pct"/>
            <w:tcBorders>
              <w:top w:val="single" w:color="000000" w:sz="2" w:space="0"/>
              <w:bottom w:val="single" w:color="000000" w:sz="2"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二级</w:t>
            </w:r>
          </w:p>
        </w:tc>
        <w:tc>
          <w:tcPr>
            <w:tcW w:w="3140" w:type="pct"/>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站场外200m范围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38" w:type="pct"/>
            <w:vMerge w:val="restart"/>
            <w:tcBorders>
              <w:right w:val="single" w:color="000000" w:sz="2"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环境风险</w:t>
            </w:r>
          </w:p>
        </w:tc>
        <w:tc>
          <w:tcPr>
            <w:tcW w:w="501" w:type="pct"/>
            <w:tcBorders>
              <w:top w:val="single" w:color="000000" w:sz="2" w:space="0"/>
              <w:left w:val="single" w:color="000000" w:sz="2" w:space="0"/>
              <w:bottom w:val="single" w:color="000000" w:sz="2"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管线</w:t>
            </w:r>
          </w:p>
        </w:tc>
        <w:tc>
          <w:tcPr>
            <w:tcW w:w="821" w:type="pct"/>
            <w:tcBorders>
              <w:top w:val="single" w:color="000000" w:sz="2" w:space="0"/>
              <w:bottom w:val="single" w:color="000000" w:sz="2"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二级</w:t>
            </w:r>
          </w:p>
        </w:tc>
        <w:tc>
          <w:tcPr>
            <w:tcW w:w="3140" w:type="pct"/>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管道沿线两侧各</w:t>
            </w:r>
            <w:r>
              <w:rPr>
                <w:rFonts w:hint="eastAsia" w:ascii="Times New Roman" w:cs="Times New Roman"/>
                <w:kern w:val="2"/>
                <w:sz w:val="21"/>
              </w:rPr>
              <w:t>2</w:t>
            </w:r>
            <w:r>
              <w:rPr>
                <w:rFonts w:ascii="Times New Roman" w:cs="Times New Roman"/>
                <w:kern w:val="2"/>
                <w:sz w:val="21"/>
              </w:rPr>
              <w:t>00m的带状区域</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6" w:hRule="atLeast"/>
          <w:jc w:val="center"/>
        </w:trPr>
        <w:tc>
          <w:tcPr>
            <w:tcW w:w="538" w:type="pct"/>
            <w:vMerge w:val="continue"/>
            <w:tcBorders>
              <w:right w:val="single" w:color="000000" w:sz="2" w:space="0"/>
            </w:tcBorders>
            <w:vAlign w:val="center"/>
          </w:tcPr>
          <w:p>
            <w:pPr>
              <w:topLinePunct w:val="0"/>
              <w:adjustRightInd/>
              <w:spacing w:line="240" w:lineRule="auto"/>
              <w:ind w:firstLine="0" w:firstLineChars="0"/>
              <w:jc w:val="center"/>
              <w:rPr>
                <w:rFonts w:ascii="Times New Roman" w:cs="Times New Roman"/>
                <w:kern w:val="2"/>
                <w:sz w:val="21"/>
              </w:rPr>
            </w:pPr>
          </w:p>
        </w:tc>
        <w:tc>
          <w:tcPr>
            <w:tcW w:w="501" w:type="pct"/>
            <w:tcBorders>
              <w:top w:val="single" w:color="000000" w:sz="2" w:space="0"/>
              <w:left w:val="single" w:color="000000" w:sz="2"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场站</w:t>
            </w:r>
          </w:p>
        </w:tc>
        <w:tc>
          <w:tcPr>
            <w:tcW w:w="821" w:type="pct"/>
            <w:tcBorders>
              <w:top w:val="single" w:color="000000" w:sz="2" w:space="0"/>
            </w:tcBorders>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二级</w:t>
            </w:r>
          </w:p>
        </w:tc>
        <w:tc>
          <w:tcPr>
            <w:tcW w:w="3140" w:type="pct"/>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站场周边5</w:t>
            </w:r>
            <w:r>
              <w:rPr>
                <w:rFonts w:hint="eastAsia" w:ascii="Times New Roman" w:cs="Times New Roman"/>
                <w:kern w:val="2"/>
                <w:sz w:val="21"/>
              </w:rPr>
              <w:t>k</w:t>
            </w:r>
            <w:r>
              <w:rPr>
                <w:rFonts w:ascii="Times New Roman" w:cs="Times New Roman"/>
                <w:kern w:val="2"/>
                <w:sz w:val="21"/>
              </w:rPr>
              <w:t>m区域</w:t>
            </w:r>
          </w:p>
        </w:tc>
      </w:tr>
    </w:tbl>
    <w:p>
      <w:pPr>
        <w:keepNext/>
        <w:keepLines/>
        <w:spacing w:before="120"/>
        <w:ind w:firstLine="0" w:firstLineChars="0"/>
        <w:outlineLvl w:val="1"/>
        <w:rPr>
          <w:rFonts w:ascii="Times New Roman" w:cs="Times New Roman"/>
          <w:b/>
          <w:bCs/>
          <w:sz w:val="28"/>
          <w:szCs w:val="32"/>
        </w:rPr>
      </w:pPr>
      <w:bookmarkStart w:id="74" w:name="bookmark8"/>
      <w:bookmarkEnd w:id="74"/>
      <w:bookmarkStart w:id="75" w:name="bookmark6"/>
      <w:bookmarkEnd w:id="75"/>
      <w:bookmarkStart w:id="76" w:name="_Toc81515256"/>
      <w:bookmarkStart w:id="77" w:name="_Toc19815944"/>
      <w:bookmarkStart w:id="78" w:name="_Toc12288391"/>
      <w:r>
        <w:rPr>
          <w:rFonts w:ascii="Times New Roman" w:cs="Times New Roman"/>
          <w:b/>
          <w:bCs/>
          <w:sz w:val="28"/>
          <w:szCs w:val="32"/>
        </w:rPr>
        <w:t>1.7 选址符合性分析</w:t>
      </w:r>
      <w:bookmarkEnd w:id="76"/>
    </w:p>
    <w:p>
      <w:pPr>
        <w:pStyle w:val="112"/>
        <w:ind w:firstLine="480"/>
      </w:pPr>
      <w:bookmarkStart w:id="79" w:name="bookmark30"/>
      <w:bookmarkEnd w:id="79"/>
      <w:r>
        <w:t>管道线路工程的特点决定了其对周围环境的影响是线性影响。路由的选择和确定，将对管道沿线周围敏感区域的影响起到决定性的作用，同时对是否符合管道沿线各城镇发展规划、环境保护规划、生态保护规划等也起到了决定性的作用。因此，确定了线路的路由也就确定了其对沿线周围环境的影响程度。</w:t>
      </w:r>
    </w:p>
    <w:p>
      <w:pPr>
        <w:pStyle w:val="112"/>
        <w:ind w:firstLine="480"/>
      </w:pPr>
      <w:r>
        <w:t>本项目吸取了以往输气管道的建设经验，特别是在保护环境方面。对工程路由的确定采取了在可研阶段就让环评工作介入，对拟定的比选线路进行初步评价，充分听取环境初步评价意见。采取避绕或改线等措施，优化线路对环境的影响，减少管道沿线对环境敏感区域的影响。</w:t>
      </w:r>
    </w:p>
    <w:p>
      <w:pPr>
        <w:keepNext/>
        <w:keepLines/>
        <w:ind w:firstLine="0" w:firstLineChars="0"/>
        <w:outlineLvl w:val="2"/>
        <w:rPr>
          <w:rFonts w:ascii="Times New Roman" w:cs="Times New Roman"/>
          <w:b/>
          <w:szCs w:val="32"/>
        </w:rPr>
      </w:pPr>
      <w:bookmarkStart w:id="80" w:name="_Toc19816021"/>
      <w:bookmarkStart w:id="81" w:name="_Toc12288593"/>
      <w:r>
        <w:rPr>
          <w:rFonts w:ascii="Times New Roman" w:cs="Times New Roman"/>
          <w:b/>
          <w:szCs w:val="32"/>
        </w:rPr>
        <w:t xml:space="preserve">1.7.1 </w:t>
      </w:r>
      <w:r>
        <w:rPr>
          <w:rFonts w:hint="eastAsia" w:ascii="Times New Roman" w:cs="Times New Roman"/>
          <w:b/>
          <w:szCs w:val="32"/>
        </w:rPr>
        <w:t>管线</w:t>
      </w:r>
      <w:r>
        <w:rPr>
          <w:rFonts w:ascii="Times New Roman" w:cs="Times New Roman"/>
          <w:b/>
          <w:szCs w:val="32"/>
        </w:rPr>
        <w:t>选址原则</w:t>
      </w:r>
      <w:bookmarkEnd w:id="80"/>
      <w:bookmarkEnd w:id="81"/>
    </w:p>
    <w:p>
      <w:pPr>
        <w:pStyle w:val="112"/>
        <w:ind w:firstLine="480"/>
      </w:pPr>
      <w:r>
        <w:t>根据《输气管道工程设计规范》（GB50251-2015）的有关规定，结合本工程管道所经地区的地形、地貌、环境、工程地质条件、交通、人文、经济的发展状况，确定本工程线路选线原则如下：</w:t>
      </w:r>
    </w:p>
    <w:p>
      <w:pPr>
        <w:pStyle w:val="112"/>
        <w:ind w:firstLine="480"/>
      </w:pPr>
      <w:r>
        <w:rPr>
          <w:rFonts w:hint="eastAsia" w:ascii="宋体" w:hAnsi="宋体" w:cs="宋体"/>
        </w:rPr>
        <w:t>①</w:t>
      </w:r>
      <w:r>
        <w:t>线路选择符合国家有关法律法规，做到安全第一、环保优先、以人为本。</w:t>
      </w:r>
    </w:p>
    <w:p>
      <w:pPr>
        <w:pStyle w:val="112"/>
        <w:ind w:firstLine="480"/>
      </w:pPr>
      <w:r>
        <w:rPr>
          <w:rFonts w:hint="eastAsia" w:ascii="宋体" w:hAnsi="宋体" w:cs="宋体"/>
        </w:rPr>
        <w:t>②</w:t>
      </w:r>
      <w:r>
        <w:t>线路选择与国家和地方经济发展规划、环境保护要求相一致，充分考虑天然气市场的发展。尽量避免对自然环境和生态平衡的破坏，防止水土流失，有利于自然环境和生态平衡的恢复，保护沿线景观，使线路工程与自然环境、城市生态相协调。</w:t>
      </w:r>
    </w:p>
    <w:p>
      <w:pPr>
        <w:pStyle w:val="112"/>
        <w:ind w:firstLine="480"/>
      </w:pPr>
      <w:r>
        <w:rPr>
          <w:rFonts w:hint="eastAsia" w:ascii="宋体" w:hAnsi="宋体" w:cs="宋体"/>
        </w:rPr>
        <w:t>③</w:t>
      </w:r>
      <w:r>
        <w:t>线路走向应结合地形、工程地质、沿线主要供气点的地理位置以及交通运输、动力等条件，进行多方案调查、分析比选，确定最优线路。</w:t>
      </w:r>
    </w:p>
    <w:p>
      <w:pPr>
        <w:pStyle w:val="112"/>
        <w:ind w:firstLine="480"/>
      </w:pPr>
      <w:r>
        <w:rPr>
          <w:rFonts w:hint="eastAsia" w:ascii="宋体" w:hAnsi="宋体" w:cs="宋体"/>
        </w:rPr>
        <w:t>④</w:t>
      </w:r>
      <w:r>
        <w:t>线路走向尽量依托现有公路、碎石路，少修施工便道，以方便物资及设备运输、施工和运行维护管理。</w:t>
      </w:r>
    </w:p>
    <w:p>
      <w:pPr>
        <w:pStyle w:val="112"/>
        <w:ind w:firstLine="480"/>
      </w:pPr>
      <w:r>
        <w:rPr>
          <w:rFonts w:hint="eastAsia" w:ascii="宋体" w:hAnsi="宋体" w:cs="宋体"/>
        </w:rPr>
        <w:t>⑤</w:t>
      </w:r>
      <w:r>
        <w:t>线路应顺直、平缓，合理利用地形条件，以降低工程建设投资和施工难度。线路走向应减少与天然和人工障碍物的交叉，尽量避免发生大型的穿、跨越。</w:t>
      </w:r>
    </w:p>
    <w:p>
      <w:pPr>
        <w:pStyle w:val="112"/>
        <w:ind w:firstLine="480"/>
      </w:pPr>
      <w:r>
        <w:rPr>
          <w:rFonts w:hint="eastAsia" w:ascii="宋体" w:hAnsi="宋体" w:cs="宋体"/>
        </w:rPr>
        <w:t>⑥</w:t>
      </w:r>
      <w:r>
        <w:t>线路需避开重要的军事设施、易燃易爆仓库、国家重点文物保护单位的安全保护区等区域。</w:t>
      </w:r>
    </w:p>
    <w:p>
      <w:pPr>
        <w:pStyle w:val="112"/>
        <w:ind w:firstLine="480"/>
      </w:pPr>
      <w:r>
        <w:rPr>
          <w:rFonts w:hint="eastAsia" w:ascii="宋体" w:hAnsi="宋体" w:cs="宋体"/>
        </w:rPr>
        <w:t>⑦</w:t>
      </w:r>
      <w:r>
        <w:t>线路应避开不良地质现象（如滑坡、崩塌、冲沟等）发育的地段，避免在横坡通过。</w:t>
      </w:r>
    </w:p>
    <w:p>
      <w:pPr>
        <w:pStyle w:val="112"/>
        <w:ind w:firstLine="480"/>
      </w:pPr>
      <w:r>
        <w:rPr>
          <w:rFonts w:hint="eastAsia" w:ascii="宋体" w:hAnsi="宋体" w:cs="宋体"/>
        </w:rPr>
        <w:t>⑧</w:t>
      </w:r>
      <w:r>
        <w:t>山区选线应结合地形、地质条件、道路状况，考虑施工的可行性和管道的安全性。尽量选择山间河谷敷设，当山区河谷方案难以实施时，若山脊线与管道走向一致且山脊较宽、顺直、上下山脊坡度较平缓，地质条件稳定时，应考虑走山脊的方案。</w:t>
      </w:r>
    </w:p>
    <w:p>
      <w:pPr>
        <w:keepNext/>
        <w:keepLines/>
        <w:ind w:firstLine="0" w:firstLineChars="0"/>
        <w:outlineLvl w:val="2"/>
        <w:rPr>
          <w:rFonts w:ascii="Times New Roman" w:cs="Times New Roman"/>
          <w:b/>
          <w:szCs w:val="32"/>
        </w:rPr>
      </w:pPr>
      <w:r>
        <w:rPr>
          <w:rFonts w:ascii="Times New Roman" w:cs="Times New Roman"/>
          <w:b/>
          <w:szCs w:val="32"/>
        </w:rPr>
        <w:t>1.7.2 选址选线与相关法律法规、技术规范的符合性分析</w:t>
      </w:r>
    </w:p>
    <w:p>
      <w:pPr>
        <w:pStyle w:val="112"/>
        <w:ind w:firstLine="480"/>
      </w:pPr>
      <w:r>
        <w:t>本项目站场选址和集气管线选线与相关法律法规、技术规范的符合性见下表。</w:t>
      </w:r>
    </w:p>
    <w:p>
      <w:pPr>
        <w:pStyle w:val="112"/>
        <w:ind w:firstLine="480"/>
      </w:pPr>
    </w:p>
    <w:p>
      <w:pPr>
        <w:pStyle w:val="37"/>
        <w:rPr>
          <w:rFonts w:cs="Times New Roman"/>
        </w:rPr>
      </w:pPr>
      <w:r>
        <w:rPr>
          <w:rFonts w:cs="Times New Roman"/>
        </w:rPr>
        <w:t>表</w:t>
      </w:r>
      <w:r>
        <w:rPr>
          <w:rFonts w:cs="Times New Roman"/>
          <w:bCs/>
        </w:rPr>
        <w:t xml:space="preserve">1.7-1  </w:t>
      </w:r>
      <w:r>
        <w:rPr>
          <w:rFonts w:cs="Times New Roman"/>
        </w:rPr>
        <w:t>选址选线与相关法律法规、技术规范的符合性分析</w:t>
      </w:r>
    </w:p>
    <w:tbl>
      <w:tblPr>
        <w:tblStyle w:val="57"/>
        <w:tblW w:w="862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1"/>
        <w:gridCol w:w="709"/>
        <w:gridCol w:w="3969"/>
        <w:gridCol w:w="2126"/>
        <w:gridCol w:w="9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560" w:type="dxa"/>
            <w:gridSpan w:val="2"/>
            <w:vAlign w:val="center"/>
          </w:tcPr>
          <w:p>
            <w:pPr>
              <w:pStyle w:val="132"/>
              <w:rPr>
                <w:b/>
                <w:bCs/>
                <w:szCs w:val="21"/>
              </w:rPr>
            </w:pPr>
            <w:r>
              <w:rPr>
                <w:b/>
                <w:bCs/>
                <w:szCs w:val="21"/>
              </w:rPr>
              <w:t>文件</w:t>
            </w:r>
          </w:p>
        </w:tc>
        <w:tc>
          <w:tcPr>
            <w:tcW w:w="3969" w:type="dxa"/>
            <w:vAlign w:val="center"/>
          </w:tcPr>
          <w:p>
            <w:pPr>
              <w:pStyle w:val="132"/>
              <w:rPr>
                <w:b/>
                <w:bCs/>
                <w:szCs w:val="21"/>
              </w:rPr>
            </w:pPr>
            <w:r>
              <w:rPr>
                <w:b/>
                <w:bCs/>
                <w:szCs w:val="21"/>
              </w:rPr>
              <w:t>要求</w:t>
            </w:r>
          </w:p>
        </w:tc>
        <w:tc>
          <w:tcPr>
            <w:tcW w:w="2126" w:type="dxa"/>
            <w:vAlign w:val="center"/>
          </w:tcPr>
          <w:p>
            <w:pPr>
              <w:pStyle w:val="132"/>
              <w:rPr>
                <w:b/>
                <w:bCs/>
                <w:szCs w:val="21"/>
              </w:rPr>
            </w:pPr>
            <w:r>
              <w:rPr>
                <w:b/>
                <w:bCs/>
                <w:szCs w:val="21"/>
              </w:rPr>
              <w:t>本项目</w:t>
            </w:r>
          </w:p>
        </w:tc>
        <w:tc>
          <w:tcPr>
            <w:tcW w:w="969" w:type="dxa"/>
            <w:vAlign w:val="center"/>
          </w:tcPr>
          <w:p>
            <w:pPr>
              <w:pStyle w:val="132"/>
              <w:rPr>
                <w:b/>
                <w:bCs/>
                <w:szCs w:val="21"/>
              </w:rPr>
            </w:pPr>
            <w:r>
              <w:rPr>
                <w:b/>
                <w:bCs/>
                <w:szCs w:val="21"/>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560" w:type="dxa"/>
            <w:gridSpan w:val="2"/>
            <w:vMerge w:val="restart"/>
            <w:vAlign w:val="center"/>
          </w:tcPr>
          <w:p>
            <w:pPr>
              <w:pStyle w:val="132"/>
              <w:rPr>
                <w:szCs w:val="21"/>
              </w:rPr>
            </w:pPr>
            <w:r>
              <w:rPr>
                <w:szCs w:val="21"/>
              </w:rPr>
              <w:t>《输气管道工程设计规范》（GB50251-2015）</w:t>
            </w:r>
          </w:p>
        </w:tc>
        <w:tc>
          <w:tcPr>
            <w:tcW w:w="3969"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禁止在饮用水水源一级保护区内建设输气管道。</w:t>
            </w:r>
          </w:p>
        </w:tc>
        <w:tc>
          <w:tcPr>
            <w:tcW w:w="2126"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本项目管线不穿越饮用水水源一级保护区。</w:t>
            </w:r>
          </w:p>
        </w:tc>
        <w:tc>
          <w:tcPr>
            <w:tcW w:w="969" w:type="dxa"/>
            <w:vAlign w:val="center"/>
          </w:tcPr>
          <w:p>
            <w:pPr>
              <w:pStyle w:val="132"/>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560" w:type="dxa"/>
            <w:gridSpan w:val="2"/>
            <w:vMerge w:val="continue"/>
            <w:vAlign w:val="center"/>
          </w:tcPr>
          <w:p>
            <w:pPr>
              <w:pStyle w:val="132"/>
              <w:rPr>
                <w:szCs w:val="21"/>
              </w:rPr>
            </w:pPr>
          </w:p>
        </w:tc>
        <w:tc>
          <w:tcPr>
            <w:tcW w:w="3969"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天然气输送管道穿（跨）越河流时，管道距公路、铁路大桥的距离，不应小于100m；距中桥不应小于50m。</w:t>
            </w:r>
          </w:p>
        </w:tc>
        <w:tc>
          <w:tcPr>
            <w:tcW w:w="2126"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本项管道沿线无公路、铁路大桥及中桥。</w:t>
            </w:r>
          </w:p>
        </w:tc>
        <w:tc>
          <w:tcPr>
            <w:tcW w:w="969" w:type="dxa"/>
            <w:vAlign w:val="center"/>
          </w:tcPr>
          <w:p>
            <w:pPr>
              <w:pStyle w:val="132"/>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560" w:type="dxa"/>
            <w:gridSpan w:val="2"/>
            <w:vMerge w:val="continue"/>
            <w:vAlign w:val="center"/>
          </w:tcPr>
          <w:p>
            <w:pPr>
              <w:pStyle w:val="132"/>
              <w:rPr>
                <w:szCs w:val="21"/>
              </w:rPr>
            </w:pPr>
          </w:p>
        </w:tc>
        <w:tc>
          <w:tcPr>
            <w:tcW w:w="3969"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管道中心线与建（构）筑物的最小距离不应小于5m。</w:t>
            </w:r>
          </w:p>
        </w:tc>
        <w:tc>
          <w:tcPr>
            <w:tcW w:w="2126"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项目管线与建构筑物最小距离为</w:t>
            </w:r>
            <w:r>
              <w:rPr>
                <w:rFonts w:hint="eastAsia" w:ascii="Times New Roman" w:hAnsi="Times New Roman" w:cs="Times New Roman"/>
                <w:color w:val="auto"/>
                <w:sz w:val="21"/>
                <w:szCs w:val="21"/>
              </w:rPr>
              <w:t>15</w:t>
            </w:r>
            <w:r>
              <w:rPr>
                <w:rFonts w:ascii="Times New Roman" w:hAnsi="Times New Roman" w:cs="Times New Roman"/>
                <w:color w:val="auto"/>
                <w:sz w:val="21"/>
                <w:szCs w:val="21"/>
              </w:rPr>
              <w:t>m。</w:t>
            </w:r>
          </w:p>
        </w:tc>
        <w:tc>
          <w:tcPr>
            <w:tcW w:w="969" w:type="dxa"/>
            <w:vAlign w:val="center"/>
          </w:tcPr>
          <w:p>
            <w:pPr>
              <w:pStyle w:val="132"/>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851" w:type="dxa"/>
            <w:vMerge w:val="restart"/>
            <w:tcBorders>
              <w:right w:val="single" w:color="auto" w:sz="2" w:space="0"/>
            </w:tcBorders>
            <w:vAlign w:val="center"/>
          </w:tcPr>
          <w:p>
            <w:pPr>
              <w:pStyle w:val="132"/>
              <w:rPr>
                <w:szCs w:val="21"/>
              </w:rPr>
            </w:pPr>
            <w:r>
              <w:rPr>
                <w:szCs w:val="21"/>
              </w:rPr>
              <w:t>《石油天然气工程设计防火规范》（GB50183-2004）</w:t>
            </w:r>
          </w:p>
        </w:tc>
        <w:tc>
          <w:tcPr>
            <w:tcW w:w="709" w:type="dxa"/>
            <w:vMerge w:val="restart"/>
            <w:tcBorders>
              <w:left w:val="single" w:color="auto" w:sz="2" w:space="0"/>
            </w:tcBorders>
            <w:vAlign w:val="center"/>
          </w:tcPr>
          <w:p>
            <w:pPr>
              <w:pStyle w:val="132"/>
              <w:rPr>
                <w:szCs w:val="21"/>
              </w:rPr>
            </w:pPr>
            <w:r>
              <w:rPr>
                <w:rFonts w:hint="eastAsia"/>
                <w:szCs w:val="21"/>
              </w:rPr>
              <w:t>普陆4集气平台</w:t>
            </w:r>
          </w:p>
        </w:tc>
        <w:tc>
          <w:tcPr>
            <w:tcW w:w="3969"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100人以上的居住区、村镇、公共福利设施距离50m以上。</w:t>
            </w:r>
          </w:p>
        </w:tc>
        <w:tc>
          <w:tcPr>
            <w:tcW w:w="2126"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最近为</w:t>
            </w:r>
            <w:r>
              <w:rPr>
                <w:rFonts w:hint="eastAsia" w:ascii="Times New Roman" w:hAnsi="Times New Roman" w:cs="Times New Roman"/>
                <w:color w:val="auto"/>
                <w:sz w:val="21"/>
                <w:szCs w:val="21"/>
              </w:rPr>
              <w:t>黄金镇</w:t>
            </w:r>
            <w:r>
              <w:rPr>
                <w:rFonts w:ascii="Times New Roman" w:hAnsi="Times New Roman" w:cs="Times New Roman"/>
                <w:color w:val="auto"/>
                <w:sz w:val="21"/>
                <w:szCs w:val="21"/>
              </w:rPr>
              <w:t>，</w:t>
            </w:r>
            <w:r>
              <w:rPr>
                <w:rFonts w:hint="eastAsia" w:ascii="Times New Roman" w:hAnsi="Times New Roman" w:cs="Times New Roman"/>
                <w:color w:val="auto"/>
                <w:sz w:val="21"/>
                <w:szCs w:val="21"/>
              </w:rPr>
              <w:t>6.2</w:t>
            </w:r>
            <w:r>
              <w:rPr>
                <w:rFonts w:ascii="Times New Roman" w:hAnsi="Times New Roman" w:cs="Times New Roman"/>
                <w:color w:val="auto"/>
                <w:sz w:val="21"/>
                <w:szCs w:val="21"/>
              </w:rPr>
              <w:t>km。</w:t>
            </w:r>
          </w:p>
        </w:tc>
        <w:tc>
          <w:tcPr>
            <w:tcW w:w="969" w:type="dxa"/>
            <w:vAlign w:val="center"/>
          </w:tcPr>
          <w:p>
            <w:pPr>
              <w:pStyle w:val="132"/>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851" w:type="dxa"/>
            <w:vMerge w:val="continue"/>
            <w:tcBorders>
              <w:right w:val="single" w:color="auto" w:sz="2" w:space="0"/>
            </w:tcBorders>
            <w:vAlign w:val="center"/>
          </w:tcPr>
          <w:p>
            <w:pPr>
              <w:pStyle w:val="132"/>
              <w:rPr>
                <w:szCs w:val="21"/>
              </w:rPr>
            </w:pPr>
          </w:p>
        </w:tc>
        <w:tc>
          <w:tcPr>
            <w:tcW w:w="709" w:type="dxa"/>
            <w:vMerge w:val="continue"/>
            <w:tcBorders>
              <w:left w:val="single" w:color="auto" w:sz="2" w:space="0"/>
            </w:tcBorders>
            <w:vAlign w:val="center"/>
          </w:tcPr>
          <w:p>
            <w:pPr>
              <w:pStyle w:val="132"/>
              <w:rPr>
                <w:szCs w:val="21"/>
              </w:rPr>
            </w:pPr>
          </w:p>
        </w:tc>
        <w:tc>
          <w:tcPr>
            <w:tcW w:w="3969"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与100人以下的散居房屋距离30m以上。</w:t>
            </w:r>
          </w:p>
        </w:tc>
        <w:tc>
          <w:tcPr>
            <w:tcW w:w="2126" w:type="dxa"/>
            <w:vAlign w:val="center"/>
          </w:tcPr>
          <w:p>
            <w:pPr>
              <w:pStyle w:val="132"/>
              <w:rPr>
                <w:szCs w:val="21"/>
              </w:rPr>
            </w:pPr>
            <w:r>
              <w:rPr>
                <w:szCs w:val="21"/>
              </w:rPr>
              <w:t>最近</w:t>
            </w:r>
            <w:r>
              <w:rPr>
                <w:rFonts w:hint="eastAsia"/>
                <w:szCs w:val="21"/>
              </w:rPr>
              <w:t>150</w:t>
            </w:r>
            <w:r>
              <w:rPr>
                <w:szCs w:val="21"/>
              </w:rPr>
              <w:t>m。</w:t>
            </w:r>
          </w:p>
        </w:tc>
        <w:tc>
          <w:tcPr>
            <w:tcW w:w="969" w:type="dxa"/>
            <w:vAlign w:val="center"/>
          </w:tcPr>
          <w:p>
            <w:pPr>
              <w:pStyle w:val="132"/>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51" w:type="dxa"/>
            <w:vMerge w:val="continue"/>
            <w:tcBorders>
              <w:right w:val="single" w:color="auto" w:sz="2" w:space="0"/>
            </w:tcBorders>
            <w:vAlign w:val="center"/>
          </w:tcPr>
          <w:p>
            <w:pPr>
              <w:pStyle w:val="132"/>
              <w:rPr>
                <w:szCs w:val="21"/>
              </w:rPr>
            </w:pPr>
          </w:p>
        </w:tc>
        <w:tc>
          <w:tcPr>
            <w:tcW w:w="709" w:type="dxa"/>
            <w:vMerge w:val="continue"/>
            <w:tcBorders>
              <w:left w:val="single" w:color="auto" w:sz="2" w:space="0"/>
            </w:tcBorders>
            <w:vAlign w:val="center"/>
          </w:tcPr>
          <w:p>
            <w:pPr>
              <w:pStyle w:val="132"/>
              <w:rPr>
                <w:szCs w:val="21"/>
              </w:rPr>
            </w:pPr>
          </w:p>
        </w:tc>
        <w:tc>
          <w:tcPr>
            <w:tcW w:w="3969"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与国家铁路距离30m以上。</w:t>
            </w:r>
          </w:p>
        </w:tc>
        <w:tc>
          <w:tcPr>
            <w:tcW w:w="2126" w:type="dxa"/>
            <w:vMerge w:val="restart"/>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周边无铁路、高速公路。</w:t>
            </w:r>
          </w:p>
        </w:tc>
        <w:tc>
          <w:tcPr>
            <w:tcW w:w="969" w:type="dxa"/>
            <w:vAlign w:val="center"/>
          </w:tcPr>
          <w:p>
            <w:pPr>
              <w:pStyle w:val="132"/>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51" w:type="dxa"/>
            <w:vMerge w:val="continue"/>
            <w:tcBorders>
              <w:right w:val="single" w:color="auto" w:sz="2" w:space="0"/>
            </w:tcBorders>
            <w:vAlign w:val="center"/>
          </w:tcPr>
          <w:p>
            <w:pPr>
              <w:pStyle w:val="132"/>
              <w:rPr>
                <w:szCs w:val="21"/>
              </w:rPr>
            </w:pPr>
          </w:p>
        </w:tc>
        <w:tc>
          <w:tcPr>
            <w:tcW w:w="709" w:type="dxa"/>
            <w:vMerge w:val="continue"/>
            <w:tcBorders>
              <w:left w:val="single" w:color="auto" w:sz="2" w:space="0"/>
            </w:tcBorders>
            <w:vAlign w:val="center"/>
          </w:tcPr>
          <w:p>
            <w:pPr>
              <w:pStyle w:val="132"/>
              <w:rPr>
                <w:szCs w:val="21"/>
              </w:rPr>
            </w:pPr>
          </w:p>
        </w:tc>
        <w:tc>
          <w:tcPr>
            <w:tcW w:w="3969"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与高速公路距离20m以上，与其他公路距离10m以上。</w:t>
            </w:r>
          </w:p>
        </w:tc>
        <w:tc>
          <w:tcPr>
            <w:tcW w:w="2126" w:type="dxa"/>
            <w:vMerge w:val="continue"/>
            <w:vAlign w:val="center"/>
          </w:tcPr>
          <w:p>
            <w:pPr>
              <w:pStyle w:val="132"/>
              <w:rPr>
                <w:szCs w:val="21"/>
              </w:rPr>
            </w:pPr>
          </w:p>
        </w:tc>
        <w:tc>
          <w:tcPr>
            <w:tcW w:w="969" w:type="dxa"/>
            <w:vAlign w:val="center"/>
          </w:tcPr>
          <w:p>
            <w:pPr>
              <w:pStyle w:val="132"/>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51" w:type="dxa"/>
            <w:vMerge w:val="continue"/>
            <w:tcBorders>
              <w:right w:val="single" w:color="auto" w:sz="2" w:space="0"/>
            </w:tcBorders>
            <w:vAlign w:val="center"/>
          </w:tcPr>
          <w:p>
            <w:pPr>
              <w:topLinePunct w:val="0"/>
              <w:autoSpaceDE w:val="0"/>
              <w:autoSpaceDN w:val="0"/>
              <w:spacing w:line="240" w:lineRule="auto"/>
              <w:ind w:firstLine="0" w:firstLineChars="0"/>
              <w:jc w:val="center"/>
              <w:rPr>
                <w:rFonts w:ascii="Times New Roman" w:cs="Times New Roman"/>
                <w:kern w:val="2"/>
                <w:sz w:val="21"/>
                <w:szCs w:val="21"/>
                <w:shd w:val="clear" w:color="auto" w:fill="FFFFFF"/>
              </w:rPr>
            </w:pPr>
          </w:p>
        </w:tc>
        <w:tc>
          <w:tcPr>
            <w:tcW w:w="709" w:type="dxa"/>
            <w:vMerge w:val="continue"/>
            <w:tcBorders>
              <w:left w:val="single" w:color="auto" w:sz="2" w:space="0"/>
            </w:tcBorders>
            <w:vAlign w:val="center"/>
          </w:tcPr>
          <w:p>
            <w:pPr>
              <w:topLinePunct w:val="0"/>
              <w:autoSpaceDE w:val="0"/>
              <w:autoSpaceDN w:val="0"/>
              <w:spacing w:line="240" w:lineRule="auto"/>
              <w:ind w:firstLine="0" w:firstLineChars="0"/>
              <w:jc w:val="center"/>
              <w:rPr>
                <w:rFonts w:ascii="Times New Roman" w:cs="Times New Roman"/>
                <w:kern w:val="2"/>
                <w:sz w:val="21"/>
                <w:szCs w:val="21"/>
                <w:shd w:val="clear" w:color="auto" w:fill="FFFFFF"/>
              </w:rPr>
            </w:pPr>
          </w:p>
        </w:tc>
        <w:tc>
          <w:tcPr>
            <w:tcW w:w="3969"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石油天然气站场内的锅炉房、35kV及以上的变（配）电所、加热炉、水套炉等有明火或散发火花的地点，宜布置在站场或油气生产区边缘。</w:t>
            </w:r>
          </w:p>
        </w:tc>
        <w:tc>
          <w:tcPr>
            <w:tcW w:w="2126"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水套炉布置在</w:t>
            </w:r>
            <w:r>
              <w:rPr>
                <w:rFonts w:hint="eastAsia" w:ascii="Times New Roman" w:hAnsi="Times New Roman" w:cs="Times New Roman"/>
                <w:color w:val="auto"/>
                <w:sz w:val="21"/>
                <w:szCs w:val="21"/>
              </w:rPr>
              <w:t>普陆4集气平台</w:t>
            </w:r>
            <w:r>
              <w:rPr>
                <w:rFonts w:ascii="Times New Roman" w:hAnsi="Times New Roman" w:cs="Times New Roman"/>
                <w:color w:val="auto"/>
                <w:sz w:val="21"/>
                <w:szCs w:val="21"/>
              </w:rPr>
              <w:t>北侧边缘位置。</w:t>
            </w:r>
          </w:p>
        </w:tc>
        <w:tc>
          <w:tcPr>
            <w:tcW w:w="969" w:type="dxa"/>
            <w:vAlign w:val="center"/>
          </w:tcPr>
          <w:p>
            <w:pPr>
              <w:pStyle w:val="132"/>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51" w:type="dxa"/>
            <w:vMerge w:val="continue"/>
            <w:tcBorders>
              <w:right w:val="single" w:color="auto" w:sz="2" w:space="0"/>
            </w:tcBorders>
            <w:vAlign w:val="center"/>
          </w:tcPr>
          <w:p>
            <w:pPr>
              <w:topLinePunct w:val="0"/>
              <w:autoSpaceDE w:val="0"/>
              <w:autoSpaceDN w:val="0"/>
              <w:spacing w:line="240" w:lineRule="auto"/>
              <w:ind w:firstLine="0" w:firstLineChars="0"/>
              <w:jc w:val="center"/>
              <w:rPr>
                <w:rFonts w:ascii="Times New Roman" w:cs="Times New Roman"/>
                <w:kern w:val="2"/>
                <w:sz w:val="21"/>
                <w:szCs w:val="21"/>
                <w:shd w:val="clear" w:color="auto" w:fill="FFFFFF"/>
              </w:rPr>
            </w:pPr>
          </w:p>
        </w:tc>
        <w:tc>
          <w:tcPr>
            <w:tcW w:w="709" w:type="dxa"/>
            <w:vMerge w:val="restart"/>
            <w:tcBorders>
              <w:left w:val="single" w:color="auto" w:sz="2" w:space="0"/>
            </w:tcBorders>
            <w:vAlign w:val="center"/>
          </w:tcPr>
          <w:p>
            <w:pPr>
              <w:topLinePunct w:val="0"/>
              <w:autoSpaceDE w:val="0"/>
              <w:autoSpaceDN w:val="0"/>
              <w:spacing w:line="240" w:lineRule="auto"/>
              <w:ind w:firstLine="0" w:firstLineChars="0"/>
              <w:jc w:val="center"/>
              <w:rPr>
                <w:rFonts w:ascii="Times New Roman" w:cs="Times New Roman"/>
                <w:kern w:val="2"/>
                <w:sz w:val="21"/>
                <w:szCs w:val="21"/>
                <w:shd w:val="clear" w:color="auto" w:fill="FFFFFF"/>
              </w:rPr>
            </w:pPr>
            <w:r>
              <w:rPr>
                <w:rFonts w:ascii="Times New Roman" w:cs="Times New Roman"/>
                <w:kern w:val="2"/>
                <w:sz w:val="21"/>
                <w:szCs w:val="21"/>
                <w:shd w:val="clear" w:color="auto" w:fill="FFFFFF"/>
              </w:rPr>
              <w:t>集气管线</w:t>
            </w:r>
          </w:p>
        </w:tc>
        <w:tc>
          <w:tcPr>
            <w:tcW w:w="3969"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油气田内部集输管道宜埋地敷设</w:t>
            </w:r>
          </w:p>
        </w:tc>
        <w:tc>
          <w:tcPr>
            <w:tcW w:w="2126"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本项目管道埋地敷设。</w:t>
            </w:r>
          </w:p>
        </w:tc>
        <w:tc>
          <w:tcPr>
            <w:tcW w:w="969" w:type="dxa"/>
            <w:vAlign w:val="center"/>
          </w:tcPr>
          <w:p>
            <w:pPr>
              <w:pStyle w:val="132"/>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51" w:type="dxa"/>
            <w:vMerge w:val="continue"/>
            <w:tcBorders>
              <w:right w:val="single" w:color="auto" w:sz="2" w:space="0"/>
            </w:tcBorders>
            <w:vAlign w:val="center"/>
          </w:tcPr>
          <w:p>
            <w:pPr>
              <w:topLinePunct w:val="0"/>
              <w:autoSpaceDE w:val="0"/>
              <w:autoSpaceDN w:val="0"/>
              <w:spacing w:line="240" w:lineRule="auto"/>
              <w:ind w:firstLine="0" w:firstLineChars="0"/>
              <w:jc w:val="center"/>
              <w:rPr>
                <w:rFonts w:ascii="Times New Roman" w:cs="Times New Roman"/>
                <w:kern w:val="2"/>
                <w:sz w:val="21"/>
                <w:szCs w:val="21"/>
                <w:shd w:val="clear" w:color="auto" w:fill="FFFFFF"/>
              </w:rPr>
            </w:pPr>
          </w:p>
        </w:tc>
        <w:tc>
          <w:tcPr>
            <w:tcW w:w="709" w:type="dxa"/>
            <w:vMerge w:val="continue"/>
            <w:tcBorders>
              <w:left w:val="single" w:color="auto" w:sz="2" w:space="0"/>
            </w:tcBorders>
            <w:vAlign w:val="center"/>
          </w:tcPr>
          <w:p>
            <w:pPr>
              <w:topLinePunct w:val="0"/>
              <w:autoSpaceDE w:val="0"/>
              <w:autoSpaceDN w:val="0"/>
              <w:spacing w:line="240" w:lineRule="auto"/>
              <w:ind w:firstLine="0" w:firstLineChars="0"/>
              <w:jc w:val="center"/>
              <w:rPr>
                <w:rFonts w:ascii="Times New Roman" w:cs="Times New Roman"/>
                <w:kern w:val="2"/>
                <w:sz w:val="21"/>
                <w:szCs w:val="21"/>
                <w:shd w:val="clear" w:color="auto" w:fill="FFFFFF"/>
              </w:rPr>
            </w:pPr>
          </w:p>
        </w:tc>
        <w:tc>
          <w:tcPr>
            <w:tcW w:w="3969" w:type="dxa"/>
            <w:vAlign w:val="center"/>
          </w:tcPr>
          <w:p>
            <w:pPr>
              <w:pStyle w:val="119"/>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埋地集输管道与其他地下管道、通信电缆、电力系统的各种接地装置等平行或交叉敷设时，其间距应符合国家现行标准《钢质管道及储罐腐蚀控制工程设计规范》SY 0007的有关规定。</w:t>
            </w:r>
          </w:p>
        </w:tc>
        <w:tc>
          <w:tcPr>
            <w:tcW w:w="2126" w:type="dxa"/>
            <w:vAlign w:val="center"/>
          </w:tcPr>
          <w:p>
            <w:pPr>
              <w:pStyle w:val="119"/>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符合国家现行标准《钢质管道及储罐腐蚀控制工程设计规范》SY0007的有关规定。</w:t>
            </w:r>
          </w:p>
        </w:tc>
        <w:tc>
          <w:tcPr>
            <w:tcW w:w="969" w:type="dxa"/>
            <w:vAlign w:val="center"/>
          </w:tcPr>
          <w:p>
            <w:pPr>
              <w:topLinePunct w:val="0"/>
              <w:autoSpaceDE w:val="0"/>
              <w:autoSpaceDN w:val="0"/>
              <w:spacing w:line="240" w:lineRule="auto"/>
              <w:ind w:firstLine="0" w:firstLineChars="0"/>
              <w:jc w:val="center"/>
              <w:rPr>
                <w:rFonts w:ascii="Times New Roman" w:cs="Times New Roman"/>
                <w:kern w:val="2"/>
                <w:sz w:val="21"/>
                <w:szCs w:val="21"/>
                <w:shd w:val="clear" w:color="auto" w:fill="FFFFFF"/>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51" w:type="dxa"/>
            <w:vMerge w:val="continue"/>
            <w:tcBorders>
              <w:right w:val="single" w:color="auto" w:sz="2" w:space="0"/>
            </w:tcBorders>
            <w:vAlign w:val="center"/>
          </w:tcPr>
          <w:p>
            <w:pPr>
              <w:topLinePunct w:val="0"/>
              <w:autoSpaceDE w:val="0"/>
              <w:autoSpaceDN w:val="0"/>
              <w:spacing w:line="240" w:lineRule="auto"/>
              <w:ind w:firstLine="0" w:firstLineChars="0"/>
              <w:jc w:val="center"/>
              <w:rPr>
                <w:rFonts w:ascii="Times New Roman" w:cs="Times New Roman"/>
                <w:kern w:val="2"/>
                <w:sz w:val="21"/>
                <w:szCs w:val="21"/>
                <w:shd w:val="clear" w:color="auto" w:fill="FFFFFF"/>
              </w:rPr>
            </w:pPr>
          </w:p>
        </w:tc>
        <w:tc>
          <w:tcPr>
            <w:tcW w:w="709" w:type="dxa"/>
            <w:vMerge w:val="continue"/>
            <w:tcBorders>
              <w:left w:val="single" w:color="auto" w:sz="2" w:space="0"/>
            </w:tcBorders>
            <w:vAlign w:val="center"/>
          </w:tcPr>
          <w:p>
            <w:pPr>
              <w:topLinePunct w:val="0"/>
              <w:autoSpaceDE w:val="0"/>
              <w:autoSpaceDN w:val="0"/>
              <w:spacing w:line="240" w:lineRule="auto"/>
              <w:ind w:firstLine="0" w:firstLineChars="0"/>
              <w:jc w:val="center"/>
              <w:rPr>
                <w:rFonts w:ascii="Times New Roman" w:cs="Times New Roman"/>
                <w:kern w:val="2"/>
                <w:sz w:val="21"/>
                <w:szCs w:val="21"/>
                <w:shd w:val="clear" w:color="auto" w:fill="FFFFFF"/>
              </w:rPr>
            </w:pPr>
          </w:p>
        </w:tc>
        <w:tc>
          <w:tcPr>
            <w:tcW w:w="3969"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管道同公路平行敷设时，宜敷设在公路用地范围外。</w:t>
            </w:r>
          </w:p>
        </w:tc>
        <w:tc>
          <w:tcPr>
            <w:tcW w:w="2126"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本项目在公路用地范围外。</w:t>
            </w:r>
          </w:p>
        </w:tc>
        <w:tc>
          <w:tcPr>
            <w:tcW w:w="969" w:type="dxa"/>
            <w:vAlign w:val="center"/>
          </w:tcPr>
          <w:p>
            <w:pPr>
              <w:topLinePunct w:val="0"/>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51" w:type="dxa"/>
            <w:vMerge w:val="continue"/>
            <w:tcBorders>
              <w:right w:val="single" w:color="auto" w:sz="2" w:space="0"/>
            </w:tcBorders>
            <w:vAlign w:val="center"/>
          </w:tcPr>
          <w:p>
            <w:pPr>
              <w:topLinePunct w:val="0"/>
              <w:autoSpaceDE w:val="0"/>
              <w:autoSpaceDN w:val="0"/>
              <w:spacing w:line="240" w:lineRule="auto"/>
              <w:ind w:firstLine="0" w:firstLineChars="0"/>
              <w:jc w:val="center"/>
              <w:rPr>
                <w:rFonts w:ascii="Times New Roman" w:cs="Times New Roman"/>
                <w:kern w:val="2"/>
                <w:sz w:val="21"/>
                <w:szCs w:val="21"/>
                <w:shd w:val="clear" w:color="auto" w:fill="FFFFFF"/>
              </w:rPr>
            </w:pPr>
          </w:p>
        </w:tc>
        <w:tc>
          <w:tcPr>
            <w:tcW w:w="709" w:type="dxa"/>
            <w:vMerge w:val="continue"/>
            <w:tcBorders>
              <w:left w:val="single" w:color="auto" w:sz="2" w:space="0"/>
            </w:tcBorders>
            <w:vAlign w:val="center"/>
          </w:tcPr>
          <w:p>
            <w:pPr>
              <w:topLinePunct w:val="0"/>
              <w:autoSpaceDE w:val="0"/>
              <w:autoSpaceDN w:val="0"/>
              <w:spacing w:line="240" w:lineRule="auto"/>
              <w:ind w:firstLine="0" w:firstLineChars="0"/>
              <w:jc w:val="center"/>
              <w:rPr>
                <w:rFonts w:ascii="Times New Roman" w:cs="Times New Roman"/>
                <w:kern w:val="2"/>
                <w:sz w:val="21"/>
                <w:szCs w:val="21"/>
                <w:shd w:val="clear" w:color="auto" w:fill="FFFFFF"/>
              </w:rPr>
            </w:pPr>
          </w:p>
        </w:tc>
        <w:tc>
          <w:tcPr>
            <w:tcW w:w="3969" w:type="dxa"/>
            <w:vAlign w:val="center"/>
          </w:tcPr>
          <w:p>
            <w:pPr>
              <w:pStyle w:val="119"/>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集输管道宜设清管设施。清管设施设计应按现行国家标准《输气管道工程设计规范》GB50251的有关规定执行。</w:t>
            </w:r>
          </w:p>
        </w:tc>
        <w:tc>
          <w:tcPr>
            <w:tcW w:w="2126" w:type="dxa"/>
            <w:vAlign w:val="center"/>
          </w:tcPr>
          <w:p>
            <w:pPr>
              <w:pStyle w:val="119"/>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项目设置清管设施。</w:t>
            </w:r>
          </w:p>
        </w:tc>
        <w:tc>
          <w:tcPr>
            <w:tcW w:w="969" w:type="dxa"/>
            <w:vAlign w:val="center"/>
          </w:tcPr>
          <w:p>
            <w:pPr>
              <w:topLinePunct w:val="0"/>
              <w:autoSpaceDE w:val="0"/>
              <w:autoSpaceDN w:val="0"/>
              <w:spacing w:line="240" w:lineRule="auto"/>
              <w:ind w:firstLine="0" w:firstLineChars="0"/>
              <w:jc w:val="center"/>
              <w:rPr>
                <w:rFonts w:ascii="Times New Roman" w:cs="Times New Roman"/>
                <w:kern w:val="2"/>
                <w:sz w:val="21"/>
                <w:szCs w:val="21"/>
                <w:shd w:val="clear" w:color="auto" w:fill="FFFFFF"/>
              </w:rPr>
            </w:pPr>
            <w:r>
              <w:rPr>
                <w:rFonts w:ascii="Times New Roman" w:cs="Times New Roman"/>
                <w:kern w:val="2"/>
                <w:sz w:val="21"/>
                <w:szCs w:val="21"/>
                <w:shd w:val="clear" w:color="auto" w:fill="FFFFFF"/>
              </w:rPr>
              <w:t>符合</w:t>
            </w:r>
          </w:p>
        </w:tc>
      </w:tr>
    </w:tbl>
    <w:p>
      <w:pPr>
        <w:keepNext/>
        <w:keepLines/>
        <w:ind w:firstLine="0" w:firstLineChars="0"/>
        <w:outlineLvl w:val="2"/>
        <w:rPr>
          <w:rFonts w:ascii="Times New Roman" w:cs="Times New Roman"/>
          <w:b/>
          <w:szCs w:val="32"/>
        </w:rPr>
      </w:pPr>
      <w:bookmarkStart w:id="82" w:name="bookmark31"/>
      <w:bookmarkEnd w:id="82"/>
      <w:bookmarkStart w:id="83" w:name="_Toc19816023"/>
      <w:bookmarkStart w:id="84" w:name="_Toc12288599"/>
      <w:r>
        <w:rPr>
          <w:rFonts w:ascii="Times New Roman" w:cs="Times New Roman"/>
          <w:b/>
          <w:szCs w:val="32"/>
        </w:rPr>
        <w:t xml:space="preserve">1.7.3 </w:t>
      </w:r>
      <w:bookmarkEnd w:id="83"/>
      <w:bookmarkEnd w:id="84"/>
      <w:r>
        <w:rPr>
          <w:rFonts w:ascii="Times New Roman" w:cs="Times New Roman"/>
          <w:b/>
          <w:szCs w:val="32"/>
        </w:rPr>
        <w:t>项目管线选址符合性分析</w:t>
      </w:r>
    </w:p>
    <w:p>
      <w:pPr>
        <w:pStyle w:val="112"/>
        <w:ind w:firstLine="482"/>
        <w:rPr>
          <w:b/>
          <w:bCs/>
        </w:rPr>
      </w:pPr>
      <w:bookmarkStart w:id="85" w:name="bookmark32"/>
      <w:bookmarkEnd w:id="85"/>
      <w:bookmarkStart w:id="86" w:name="_Toc12288602"/>
      <w:r>
        <w:rPr>
          <w:b/>
          <w:bCs/>
        </w:rPr>
        <w:t>1、</w:t>
      </w:r>
      <w:r>
        <w:rPr>
          <w:b/>
          <w:bCs/>
          <w:sz w:val="23"/>
          <w:szCs w:val="23"/>
        </w:rPr>
        <w:t>路由确定程序</w:t>
      </w:r>
    </w:p>
    <w:p>
      <w:pPr>
        <w:pStyle w:val="112"/>
        <w:ind w:firstLine="480"/>
      </w:pPr>
      <w:r>
        <w:t>本管道工程线路路由的确定程序为：首先对可研提出的初步路由走向和比选线路，由环评单位与设计单位一起进行初步调研和评价。对管道线路进行踏勘，走访沿线重点城市和区县的生态环境局、规资局、文物局等相关部门，听取当地政府部门的意见和建议。其次根据环评批复要求，结合线路的路由，对可研及初步设计提出线路走向意见。最后对局部路由的比选再进行现场调研和踏勘，以确定最优化的线路方案。</w:t>
      </w:r>
    </w:p>
    <w:p>
      <w:pPr>
        <w:pStyle w:val="112"/>
        <w:ind w:firstLine="482"/>
        <w:rPr>
          <w:b/>
          <w:bCs/>
        </w:rPr>
      </w:pPr>
      <w:r>
        <w:rPr>
          <w:b/>
          <w:bCs/>
        </w:rPr>
        <w:t>2、</w:t>
      </w:r>
      <w:r>
        <w:rPr>
          <w:b/>
          <w:bCs/>
          <w:sz w:val="23"/>
          <w:szCs w:val="23"/>
        </w:rPr>
        <w:t>线路由确定</w:t>
      </w:r>
    </w:p>
    <w:p>
      <w:pPr>
        <w:pStyle w:val="112"/>
        <w:ind w:firstLine="480"/>
      </w:pPr>
      <w:r>
        <w:t>普陆4集气平台~</w:t>
      </w:r>
      <w:r>
        <w:rPr>
          <w:rFonts w:hint="eastAsia"/>
        </w:rPr>
        <w:t>P107集气站集气管道，设计压力10MPa，</w:t>
      </w:r>
      <w:r>
        <w:t>材质为</w:t>
      </w:r>
      <w:r>
        <w:rPr>
          <w:rFonts w:hint="eastAsia"/>
        </w:rPr>
        <w:t>L</w:t>
      </w:r>
      <w:r>
        <w:t>245</w:t>
      </w:r>
      <w:r>
        <w:rPr>
          <w:rFonts w:hint="eastAsia"/>
        </w:rPr>
        <w:t>N无缝钢管PSL2，管径 D</w:t>
      </w:r>
      <w:r>
        <w:t>N80</w:t>
      </w:r>
      <w:r>
        <w:rPr>
          <w:rFonts w:hint="eastAsia"/>
        </w:rPr>
        <w:t>×</w:t>
      </w:r>
      <w:r>
        <w:t>6.5</w:t>
      </w:r>
      <w:r>
        <w:rPr>
          <w:rFonts w:hint="eastAsia"/>
        </w:rPr>
        <w:t>，长度约350m，管线自普陆4集气平台出站后斜坡埋地敷设约5</w:t>
      </w:r>
      <w:r>
        <w:t>0</w:t>
      </w:r>
      <w:r>
        <w:rPr>
          <w:rFonts w:hint="eastAsia"/>
        </w:rPr>
        <w:t>m穿越一处乡村水泥路后沿P</w:t>
      </w:r>
      <w:r>
        <w:t>107</w:t>
      </w:r>
      <w:r>
        <w:rPr>
          <w:rFonts w:hint="eastAsia"/>
        </w:rPr>
        <w:t>集气站边缘地面敷设至站内分离器出口处，沿东北方向敷设300m后进P107集气站。</w:t>
      </w:r>
      <w:r>
        <w:t>集输管道路由示意图见图1.7-1。</w:t>
      </w:r>
    </w:p>
    <w:p>
      <w:pPr>
        <w:pStyle w:val="112"/>
        <w:ind w:firstLine="199" w:firstLineChars="83"/>
        <w:jc w:val="center"/>
      </w:pPr>
      <w:r>
        <w:pict>
          <v:shape id="_x0000_s1213" o:spid="_x0000_s1213" o:spt="202" type="#_x0000_t202" style="position:absolute;left:0pt;margin-left:262.85pt;margin-top:77.6pt;height:30.6pt;width:166.1pt;z-index:251668480;mso-width-relative:margin;mso-height-relative:margin;mso-width-percent:400;mso-height-percent:200;" filled="f" stroked="f" coordsize="21600,21600">
            <v:path/>
            <v:fill on="f" focussize="0,0"/>
            <v:stroke on="f" joinstyle="miter"/>
            <v:imagedata o:title=""/>
            <o:lock v:ext="edit"/>
            <v:textbox style="mso-fit-shape-to-text:t;">
              <w:txbxContent>
                <w:p>
                  <w:pPr>
                    <w:ind w:firstLine="480"/>
                    <w:rPr>
                      <w:color w:val="FF0000"/>
                    </w:rPr>
                  </w:pPr>
                  <w:r>
                    <w:rPr>
                      <w:rFonts w:hint="eastAsia"/>
                      <w:color w:val="FF0000"/>
                    </w:rPr>
                    <w:t>P107集气站</w:t>
                  </w:r>
                </w:p>
              </w:txbxContent>
            </v:textbox>
          </v:shape>
        </w:pict>
      </w:r>
      <w:r>
        <w:pict>
          <v:shape id="_x0000_s1212" o:spid="_x0000_s1212" o:spt="202" type="#_x0000_t202" style="position:absolute;left:0pt;margin-left:30.75pt;margin-top:74.8pt;height:30.6pt;width:166.05pt;z-index:251667456;mso-width-relative:margin;mso-height-relative:margin;mso-width-percent:400;mso-height-percent:200;" filled="f" stroked="f" coordsize="21600,21600">
            <v:path/>
            <v:fill on="f" focussize="0,0"/>
            <v:stroke on="f" joinstyle="miter"/>
            <v:imagedata o:title=""/>
            <o:lock v:ext="edit"/>
            <v:textbox style="mso-fit-shape-to-text:t;">
              <w:txbxContent>
                <w:p>
                  <w:pPr>
                    <w:ind w:firstLine="480"/>
                    <w:rPr>
                      <w:color w:val="FF0000"/>
                    </w:rPr>
                  </w:pPr>
                  <w:r>
                    <w:rPr>
                      <w:color w:val="FF0000"/>
                    </w:rPr>
                    <w:t>普陆</w:t>
                  </w:r>
                  <w:r>
                    <w:rPr>
                      <w:rFonts w:hint="eastAsia"/>
                      <w:color w:val="FF0000"/>
                    </w:rPr>
                    <w:t>4集气平台</w:t>
                  </w:r>
                </w:p>
              </w:txbxContent>
            </v:textbox>
          </v:shape>
        </w:pict>
      </w:r>
      <w:r>
        <w:drawing>
          <wp:inline distT="0" distB="0" distL="0" distR="0">
            <wp:extent cx="5274310" cy="2209800"/>
            <wp:effectExtent l="19050" t="0" r="2540" b="0"/>
            <wp:docPr id="1"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3"/>
                    <pic:cNvPicPr>
                      <a:picLocks noChangeAspect="1" noChangeArrowheads="1"/>
                    </pic:cNvPicPr>
                  </pic:nvPicPr>
                  <pic:blipFill>
                    <a:blip r:embed="rId47"/>
                    <a:srcRect/>
                    <a:stretch>
                      <a:fillRect/>
                    </a:stretch>
                  </pic:blipFill>
                  <pic:spPr>
                    <a:xfrm>
                      <a:off x="0" y="0"/>
                      <a:ext cx="5274310" cy="2210043"/>
                    </a:xfrm>
                    <a:prstGeom prst="rect">
                      <a:avLst/>
                    </a:prstGeom>
                    <a:noFill/>
                    <a:ln w="9525">
                      <a:noFill/>
                      <a:miter lim="800000"/>
                      <a:headEnd/>
                      <a:tailEnd/>
                    </a:ln>
                  </pic:spPr>
                </pic:pic>
              </a:graphicData>
            </a:graphic>
          </wp:inline>
        </w:drawing>
      </w:r>
    </w:p>
    <w:p>
      <w:pPr>
        <w:pStyle w:val="37"/>
        <w:rPr>
          <w:rFonts w:cs="Times New Roman"/>
        </w:rPr>
      </w:pPr>
      <w:r>
        <w:rPr>
          <w:rFonts w:cs="Times New Roman"/>
        </w:rPr>
        <w:t xml:space="preserve">图1.7-1  </w:t>
      </w:r>
      <w:r>
        <w:rPr>
          <w:rFonts w:hint="eastAsia" w:cs="Times New Roman"/>
        </w:rPr>
        <w:t>普陆4集气平台～P107集气站管道线路走向示意图</w:t>
      </w:r>
    </w:p>
    <w:p>
      <w:pPr>
        <w:pStyle w:val="112"/>
        <w:ind w:firstLine="480"/>
      </w:pPr>
      <w:r>
        <w:t>依据管线对环境影响最小的原则，从环境影响和环境保护角度进行环境要素比选，</w:t>
      </w:r>
      <w:r>
        <w:rPr>
          <w:color w:val="FF0000"/>
        </w:rPr>
        <w:t>结合环保要求等对部分敏感区域段路由进行了优化</w:t>
      </w:r>
      <w:r>
        <w:t>。</w:t>
      </w:r>
      <w:r>
        <w:rPr>
          <w:rFonts w:hint="eastAsia"/>
        </w:rPr>
        <w:t>管线</w:t>
      </w:r>
      <w:r>
        <w:t>采用</w:t>
      </w:r>
      <w:r>
        <w:rPr>
          <w:rFonts w:hint="eastAsia"/>
        </w:rPr>
        <w:t>直接过沟方式</w:t>
      </w:r>
      <w:r>
        <w:t>可避免施工期管沟开挖对地表植被的破坏和水土流失；同时管沟土石方量更少；受地形高差影响，</w:t>
      </w:r>
      <w:r>
        <w:rPr>
          <w:rFonts w:hint="eastAsia"/>
        </w:rPr>
        <w:t>拟采取的管线路由</w:t>
      </w:r>
      <w:r>
        <w:t>施工难度较小</w:t>
      </w:r>
      <w:r>
        <w:rPr>
          <w:rFonts w:hint="eastAsia"/>
        </w:rPr>
        <w:t>，</w:t>
      </w:r>
      <w:r>
        <w:t>安全性高。从环境影响和环境保护、节约占地、安全生产角度出发，管线</w:t>
      </w:r>
      <w:r>
        <w:rPr>
          <w:rFonts w:hint="eastAsia"/>
        </w:rPr>
        <w:t>路由选用合理</w:t>
      </w:r>
      <w:r>
        <w:t>。</w:t>
      </w:r>
    </w:p>
    <w:p>
      <w:pPr>
        <w:pStyle w:val="112"/>
        <w:ind w:firstLine="482"/>
        <w:rPr>
          <w:b/>
          <w:bCs/>
        </w:rPr>
      </w:pPr>
      <w:r>
        <w:rPr>
          <w:b/>
          <w:bCs/>
        </w:rPr>
        <w:t>3、管线《中华人民共和国石油天然气管道保护法》符合性分析</w:t>
      </w:r>
    </w:p>
    <w:p>
      <w:pPr>
        <w:pStyle w:val="112"/>
        <w:ind w:firstLine="480"/>
      </w:pPr>
      <w:r>
        <w:t>根据工程设计，在管线敷设过程中，为了保证房屋与管线的安全距离5m，对管道敷设沿线不满足安全距离房屋进行拆除，沿线</w:t>
      </w:r>
      <w:r>
        <w:rPr>
          <w:rFonts w:hint="eastAsia"/>
        </w:rPr>
        <w:t>不</w:t>
      </w:r>
      <w:r>
        <w:t>涉及拆迁。管道沿线满足《中华人民共和国石油天然气管道保护法》中第三十条规定的“在管道线路中心线两侧各5m地域范围内，禁止下列危害管道安全的行为：建家畜棚圈、建房以及修建其他建筑物、构筑物。”的相关要求。</w:t>
      </w:r>
    </w:p>
    <w:p>
      <w:pPr>
        <w:keepNext/>
        <w:keepLines/>
        <w:ind w:firstLine="0" w:firstLineChars="0"/>
        <w:outlineLvl w:val="2"/>
        <w:rPr>
          <w:rFonts w:ascii="Times New Roman" w:cs="Times New Roman"/>
          <w:b/>
          <w:szCs w:val="32"/>
        </w:rPr>
      </w:pPr>
      <w:r>
        <w:rPr>
          <w:rFonts w:ascii="Times New Roman" w:cs="Times New Roman"/>
          <w:b/>
          <w:szCs w:val="32"/>
        </w:rPr>
        <w:t>1.7.</w:t>
      </w:r>
      <w:r>
        <w:rPr>
          <w:rFonts w:hint="eastAsia" w:ascii="Times New Roman" w:cs="Times New Roman"/>
          <w:b/>
          <w:szCs w:val="32"/>
        </w:rPr>
        <w:t>4</w:t>
      </w:r>
      <w:r>
        <w:rPr>
          <w:rFonts w:ascii="Times New Roman" w:cs="Times New Roman"/>
          <w:b/>
          <w:szCs w:val="32"/>
        </w:rPr>
        <w:t xml:space="preserve"> 项目</w:t>
      </w:r>
      <w:r>
        <w:rPr>
          <w:rFonts w:hint="eastAsia" w:ascii="Times New Roman" w:cs="Times New Roman"/>
          <w:b/>
          <w:szCs w:val="32"/>
        </w:rPr>
        <w:t>井场</w:t>
      </w:r>
      <w:r>
        <w:rPr>
          <w:rFonts w:ascii="Times New Roman" w:cs="Times New Roman"/>
          <w:b/>
          <w:szCs w:val="32"/>
        </w:rPr>
        <w:t>选址符合性分析</w:t>
      </w:r>
    </w:p>
    <w:p>
      <w:pPr>
        <w:pStyle w:val="112"/>
        <w:ind w:firstLine="480"/>
      </w:pPr>
      <w:r>
        <w:rPr>
          <w:rFonts w:hint="eastAsia"/>
        </w:rPr>
        <w:t>本项目的选址综合考虑了选址唯一性、工程合理性、环境可行性、地质地形等各方面因素综合确定。</w:t>
      </w:r>
    </w:p>
    <w:p>
      <w:pPr>
        <w:pStyle w:val="112"/>
        <w:ind w:left="476" w:firstLine="0" w:firstLineChars="0"/>
      </w:pPr>
      <w:r>
        <w:t>（1）选址唯一性</w:t>
      </w:r>
    </w:p>
    <w:p>
      <w:pPr>
        <w:pStyle w:val="112"/>
        <w:ind w:firstLine="480"/>
      </w:pPr>
      <w:r>
        <w:rPr>
          <w:rFonts w:hint="eastAsia"/>
          <w:bCs/>
        </w:rPr>
        <w:t>普陆</w:t>
      </w:r>
      <w:r>
        <w:rPr>
          <w:bCs/>
        </w:rPr>
        <w:t>4-1</w:t>
      </w:r>
      <w:r>
        <w:rPr>
          <w:rFonts w:hint="eastAsia"/>
          <w:bCs/>
        </w:rPr>
        <w:t>H</w:t>
      </w:r>
      <w:r>
        <w:rPr>
          <w:rFonts w:hint="eastAsia"/>
        </w:rPr>
        <w:t>井所在的</w:t>
      </w:r>
      <w:r>
        <w:t>普陆4井台地依托现有井台</w:t>
      </w:r>
      <w:r>
        <w:rPr>
          <w:rFonts w:hint="eastAsia"/>
        </w:rPr>
        <w:t>，场地已硬化，周边</w:t>
      </w:r>
      <w:r>
        <w:t>主要以耕地、草地分布，地形相对较平缓。井场处于抗震设防烈度Ⅵ度区，区域稳定性良好；地形平坦，地质灾害不发育，场地稳定性好，适宜建筑。</w:t>
      </w:r>
    </w:p>
    <w:p>
      <w:pPr>
        <w:pStyle w:val="112"/>
        <w:ind w:firstLine="480"/>
      </w:pPr>
      <w:r>
        <w:t>（2）工程合理性</w:t>
      </w:r>
    </w:p>
    <w:p>
      <w:pPr>
        <w:pStyle w:val="112"/>
        <w:ind w:firstLine="480"/>
      </w:pPr>
      <w:r>
        <w:t>本项目位于</w:t>
      </w:r>
      <w:r>
        <w:rPr>
          <w:rFonts w:hint="eastAsia"/>
          <w:bCs/>
        </w:rPr>
        <w:t>普光陆相气藏</w:t>
      </w:r>
      <w:r>
        <w:t>，所在地天然气能源丰富，本项目所在地交通方便，施工期很短，</w:t>
      </w:r>
      <w:r>
        <w:rPr>
          <w:bCs/>
        </w:rPr>
        <w:t>本项目的建设可</w:t>
      </w:r>
      <w:r>
        <w:rPr>
          <w:rFonts w:hint="eastAsia"/>
        </w:rPr>
        <w:t>满足普光陆相气藏勘探评价的需求，为后续普光陆相气井的规模性开发提供现场经验，也为提高气田产能贡献，满足气田稳产和可持续发展的需要。</w:t>
      </w:r>
    </w:p>
    <w:p>
      <w:pPr>
        <w:pStyle w:val="112"/>
        <w:ind w:firstLine="480"/>
      </w:pPr>
      <w:r>
        <w:t>（3）环境可行性</w:t>
      </w:r>
    </w:p>
    <w:p>
      <w:pPr>
        <w:pStyle w:val="112"/>
        <w:ind w:firstLine="480"/>
      </w:pPr>
      <w:r>
        <w:t>1）居民分布</w:t>
      </w:r>
    </w:p>
    <w:p>
      <w:pPr>
        <w:pStyle w:val="112"/>
        <w:ind w:firstLine="480"/>
      </w:pPr>
      <w:r>
        <w:rPr>
          <w:rFonts w:hint="eastAsia"/>
          <w:bCs/>
        </w:rPr>
        <w:t>普陆</w:t>
      </w:r>
      <w:r>
        <w:rPr>
          <w:bCs/>
        </w:rPr>
        <w:t>4-1</w:t>
      </w:r>
      <w:r>
        <w:rPr>
          <w:rFonts w:hint="eastAsia"/>
          <w:bCs/>
        </w:rPr>
        <w:t>H</w:t>
      </w:r>
      <w:r>
        <w:rPr>
          <w:rFonts w:hint="eastAsia"/>
        </w:rPr>
        <w:t>井所在的</w:t>
      </w:r>
      <w:r>
        <w:t>普陆4井台</w:t>
      </w:r>
      <w:r>
        <w:rPr>
          <w:rFonts w:hint="eastAsia"/>
        </w:rPr>
        <w:t>中心1</w:t>
      </w:r>
      <w:r>
        <w:t>00m范围内无居民点分布，</w:t>
      </w:r>
      <w:r>
        <w:rPr>
          <w:rFonts w:hint="eastAsia"/>
        </w:rPr>
        <w:t>井场中心方圆 500m 范围内共计35户 105人</w:t>
      </w:r>
      <w:r>
        <w:t>，且多数于外地打工，常住居民人数较少，本项目位于</w:t>
      </w:r>
      <w:r>
        <w:rPr>
          <w:rFonts w:hint="eastAsia"/>
          <w:bCs/>
        </w:rPr>
        <w:t>金镇</w:t>
      </w:r>
      <w:r>
        <w:rPr>
          <w:bCs/>
        </w:rPr>
        <w:t>场场镇</w:t>
      </w:r>
      <w:r>
        <w:rPr>
          <w:rFonts w:hint="eastAsia"/>
          <w:bCs/>
        </w:rPr>
        <w:t>西南</w:t>
      </w:r>
      <w:r>
        <w:rPr>
          <w:bCs/>
        </w:rPr>
        <w:t>侧，</w:t>
      </w:r>
      <w:r>
        <w:t>与</w:t>
      </w:r>
      <w:r>
        <w:rPr>
          <w:rFonts w:hint="eastAsia"/>
          <w:bCs/>
        </w:rPr>
        <w:t>黄金镇</w:t>
      </w:r>
      <w:r>
        <w:rPr>
          <w:bCs/>
        </w:rPr>
        <w:t>场镇直线距离约</w:t>
      </w:r>
      <w:r>
        <w:rPr>
          <w:rFonts w:hint="eastAsia"/>
          <w:bCs/>
        </w:rPr>
        <w:t>6.2</w:t>
      </w:r>
      <w:r>
        <w:rPr>
          <w:bCs/>
        </w:rPr>
        <w:t>km</w:t>
      </w:r>
      <w:r>
        <w:t xml:space="preserve">，距离场镇较远，对场镇影响小。 </w:t>
      </w:r>
    </w:p>
    <w:p>
      <w:pPr>
        <w:pStyle w:val="112"/>
        <w:ind w:firstLine="480"/>
      </w:pPr>
      <w:r>
        <w:t>2）周边敏感区情况</w:t>
      </w:r>
    </w:p>
    <w:p>
      <w:pPr>
        <w:pStyle w:val="112"/>
        <w:ind w:firstLine="480"/>
      </w:pPr>
      <w:r>
        <w:rPr>
          <w:rFonts w:hint="eastAsia"/>
          <w:bCs/>
        </w:rPr>
        <w:t>普陆</w:t>
      </w:r>
      <w:r>
        <w:rPr>
          <w:bCs/>
        </w:rPr>
        <w:t>4-1</w:t>
      </w:r>
      <w:r>
        <w:rPr>
          <w:rFonts w:hint="eastAsia"/>
          <w:bCs/>
        </w:rPr>
        <w:t>H</w:t>
      </w:r>
      <w:r>
        <w:rPr>
          <w:rFonts w:hint="eastAsia"/>
        </w:rPr>
        <w:t>井所在的</w:t>
      </w:r>
      <w:r>
        <w:t>普陆4井台</w:t>
      </w:r>
      <w:r>
        <w:rPr>
          <w:rFonts w:hint="eastAsia"/>
        </w:rPr>
        <w:t>中心</w:t>
      </w:r>
      <w:r>
        <w:t>5km范围内无环境敏感区。本项目下游无取水口分布。</w:t>
      </w:r>
    </w:p>
    <w:p>
      <w:pPr>
        <w:pStyle w:val="112"/>
        <w:ind w:firstLine="480"/>
      </w:pPr>
      <w:r>
        <w:t>本项目施工期间废水均不排放，正常状况下不会对水体产生影响。同时，钻井公司已制定完善的应急预案并配备应急物资，事故状态下能够及时阻隔废水的外排。且井场与后河之间有山体等阻隔，流至水体的可能性较小。</w:t>
      </w:r>
    </w:p>
    <w:p>
      <w:pPr>
        <w:pStyle w:val="112"/>
        <w:ind w:firstLine="480"/>
      </w:pPr>
      <w:r>
        <w:t>本项目周边5km内无自然保护区、风景名胜区等敏感区分布。</w:t>
      </w:r>
    </w:p>
    <w:p>
      <w:pPr>
        <w:pStyle w:val="112"/>
        <w:ind w:firstLine="480"/>
      </w:pPr>
      <w:r>
        <w:t>综上所述，本项目井场选址可行。</w:t>
      </w:r>
    </w:p>
    <w:p>
      <w:pPr>
        <w:keepNext/>
        <w:keepLines/>
        <w:ind w:firstLine="0" w:firstLineChars="0"/>
        <w:outlineLvl w:val="2"/>
        <w:rPr>
          <w:rFonts w:ascii="Times New Roman" w:cs="Times New Roman"/>
          <w:b/>
          <w:szCs w:val="32"/>
        </w:rPr>
      </w:pPr>
      <w:r>
        <w:rPr>
          <w:rFonts w:ascii="Times New Roman" w:cs="Times New Roman"/>
          <w:b/>
          <w:szCs w:val="32"/>
        </w:rPr>
        <w:t>1.7.</w:t>
      </w:r>
      <w:r>
        <w:rPr>
          <w:rFonts w:hint="eastAsia" w:ascii="Times New Roman" w:cs="Times New Roman"/>
          <w:b/>
          <w:szCs w:val="32"/>
        </w:rPr>
        <w:t>5</w:t>
      </w:r>
      <w:r>
        <w:rPr>
          <w:rFonts w:ascii="Times New Roman" w:cs="Times New Roman"/>
          <w:b/>
          <w:szCs w:val="32"/>
        </w:rPr>
        <w:t xml:space="preserve"> </w:t>
      </w:r>
      <w:r>
        <w:rPr>
          <w:rFonts w:hint="eastAsia" w:ascii="Times New Roman" w:cs="Times New Roman"/>
          <w:b/>
          <w:szCs w:val="32"/>
        </w:rPr>
        <w:t>井场平面布置合理</w:t>
      </w:r>
      <w:r>
        <w:rPr>
          <w:rFonts w:ascii="Times New Roman" w:cs="Times New Roman"/>
          <w:b/>
          <w:szCs w:val="32"/>
        </w:rPr>
        <w:t>性分析</w:t>
      </w:r>
    </w:p>
    <w:p>
      <w:pPr>
        <w:pStyle w:val="112"/>
        <w:ind w:firstLine="480"/>
      </w:pPr>
      <w:r>
        <w:rPr>
          <w:rFonts w:hint="eastAsia"/>
        </w:rPr>
        <w:t>本次评价从噪声源、放喷池、排污池及柴油储罐布置等</w:t>
      </w:r>
      <w:r>
        <w:t>方面</w:t>
      </w:r>
      <w:r>
        <w:rPr>
          <w:rFonts w:hint="eastAsia"/>
        </w:rPr>
        <w:t>分析本项目井场平面布置的合理性。</w:t>
      </w:r>
    </w:p>
    <w:p>
      <w:pPr>
        <w:pStyle w:val="112"/>
        <w:ind w:firstLine="480"/>
      </w:pPr>
      <w:r>
        <w:rPr>
          <w:rFonts w:hint="eastAsia"/>
        </w:rPr>
        <w:t>（1）噪声源布置合理性分析</w:t>
      </w:r>
    </w:p>
    <w:p>
      <w:pPr>
        <w:pStyle w:val="112"/>
        <w:ind w:firstLine="480"/>
      </w:pPr>
      <w:r>
        <w:rPr>
          <w:rFonts w:hint="eastAsia"/>
        </w:rPr>
        <w:t>本项目钻机采用网电，备用</w:t>
      </w:r>
      <w:r>
        <w:t>柴油发电机。</w:t>
      </w:r>
      <w:r>
        <w:rPr>
          <w:rFonts w:hint="eastAsia"/>
        </w:rPr>
        <w:t>根据《钻前工程及井场布置技术要求》（SY/T 5466-2013）规定，发电机房位于井场后场右方，结合平面布置图和外环境关系图可知，本项目住户主要分布于井场东南侧，将发电机布设于井场中部，尽量远离住户布设，对住户的噪声影响可接受，噪声源布置合理。</w:t>
      </w:r>
    </w:p>
    <w:p>
      <w:pPr>
        <w:pStyle w:val="112"/>
        <w:ind w:firstLine="480"/>
      </w:pPr>
      <w:r>
        <w:rPr>
          <w:rFonts w:hint="eastAsia"/>
        </w:rPr>
        <w:t>（2）放喷池布置合理性分析</w:t>
      </w:r>
    </w:p>
    <w:p>
      <w:pPr>
        <w:pStyle w:val="112"/>
        <w:ind w:firstLine="480"/>
        <w:rPr>
          <w:color w:val="FF0000"/>
        </w:rPr>
      </w:pPr>
      <w:r>
        <w:rPr>
          <w:rFonts w:hint="eastAsia"/>
          <w:color w:val="FF0000"/>
        </w:rPr>
        <w:t>根据《石油天然气钻井、开发、储运防火防爆安全生产技术规程》（</w:t>
      </w:r>
      <w:r>
        <w:rPr>
          <w:color w:val="FF0000"/>
        </w:rPr>
        <w:t>SY/T 5225-2012</w:t>
      </w:r>
      <w:r>
        <w:rPr>
          <w:rFonts w:hint="eastAsia"/>
          <w:color w:val="FF0000"/>
        </w:rPr>
        <w:t>）及相关规定：放喷管线出口距井口应不小于75m，并远离居民密集区。根据项目井场平面布置图可知，项目的放喷管线出口位于井场西南侧，距离井口最近距离为100m，满足要求。</w:t>
      </w:r>
    </w:p>
    <w:p>
      <w:pPr>
        <w:pStyle w:val="112"/>
        <w:ind w:firstLine="480"/>
      </w:pPr>
      <w:r>
        <w:rPr>
          <w:rFonts w:hint="eastAsia"/>
        </w:rPr>
        <w:t>本项目放喷池周围的住户很少，同时由于气井测试放喷持续时间较短（4h～6h），属于短期排放，住户受测试放喷SO</w:t>
      </w:r>
      <w:r>
        <w:rPr>
          <w:rFonts w:hint="eastAsia"/>
          <w:vertAlign w:val="subscript"/>
        </w:rPr>
        <w:t>2</w:t>
      </w:r>
      <w:r>
        <w:rPr>
          <w:rFonts w:hint="eastAsia"/>
        </w:rPr>
        <w:t>的影响持续时间短，影响小。此外，建设方在测试放喷期间采取临时撤离措施后，可避免测试放喷对住户的不利影响。本</w:t>
      </w:r>
      <w:r>
        <w:t>项目放喷池布置合理</w:t>
      </w:r>
      <w:r>
        <w:rPr>
          <w:rFonts w:hint="eastAsia"/>
        </w:rPr>
        <w:t>。</w:t>
      </w:r>
    </w:p>
    <w:p>
      <w:pPr>
        <w:pStyle w:val="112"/>
        <w:ind w:firstLine="480"/>
      </w:pPr>
      <w:r>
        <w:rPr>
          <w:rFonts w:hint="eastAsia"/>
        </w:rPr>
        <w:t>（3）排污池布置合理性分析</w:t>
      </w:r>
    </w:p>
    <w:p>
      <w:pPr>
        <w:pStyle w:val="112"/>
        <w:ind w:firstLine="480"/>
      </w:pPr>
      <w:r>
        <w:rPr>
          <w:rFonts w:hint="eastAsia"/>
        </w:rPr>
        <w:t>排污池位于井场东南侧，排污池采用地上式设计，经过地质勘察，地质结构良好，不在崩塌、滑坡、沉陷和不稳定边坡、泥石流流道区域。</w:t>
      </w:r>
    </w:p>
    <w:p>
      <w:pPr>
        <w:pStyle w:val="112"/>
        <w:ind w:firstLine="480"/>
      </w:pPr>
      <w:r>
        <w:rPr>
          <w:rFonts w:hint="eastAsia"/>
        </w:rPr>
        <w:t>排污池布设于井场东南侧，从总体布局来说，排污池地势相对较低，排污池往东地势相对井场较平缓。排污池</w:t>
      </w:r>
      <w:r>
        <w:t>不会对</w:t>
      </w:r>
      <w:r>
        <w:rPr>
          <w:rFonts w:hint="eastAsia"/>
        </w:rPr>
        <w:t>居民</w:t>
      </w:r>
      <w:r>
        <w:t>饮用水</w:t>
      </w:r>
      <w:r>
        <w:rPr>
          <w:rFonts w:hint="eastAsia"/>
        </w:rPr>
        <w:t>带来影响</w:t>
      </w:r>
      <w:r>
        <w:t>，</w:t>
      </w:r>
      <w:r>
        <w:rPr>
          <w:rFonts w:hint="eastAsia"/>
        </w:rPr>
        <w:t>排污池</w:t>
      </w:r>
      <w:r>
        <w:t>布局合理</w:t>
      </w:r>
      <w:r>
        <w:rPr>
          <w:rFonts w:hint="eastAsia"/>
        </w:rPr>
        <w:t>。</w:t>
      </w:r>
    </w:p>
    <w:p>
      <w:pPr>
        <w:pStyle w:val="112"/>
        <w:ind w:firstLine="480"/>
      </w:pPr>
      <w:r>
        <w:rPr>
          <w:rFonts w:hint="eastAsia"/>
        </w:rPr>
        <w:t>（4）柴油储罐布置合理性分析</w:t>
      </w:r>
    </w:p>
    <w:p>
      <w:pPr>
        <w:pStyle w:val="112"/>
        <w:ind w:firstLine="480"/>
        <w:rPr>
          <w:color w:val="FF0000"/>
        </w:rPr>
      </w:pPr>
      <w:r>
        <w:rPr>
          <w:rFonts w:hint="eastAsia"/>
          <w:color w:val="FF0000"/>
        </w:rPr>
        <w:t>根据《石油天然气钻井、开发、储运防火防爆安全生产技术规程》（</w:t>
      </w:r>
      <w:r>
        <w:rPr>
          <w:color w:val="FF0000"/>
        </w:rPr>
        <w:t>SY/T 5225-2012</w:t>
      </w:r>
      <w:r>
        <w:rPr>
          <w:rFonts w:hint="eastAsia"/>
          <w:color w:val="FF0000"/>
        </w:rPr>
        <w:t>）中3.1.3的规定，油罐区距井口应不小于30m。根据平面布置图可知，柴油储罐位于井场西南侧，距离井口最近距离为50m，满足防火间距的要求。</w:t>
      </w:r>
    </w:p>
    <w:p>
      <w:pPr>
        <w:pStyle w:val="112"/>
        <w:ind w:firstLine="480"/>
      </w:pPr>
      <w:r>
        <w:rPr>
          <w:rFonts w:hint="eastAsia"/>
        </w:rPr>
        <w:t>综上所述，本项目井场总平面布置图综合</w:t>
      </w:r>
      <w:r>
        <w:t>考虑了周边环境及地势分布情况，同时满足</w:t>
      </w:r>
      <w:r>
        <w:rPr>
          <w:rFonts w:hint="eastAsia"/>
        </w:rPr>
        <w:t>《钻前工程及井场布置技术要求》（SY/T 5466-2013）、</w:t>
      </w:r>
      <w:r>
        <w:rPr>
          <w:rFonts w:hint="eastAsia"/>
          <w:color w:val="FF0000"/>
        </w:rPr>
        <w:t>《石油天然气钻井、开发、储运防火防爆安全生产技术规程》（</w:t>
      </w:r>
      <w:r>
        <w:rPr>
          <w:color w:val="FF0000"/>
        </w:rPr>
        <w:t>SY/T 5225-2012</w:t>
      </w:r>
      <w:r>
        <w:rPr>
          <w:rFonts w:hint="eastAsia"/>
          <w:color w:val="FF0000"/>
        </w:rPr>
        <w:t>）</w:t>
      </w:r>
      <w:r>
        <w:rPr>
          <w:rFonts w:hint="eastAsia"/>
        </w:rPr>
        <w:t>等规定的相关要求布置，总平面布置合理。</w:t>
      </w:r>
    </w:p>
    <w:bookmarkEnd w:id="86"/>
    <w:p>
      <w:pPr>
        <w:keepNext/>
        <w:keepLines/>
        <w:spacing w:before="120"/>
        <w:ind w:firstLine="0" w:firstLineChars="0"/>
        <w:outlineLvl w:val="1"/>
        <w:rPr>
          <w:rFonts w:ascii="Times New Roman" w:cs="Times New Roman"/>
          <w:b/>
          <w:bCs/>
          <w:sz w:val="28"/>
          <w:szCs w:val="32"/>
        </w:rPr>
      </w:pPr>
      <w:bookmarkStart w:id="87" w:name="_Toc81515257"/>
      <w:r>
        <w:rPr>
          <w:rFonts w:ascii="Times New Roman" w:cs="Times New Roman"/>
          <w:b/>
          <w:bCs/>
          <w:sz w:val="28"/>
          <w:szCs w:val="32"/>
        </w:rPr>
        <w:t>1.8 项目与相关符合性分析</w:t>
      </w:r>
      <w:bookmarkEnd w:id="87"/>
    </w:p>
    <w:p>
      <w:pPr>
        <w:keepNext/>
        <w:keepLines/>
        <w:ind w:firstLine="0" w:firstLineChars="0"/>
        <w:outlineLvl w:val="2"/>
        <w:rPr>
          <w:rFonts w:ascii="Times New Roman" w:cs="Times New Roman"/>
          <w:b/>
          <w:szCs w:val="32"/>
        </w:rPr>
      </w:pPr>
      <w:r>
        <w:rPr>
          <w:rFonts w:ascii="Times New Roman" w:cs="Times New Roman"/>
          <w:b/>
          <w:szCs w:val="32"/>
        </w:rPr>
        <w:t>1.8.1 产业政策符合性分析</w:t>
      </w:r>
    </w:p>
    <w:p>
      <w:pPr>
        <w:ind w:firstLine="480"/>
        <w:rPr>
          <w:rFonts w:ascii="Times New Roman" w:cs="Times New Roman"/>
          <w:color w:val="FF0000"/>
        </w:rPr>
      </w:pPr>
      <w:r>
        <w:rPr>
          <w:rFonts w:ascii="Times New Roman" w:cs="Times New Roman"/>
          <w:color w:val="FF0000"/>
        </w:rPr>
        <w:t>根据《产业结构调整指导目录》（20</w:t>
      </w:r>
      <w:r>
        <w:rPr>
          <w:rFonts w:hint="eastAsia" w:ascii="Times New Roman" w:cs="Times New Roman"/>
          <w:color w:val="FF0000"/>
        </w:rPr>
        <w:t>24</w:t>
      </w:r>
      <w:r>
        <w:rPr>
          <w:rFonts w:ascii="Times New Roman" w:cs="Times New Roman"/>
          <w:color w:val="FF0000"/>
        </w:rPr>
        <w:t>年本），本项目属于《产业结构调整指导目录》（20</w:t>
      </w:r>
      <w:r>
        <w:rPr>
          <w:rFonts w:hint="eastAsia" w:ascii="Times New Roman" w:cs="Times New Roman"/>
          <w:color w:val="FF0000"/>
        </w:rPr>
        <w:t>24</w:t>
      </w:r>
      <w:r>
        <w:rPr>
          <w:rFonts w:ascii="Times New Roman" w:cs="Times New Roman"/>
          <w:color w:val="FF0000"/>
        </w:rPr>
        <w:t>年本）鼓励类中第七条“石油天然气”中的</w:t>
      </w:r>
      <w:r>
        <w:rPr>
          <w:rFonts w:hint="eastAsia" w:ascii="Times New Roman" w:cs="Times New Roman"/>
          <w:color w:val="FF0000"/>
        </w:rPr>
        <w:t>1、</w:t>
      </w:r>
      <w:r>
        <w:rPr>
          <w:rFonts w:ascii="Times New Roman" w:cs="Times New Roman"/>
          <w:color w:val="FF0000"/>
        </w:rPr>
        <w:t>“</w:t>
      </w:r>
      <w:r>
        <w:rPr>
          <w:rFonts w:hint="eastAsia" w:ascii="Times New Roman" w:cs="Times New Roman"/>
          <w:color w:val="FF0000"/>
        </w:rPr>
        <w:t>石油天然气开采：常规石油、天然气勘探与开采，页岩气、页岩油、致密油（气）、油砂、天然气水合物等非常规资源勘探开发</w:t>
      </w:r>
      <w:r>
        <w:rPr>
          <w:rFonts w:ascii="Times New Roman" w:cs="Times New Roman"/>
          <w:color w:val="FF0000"/>
        </w:rPr>
        <w:t>”。</w:t>
      </w:r>
    </w:p>
    <w:p>
      <w:pPr>
        <w:ind w:firstLine="480"/>
        <w:rPr>
          <w:rFonts w:ascii="Times New Roman" w:cs="Times New Roman"/>
          <w:color w:val="FF0000"/>
        </w:rPr>
      </w:pPr>
      <w:r>
        <w:rPr>
          <w:rFonts w:ascii="Times New Roman" w:cs="Times New Roman"/>
          <w:color w:val="FF0000"/>
        </w:rPr>
        <w:t>因此本项目建设符合国家产业政策。</w:t>
      </w:r>
    </w:p>
    <w:p>
      <w:pPr>
        <w:keepNext/>
        <w:keepLines/>
        <w:ind w:firstLine="0" w:firstLineChars="0"/>
        <w:outlineLvl w:val="2"/>
        <w:rPr>
          <w:rFonts w:ascii="Times New Roman" w:cs="Times New Roman"/>
          <w:b/>
          <w:szCs w:val="32"/>
        </w:rPr>
      </w:pPr>
      <w:r>
        <w:rPr>
          <w:rFonts w:ascii="Times New Roman" w:cs="Times New Roman"/>
          <w:b/>
          <w:szCs w:val="32"/>
        </w:rPr>
        <w:t>1.8.2 与《长江经济带生态环境保护规划》的符合性分析</w:t>
      </w:r>
    </w:p>
    <w:p>
      <w:pPr>
        <w:pStyle w:val="112"/>
        <w:ind w:firstLine="480"/>
      </w:pPr>
      <w:bookmarkStart w:id="88" w:name="_Hlk58750719"/>
      <w:r>
        <w:t>根据《长江经济带生态环境保护规划》专栏11城乡环境综合整治-大气污染治理：开展燃煤电厂超低排放和节能改造。……建设完善天然气输送管道、城市燃气管网、天然气储气库、城市调峰站储气罐等基础设施，实施民用部门“煤改电”“煤改气”工程。本工程属于天然气</w:t>
      </w:r>
      <w:r>
        <w:rPr>
          <w:rFonts w:hint="eastAsia"/>
        </w:rPr>
        <w:t>试采</w:t>
      </w:r>
      <w:r>
        <w:t>及输送建设项目，符合建设完善天然气输送管道的要求。</w:t>
      </w:r>
    </w:p>
    <w:p>
      <w:pPr>
        <w:pStyle w:val="112"/>
        <w:ind w:firstLine="480"/>
      </w:pPr>
      <w:r>
        <w:t>因此，本工程的建设符合《长江经济带生态环境保护规划》要求。</w:t>
      </w:r>
    </w:p>
    <w:bookmarkEnd w:id="88"/>
    <w:p>
      <w:pPr>
        <w:keepNext/>
        <w:keepLines/>
        <w:ind w:firstLine="0" w:firstLineChars="0"/>
        <w:outlineLvl w:val="2"/>
        <w:rPr>
          <w:rFonts w:ascii="Times New Roman" w:cs="Times New Roman"/>
          <w:b/>
          <w:szCs w:val="32"/>
        </w:rPr>
      </w:pPr>
      <w:r>
        <w:rPr>
          <w:rFonts w:ascii="Times New Roman" w:cs="Times New Roman"/>
          <w:b/>
          <w:szCs w:val="32"/>
        </w:rPr>
        <w:t>1.8.</w:t>
      </w:r>
      <w:r>
        <w:rPr>
          <w:rFonts w:hint="eastAsia" w:ascii="Times New Roman" w:cs="Times New Roman"/>
          <w:b/>
          <w:szCs w:val="32"/>
        </w:rPr>
        <w:t>3</w:t>
      </w:r>
      <w:r>
        <w:rPr>
          <w:rFonts w:ascii="Times New Roman" w:cs="Times New Roman"/>
          <w:b/>
          <w:szCs w:val="32"/>
        </w:rPr>
        <w:t xml:space="preserve"> 与四川省主体功能区规划的符合性分析</w:t>
      </w:r>
    </w:p>
    <w:p>
      <w:pPr>
        <w:pStyle w:val="112"/>
        <w:ind w:firstLine="482"/>
        <w:rPr>
          <w:b/>
          <w:bCs/>
        </w:rPr>
      </w:pPr>
      <w:r>
        <w:rPr>
          <w:b/>
          <w:bCs/>
        </w:rPr>
        <w:t>1、四川省主体功能区规划概述</w:t>
      </w:r>
    </w:p>
    <w:p>
      <w:pPr>
        <w:pStyle w:val="112"/>
        <w:ind w:firstLine="480"/>
      </w:pPr>
      <w:r>
        <w:t>根据《四川省主体功能区规划》（川府发〔2013〕16号文）（以下简称《规划》），全省主体功能区分为以下四个大类：</w:t>
      </w:r>
    </w:p>
    <w:p>
      <w:pPr>
        <w:pStyle w:val="112"/>
        <w:ind w:firstLine="480"/>
      </w:pPr>
      <w:r>
        <w:t>（1）重点开发区域</w:t>
      </w:r>
    </w:p>
    <w:p>
      <w:pPr>
        <w:pStyle w:val="112"/>
        <w:ind w:firstLine="480"/>
      </w:pPr>
      <w:r>
        <w:t>主要包括成都平原、川南、川东北和攀西地区19市（州）中的89个县（市、区），以及与之相连的50个点状开发城镇，该区域面积10.3万平方公里，占全省</w:t>
      </w:r>
      <w:r>
        <w:rPr>
          <w:rFonts w:hint="eastAsia"/>
          <w:lang w:eastAsia="zh-CN"/>
        </w:rPr>
        <w:t>辖区面积</w:t>
      </w:r>
      <w:r>
        <w:t>21.2%；分为国家层面重点开发区域和省级层面重点开发区域。</w:t>
      </w:r>
    </w:p>
    <w:p>
      <w:pPr>
        <w:pStyle w:val="112"/>
        <w:ind w:firstLine="480"/>
      </w:pPr>
      <w:r>
        <w:t>该功能区是全省经济增长的重要支撑区，实施加快推进新型工业化新型城镇化的主要承载区，是全省经济和人口密集区。</w:t>
      </w:r>
    </w:p>
    <w:p>
      <w:pPr>
        <w:pStyle w:val="112"/>
        <w:ind w:firstLine="480"/>
      </w:pPr>
      <w:r>
        <w:t>（2）限制开发区域（农产品主产区）</w:t>
      </w:r>
    </w:p>
    <w:p>
      <w:pPr>
        <w:pStyle w:val="112"/>
        <w:ind w:firstLine="480"/>
      </w:pPr>
      <w:r>
        <w:t>限制开发的农产品主产区是指具备较好的农业生产条件，以提供农产品为主体功能，以提供生态产品、服务产品和工业品为其他功能，需要在国土空间开发中限制进行大规模高强度工业化城镇化开发，以保持并提高农产品生产能力的区域。</w:t>
      </w:r>
    </w:p>
    <w:p>
      <w:pPr>
        <w:pStyle w:val="112"/>
        <w:ind w:firstLine="480"/>
      </w:pPr>
      <w:r>
        <w:t>全省农产品主产区包括盆地中部平原浅丘区、川南低中山区和盆地东部丘陵低山区、盆地西缘山区和安宁河流域5大农产品主产区，共35个县（市），面积6.7万平方公里，扣除其中重点开发的县城镇及重点镇规划面积1750平方公里，占全省</w:t>
      </w:r>
      <w:r>
        <w:rPr>
          <w:rFonts w:hint="eastAsia"/>
          <w:lang w:eastAsia="zh-CN"/>
        </w:rPr>
        <w:t>辖区面积</w:t>
      </w:r>
      <w:r>
        <w:t>13.4%。</w:t>
      </w:r>
    </w:p>
    <w:p>
      <w:pPr>
        <w:pStyle w:val="112"/>
        <w:ind w:firstLine="480"/>
      </w:pPr>
      <w:r>
        <w:t>该功能区是国家优质商品猪战略保障基地，现代农业示范区，现代林业产业基地，优势特色农产品加工业发展的重点区域，农民安居乐业的美好家园。区域应着力保护耕地，加强农业基础设施建设，稳定粮食生产，发展现代农业，增强农业综合生产能力，保障全省主要农产品有效供给，增加农民收入，加快社会主义新农村建设。</w:t>
      </w:r>
    </w:p>
    <w:p>
      <w:pPr>
        <w:pStyle w:val="112"/>
        <w:ind w:firstLine="480"/>
      </w:pPr>
      <w:r>
        <w:t>（3）限制开发区域（重点生态功能区）</w:t>
      </w:r>
    </w:p>
    <w:p>
      <w:pPr>
        <w:pStyle w:val="112"/>
        <w:ind w:firstLine="480"/>
      </w:pPr>
      <w:r>
        <w:t>限制开发的重点生态功能区是指生态系统十分重要，关系较大范围区域的生态安全，目前生态系统有所退化，需要在国土空间开发中限制进行大规模高强度工业化城镇化开发，以保持并提高生态产品供给能力的区域。</w:t>
      </w:r>
    </w:p>
    <w:p>
      <w:pPr>
        <w:pStyle w:val="112"/>
        <w:ind w:firstLine="480"/>
      </w:pPr>
      <w:r>
        <w:t>重点生态功能区共57个县（市），总面积31.8万平方公里，扣除其中省级重点生态功能区中重点开发的县城镇及重点镇规划面积，占全省</w:t>
      </w:r>
      <w:r>
        <w:rPr>
          <w:rFonts w:hint="eastAsia"/>
          <w:lang w:eastAsia="zh-CN"/>
        </w:rPr>
        <w:t>辖区面积</w:t>
      </w:r>
      <w:r>
        <w:t>65.4%；分为国家层面的重点生态功能区和省级层面的重点生态功能区。</w:t>
      </w:r>
    </w:p>
    <w:p>
      <w:pPr>
        <w:pStyle w:val="112"/>
        <w:ind w:firstLine="480"/>
      </w:pPr>
      <w:r>
        <w:t>国家青藏高原生态屏障和长江上游生态屏障的重要组成部分，国家重要的水源涵养、水土保持与生物多样性保护区域，全省提供生态产品的主体区域与生态财富富集区，保障国家生态安全的重要区域，生态文明建设、人与自然和谐相处的示范区。</w:t>
      </w:r>
    </w:p>
    <w:p>
      <w:pPr>
        <w:pStyle w:val="112"/>
        <w:ind w:firstLine="480"/>
      </w:pPr>
      <w:r>
        <w:t>（4）禁止开发区域</w:t>
      </w:r>
    </w:p>
    <w:p>
      <w:pPr>
        <w:pStyle w:val="112"/>
        <w:ind w:firstLine="480"/>
      </w:pPr>
      <w:r>
        <w:t>禁止开发区域是指依法设立的各级各类自然文化资源保护区域，以及其他禁止进行工业化城镇化开发、需要特殊保护的重点生态功能区。主要包括国家级自然保护区、世界文化自然遗产、国家级风景名胜区、国家森林公园、国家重要湿地、国家湿地公园和国家地质公园；省级及以下各级各类自然文化资源保护区域、重要饮用水水源地以及其他省级人民政府根据需要确定的禁止开发区域。</w:t>
      </w:r>
    </w:p>
    <w:p>
      <w:pPr>
        <w:pStyle w:val="112"/>
        <w:ind w:firstLine="480"/>
      </w:pPr>
      <w:r>
        <w:t>该区域是四川省自然文化资源的重要区域，森林、湿地生态、生物多样性和珍稀动植物基因资源保护地，重要水土保持区域与重要饮用水水源保护地。</w:t>
      </w:r>
    </w:p>
    <w:p>
      <w:pPr>
        <w:pStyle w:val="112"/>
        <w:ind w:firstLine="480"/>
      </w:pPr>
      <w:r>
        <w:t>禁止开发区域要严格控制人为因素对自然生态的干扰，严禁不符合主体功能区定位的开发活动，引导人口逐步有序转移，实现污染物“零排放”，提高环境质量，提高可持续发展能力。自然保护区、文化自然遗产、风景名胜区、森林公园、湿地公园、地质公园，要逐步达到各类区域规定执行标准。</w:t>
      </w:r>
    </w:p>
    <w:p>
      <w:pPr>
        <w:pStyle w:val="112"/>
        <w:ind w:firstLine="482"/>
        <w:rPr>
          <w:b/>
          <w:bCs/>
        </w:rPr>
      </w:pPr>
      <w:r>
        <w:rPr>
          <w:b/>
          <w:bCs/>
        </w:rPr>
        <w:t>2、与四川省主体功能区规划的符合性分析</w:t>
      </w:r>
    </w:p>
    <w:p>
      <w:pPr>
        <w:pStyle w:val="112"/>
        <w:ind w:firstLine="480"/>
      </w:pPr>
      <w:r>
        <w:t>根据《四川省人民政府关于印发四川省主体功能区规划的通知》（川府发〔2013〕16号），本项目所在地属国家重点开发区域，不属于重点生态功能区，该地区无国家级自然保护区、世界文化遗产、国家风景名胜区、国家森林公园和国家地质公园。项目不在禁止开发区，不在重点保护区内，符合《四川省主体功能区规划》要求。</w:t>
      </w:r>
    </w:p>
    <w:p>
      <w:pPr>
        <w:keepNext/>
        <w:keepLines/>
        <w:ind w:firstLine="0" w:firstLineChars="0"/>
        <w:outlineLvl w:val="2"/>
        <w:rPr>
          <w:rFonts w:ascii="Times New Roman" w:cs="Times New Roman"/>
          <w:b/>
          <w:szCs w:val="32"/>
        </w:rPr>
      </w:pPr>
      <w:r>
        <w:rPr>
          <w:rFonts w:ascii="Times New Roman" w:cs="Times New Roman"/>
          <w:b/>
          <w:szCs w:val="32"/>
        </w:rPr>
        <w:t>1.8.</w:t>
      </w:r>
      <w:r>
        <w:rPr>
          <w:rFonts w:hint="eastAsia" w:ascii="Times New Roman" w:cs="Times New Roman"/>
          <w:b/>
          <w:szCs w:val="32"/>
        </w:rPr>
        <w:t>4</w:t>
      </w:r>
      <w:r>
        <w:rPr>
          <w:rFonts w:ascii="Times New Roman" w:cs="Times New Roman"/>
          <w:b/>
          <w:szCs w:val="32"/>
        </w:rPr>
        <w:t>与</w:t>
      </w:r>
      <w:r>
        <w:rPr>
          <w:rFonts w:hint="eastAsia" w:ascii="Times New Roman" w:cs="Times New Roman"/>
          <w:b/>
          <w:szCs w:val="32"/>
        </w:rPr>
        <w:t>《四川省嘉陵江流域生态环境保护条例》符合性分析</w:t>
      </w:r>
    </w:p>
    <w:p>
      <w:pPr>
        <w:pStyle w:val="112"/>
        <w:ind w:firstLine="480"/>
      </w:pPr>
      <w:r>
        <w:t>本次评价根据《四川省嘉陵江流域生态环境保护条例》（2021年11月25日四川省第十三届人民代表大会常务委员会第三十一次会议通过）要求进行了合理性分析，具体如下：</w:t>
      </w:r>
    </w:p>
    <w:p>
      <w:pPr>
        <w:pStyle w:val="37"/>
        <w:rPr>
          <w:rFonts w:cs="Times New Roman"/>
        </w:rPr>
      </w:pPr>
      <w:r>
        <w:rPr>
          <w:rFonts w:cs="Times New Roman"/>
        </w:rPr>
        <w:t>表1.8-</w:t>
      </w:r>
      <w:r>
        <w:rPr>
          <w:rFonts w:hint="eastAsia" w:cs="Times New Roman"/>
        </w:rPr>
        <w:t>2</w:t>
      </w:r>
      <w:r>
        <w:rPr>
          <w:rFonts w:cs="Times New Roman"/>
        </w:rPr>
        <w:t xml:space="preserve">  项目与《四川省嘉陵江流域生态环境保护条例》符合性分析</w:t>
      </w:r>
    </w:p>
    <w:tbl>
      <w:tblPr>
        <w:tblStyle w:val="57"/>
        <w:tblW w:w="878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63"/>
        <w:gridCol w:w="3543"/>
        <w:gridCol w:w="3930"/>
        <w:gridCol w:w="7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5" w:hRule="atLeast"/>
          <w:tblHeader/>
          <w:jc w:val="center"/>
        </w:trPr>
        <w:tc>
          <w:tcPr>
            <w:tcW w:w="320" w:type="pct"/>
            <w:vAlign w:val="center"/>
          </w:tcPr>
          <w:p>
            <w:pPr>
              <w:spacing w:line="240" w:lineRule="auto"/>
              <w:ind w:firstLine="0" w:firstLineChars="0"/>
              <w:jc w:val="center"/>
              <w:rPr>
                <w:rFonts w:ascii="Times New Roman" w:cs="Times New Roman"/>
                <w:b/>
                <w:bCs/>
                <w:sz w:val="21"/>
                <w:szCs w:val="21"/>
              </w:rPr>
            </w:pPr>
            <w:r>
              <w:rPr>
                <w:rFonts w:ascii="Times New Roman" w:cs="Times New Roman"/>
                <w:b/>
                <w:bCs/>
                <w:sz w:val="21"/>
                <w:szCs w:val="21"/>
              </w:rPr>
              <w:t>序号</w:t>
            </w:r>
          </w:p>
        </w:tc>
        <w:tc>
          <w:tcPr>
            <w:tcW w:w="2017" w:type="pct"/>
            <w:vAlign w:val="center"/>
          </w:tcPr>
          <w:p>
            <w:pPr>
              <w:spacing w:line="240" w:lineRule="auto"/>
              <w:ind w:firstLine="0" w:firstLineChars="0"/>
              <w:jc w:val="center"/>
              <w:rPr>
                <w:rFonts w:ascii="Times New Roman" w:cs="Times New Roman"/>
                <w:b/>
                <w:bCs/>
                <w:sz w:val="21"/>
                <w:szCs w:val="21"/>
              </w:rPr>
            </w:pPr>
            <w:r>
              <w:rPr>
                <w:rFonts w:ascii="Times New Roman" w:cs="Times New Roman"/>
                <w:b/>
                <w:bCs/>
                <w:sz w:val="21"/>
                <w:szCs w:val="21"/>
              </w:rPr>
              <w:t>条例管理要求</w:t>
            </w:r>
          </w:p>
        </w:tc>
        <w:tc>
          <w:tcPr>
            <w:tcW w:w="2237" w:type="pct"/>
            <w:vAlign w:val="center"/>
          </w:tcPr>
          <w:p>
            <w:pPr>
              <w:spacing w:line="240" w:lineRule="auto"/>
              <w:ind w:firstLine="0" w:firstLineChars="0"/>
              <w:jc w:val="center"/>
              <w:rPr>
                <w:rFonts w:ascii="Times New Roman" w:cs="Times New Roman"/>
                <w:b/>
                <w:bCs/>
                <w:sz w:val="21"/>
                <w:szCs w:val="21"/>
              </w:rPr>
            </w:pPr>
            <w:r>
              <w:rPr>
                <w:rFonts w:ascii="Times New Roman" w:cs="Times New Roman"/>
                <w:b/>
                <w:bCs/>
                <w:sz w:val="21"/>
                <w:szCs w:val="21"/>
              </w:rPr>
              <w:t>项目内容</w:t>
            </w:r>
          </w:p>
        </w:tc>
        <w:tc>
          <w:tcPr>
            <w:tcW w:w="426" w:type="pct"/>
            <w:vAlign w:val="center"/>
          </w:tcPr>
          <w:p>
            <w:pPr>
              <w:spacing w:line="240" w:lineRule="auto"/>
              <w:ind w:firstLine="0" w:firstLineChars="0"/>
              <w:jc w:val="center"/>
              <w:rPr>
                <w:rFonts w:ascii="Times New Roman" w:cs="Times New Roman"/>
                <w:b/>
                <w:bCs/>
                <w:sz w:val="21"/>
                <w:szCs w:val="21"/>
              </w:rPr>
            </w:pPr>
            <w:r>
              <w:rPr>
                <w:rFonts w:ascii="Times New Roman" w:cs="Times New Roman"/>
                <w:b/>
                <w:bCs/>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8" w:hRule="atLeast"/>
          <w:jc w:val="center"/>
        </w:trPr>
        <w:tc>
          <w:tcPr>
            <w:tcW w:w="320" w:type="pct"/>
            <w:vAlign w:val="center"/>
          </w:tcPr>
          <w:p>
            <w:pPr>
              <w:pStyle w:val="553"/>
            </w:pPr>
            <w:r>
              <w:t>第十七条</w:t>
            </w:r>
          </w:p>
        </w:tc>
        <w:tc>
          <w:tcPr>
            <w:tcW w:w="2017" w:type="pct"/>
            <w:vAlign w:val="center"/>
          </w:tcPr>
          <w:p>
            <w:pPr>
              <w:pStyle w:val="553"/>
            </w:pPr>
            <w:r>
              <w:t>编制嘉陵江流域生态环境保护规划应当遵守生态保护红线、环境质量底线、资源利用上线和生态环境准入清单，符合国土空间规划、生态环境保护规划、岸线保护和开发利用规划等相关规划。编制其他有关专项规划或者方案，应当与国土空间规划和流域生态环境保护规划相衔接。</w:t>
            </w:r>
          </w:p>
          <w:p>
            <w:pPr>
              <w:pStyle w:val="553"/>
            </w:pPr>
            <w:r>
              <w:t>禁止在嘉陵江干支流岸线一公里范围内新建、扩建化工园区和化工项目。</w:t>
            </w:r>
          </w:p>
        </w:tc>
        <w:tc>
          <w:tcPr>
            <w:tcW w:w="2237" w:type="pct"/>
            <w:vAlign w:val="center"/>
          </w:tcPr>
          <w:p>
            <w:pPr>
              <w:pStyle w:val="553"/>
            </w:pPr>
            <w:r>
              <w:t>本项目为本项目为普光气田</w:t>
            </w:r>
            <w:r>
              <w:rPr>
                <w:rFonts w:hint="eastAsia"/>
              </w:rPr>
              <w:t>普光陆相气藏</w:t>
            </w:r>
            <w:r>
              <w:t>天然气开采和内部集输工程，不属于禁建项目。</w:t>
            </w:r>
          </w:p>
        </w:tc>
        <w:tc>
          <w:tcPr>
            <w:tcW w:w="426" w:type="pct"/>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8" w:hRule="atLeast"/>
          <w:jc w:val="center"/>
        </w:trPr>
        <w:tc>
          <w:tcPr>
            <w:tcW w:w="320" w:type="pct"/>
            <w:vAlign w:val="center"/>
          </w:tcPr>
          <w:p>
            <w:pPr>
              <w:pStyle w:val="553"/>
            </w:pPr>
            <w:r>
              <w:t>第二十一条</w:t>
            </w:r>
          </w:p>
        </w:tc>
        <w:tc>
          <w:tcPr>
            <w:tcW w:w="2017" w:type="pct"/>
            <w:vAlign w:val="center"/>
          </w:tcPr>
          <w:p>
            <w:pPr>
              <w:pStyle w:val="553"/>
            </w:pPr>
            <w:r>
              <w:t>排污单位排放污染物不得超过国家和省污染物排放标准，不得超过重点水污染物排放总量控制指标。</w:t>
            </w:r>
          </w:p>
        </w:tc>
        <w:tc>
          <w:tcPr>
            <w:tcW w:w="2237" w:type="pct"/>
            <w:vAlign w:val="center"/>
          </w:tcPr>
          <w:p>
            <w:pPr>
              <w:pStyle w:val="553"/>
            </w:pPr>
            <w:r>
              <w:t>本项目施工期管线施工人员生活污水依托租用附近居民房收集处理</w:t>
            </w:r>
            <w:r>
              <w:rPr>
                <w:rFonts w:hint="eastAsia"/>
              </w:rPr>
              <w:t>，井</w:t>
            </w:r>
            <w:r>
              <w:t>场施工</w:t>
            </w:r>
            <w:r>
              <w:rPr>
                <w:rFonts w:hint="eastAsia"/>
                <w:lang w:eastAsia="zh-CN"/>
              </w:rPr>
              <w:t>如厕</w:t>
            </w:r>
            <w:r>
              <w:t>生活污水</w:t>
            </w:r>
            <w:r>
              <w:rPr>
                <w:rFonts w:hint="eastAsia"/>
              </w:rPr>
              <w:t>依托</w:t>
            </w:r>
            <w:r>
              <w:t>经生态环保厕所收集处理后，用作周边农肥，不外排；</w:t>
            </w:r>
            <w:r>
              <w:rPr>
                <w:rFonts w:hint="eastAsia"/>
              </w:rPr>
              <w:t>员工洗澡、食堂废水经单独收集后拉运至黄金镇场镇污水处理厂处理</w:t>
            </w:r>
            <w:r>
              <w:t>；施工生产废水经沿线隔油沉淀池（2m</w:t>
            </w:r>
            <w:r>
              <w:rPr>
                <w:vertAlign w:val="superscript"/>
              </w:rPr>
              <w:t>3</w:t>
            </w:r>
            <w:r>
              <w:t>）沉淀后洒水降尘使用；</w:t>
            </w:r>
            <w:r>
              <w:rPr>
                <w:rFonts w:hint="eastAsia"/>
              </w:rPr>
              <w:t>试压废水</w:t>
            </w:r>
            <w:r>
              <w:t>经沉</w:t>
            </w:r>
            <w:r>
              <w:rPr>
                <w:rFonts w:hint="eastAsia"/>
              </w:rPr>
              <w:t>沙</w:t>
            </w:r>
            <w:r>
              <w:t>池沉淀后</w:t>
            </w:r>
            <w:r>
              <w:rPr>
                <w:rFonts w:hint="eastAsia"/>
              </w:rPr>
              <w:t>回用，不外排；</w:t>
            </w:r>
            <w:r>
              <w:t>钻井废水经</w:t>
            </w:r>
            <w:r>
              <w:rPr>
                <w:rFonts w:hint="eastAsia"/>
              </w:rPr>
              <w:t>清洁化操作平台</w:t>
            </w:r>
            <w:r>
              <w:t>预处理后装车拉运至毛开1井回注站回注</w:t>
            </w:r>
            <w:r>
              <w:rPr>
                <w:rFonts w:hint="eastAsia"/>
              </w:rPr>
              <w:t>；</w:t>
            </w:r>
            <w:r>
              <w:t>压裂废水和洗井废水</w:t>
            </w:r>
            <w:r>
              <w:rPr>
                <w:rFonts w:hint="eastAsia"/>
              </w:rPr>
              <w:t>暂存于现有污水池</w:t>
            </w:r>
            <w:r>
              <w:t>，并及时装车拉运至大湾403污水站处理达标后管输至毛开1井回注站回注。</w:t>
            </w:r>
          </w:p>
          <w:p>
            <w:pPr>
              <w:pStyle w:val="553"/>
            </w:pPr>
            <w:r>
              <w:t>本项目运营期产生的气田水</w:t>
            </w:r>
            <w:r>
              <w:rPr>
                <w:rFonts w:hint="eastAsia"/>
              </w:rPr>
              <w:t>暂存于污水缓冲罐</w:t>
            </w:r>
            <w:r>
              <w:t>，然后通过密闭罐车拉运至大湾403污水站处理达到《气田水回注方法》（SY/T 6596</w:t>
            </w:r>
            <w:r>
              <w:rPr>
                <w:rFonts w:hint="eastAsia"/>
              </w:rPr>
              <w:t>-</w:t>
            </w:r>
            <w:r>
              <w:t>2016）中注入水基本要求后管输至毛开1井回注站回注处理，不外排</w:t>
            </w:r>
            <w:r>
              <w:rPr>
                <w:rFonts w:hint="eastAsia"/>
              </w:rPr>
              <w:t>；值守</w:t>
            </w:r>
            <w:r>
              <w:t>人员生活</w:t>
            </w:r>
            <w:r>
              <w:rPr>
                <w:rFonts w:hint="eastAsia"/>
              </w:rPr>
              <w:t>污水经</w:t>
            </w:r>
            <w:r>
              <w:t>生态环保厕所收集后，用作周边农肥，不外排</w:t>
            </w:r>
          </w:p>
        </w:tc>
        <w:tc>
          <w:tcPr>
            <w:tcW w:w="426" w:type="pct"/>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bl>
    <w:p>
      <w:pPr>
        <w:keepNext/>
        <w:keepLines/>
        <w:ind w:firstLine="0" w:firstLineChars="0"/>
        <w:outlineLvl w:val="2"/>
        <w:rPr>
          <w:rFonts w:ascii="Times New Roman" w:cs="Times New Roman"/>
          <w:b/>
          <w:szCs w:val="32"/>
        </w:rPr>
      </w:pPr>
      <w:r>
        <w:rPr>
          <w:rFonts w:ascii="Times New Roman" w:cs="Times New Roman"/>
          <w:b/>
          <w:szCs w:val="32"/>
        </w:rPr>
        <w:t>1.8.</w:t>
      </w:r>
      <w:r>
        <w:rPr>
          <w:rFonts w:hint="eastAsia" w:ascii="Times New Roman" w:cs="Times New Roman"/>
          <w:b/>
          <w:szCs w:val="32"/>
        </w:rPr>
        <w:t>5</w:t>
      </w:r>
      <w:r>
        <w:rPr>
          <w:rFonts w:ascii="Times New Roman" w:cs="Times New Roman"/>
          <w:b/>
          <w:szCs w:val="32"/>
        </w:rPr>
        <w:t>与</w:t>
      </w:r>
      <w:r>
        <w:rPr>
          <w:rFonts w:hint="eastAsia" w:ascii="Times New Roman" w:cs="Times New Roman"/>
          <w:b/>
          <w:szCs w:val="32"/>
        </w:rPr>
        <w:t>《四川省、重庆市长江经济带发展负面清单实施细则（试行，2022年版）》</w:t>
      </w:r>
      <w:r>
        <w:rPr>
          <w:rFonts w:ascii="Times New Roman" w:cs="Times New Roman"/>
          <w:b/>
          <w:szCs w:val="32"/>
        </w:rPr>
        <w:t>符合性</w:t>
      </w:r>
    </w:p>
    <w:p>
      <w:pPr>
        <w:pStyle w:val="112"/>
        <w:ind w:firstLine="480"/>
      </w:pPr>
      <w:r>
        <w:t>本项目与</w:t>
      </w:r>
      <w:r>
        <w:rPr>
          <w:rFonts w:hint="eastAsia"/>
        </w:rPr>
        <w:t>《四川省、重庆市长江经济带发展负面清单实施细则（试行，2022年版）》</w:t>
      </w:r>
      <w:r>
        <w:t>的符合性分析如下：</w:t>
      </w:r>
    </w:p>
    <w:p>
      <w:pPr>
        <w:pStyle w:val="37"/>
        <w:rPr>
          <w:rFonts w:cs="Times New Roman"/>
        </w:rPr>
      </w:pPr>
      <w:r>
        <w:rPr>
          <w:rFonts w:cs="Times New Roman"/>
        </w:rPr>
        <w:t>表1.8-</w:t>
      </w:r>
      <w:r>
        <w:rPr>
          <w:rFonts w:hint="eastAsia" w:cs="Times New Roman"/>
        </w:rPr>
        <w:t>3</w:t>
      </w:r>
      <w:r>
        <w:rPr>
          <w:rFonts w:cs="Times New Roman"/>
        </w:rPr>
        <w:t xml:space="preserve">  与</w:t>
      </w:r>
      <w:r>
        <w:rPr>
          <w:rFonts w:hint="eastAsia" w:cs="Times New Roman"/>
        </w:rPr>
        <w:t>《四川省、重庆市长江经济带发展负面清单实施细则（试行，2022年版）》</w:t>
      </w:r>
      <w:r>
        <w:rPr>
          <w:rFonts w:cs="Times New Roman"/>
        </w:rPr>
        <w:t>符合性分析</w:t>
      </w:r>
    </w:p>
    <w:tbl>
      <w:tblPr>
        <w:tblStyle w:val="57"/>
        <w:tblW w:w="87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84"/>
        <w:gridCol w:w="5535"/>
        <w:gridCol w:w="1875"/>
        <w:gridCol w:w="7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blHeader/>
          <w:jc w:val="center"/>
        </w:trPr>
        <w:tc>
          <w:tcPr>
            <w:tcW w:w="584" w:type="dxa"/>
            <w:vAlign w:val="center"/>
          </w:tcPr>
          <w:p>
            <w:pPr>
              <w:autoSpaceDE w:val="0"/>
              <w:autoSpaceDN w:val="0"/>
              <w:spacing w:line="240" w:lineRule="auto"/>
              <w:ind w:firstLine="0" w:firstLineChars="0"/>
              <w:jc w:val="center"/>
              <w:rPr>
                <w:rFonts w:ascii="Times New Roman" w:cs="Times New Roman"/>
                <w:b/>
                <w:bCs/>
                <w:sz w:val="21"/>
                <w:szCs w:val="21"/>
              </w:rPr>
            </w:pPr>
            <w:r>
              <w:rPr>
                <w:rFonts w:ascii="Times New Roman" w:cs="Times New Roman"/>
                <w:b/>
                <w:bCs/>
                <w:sz w:val="21"/>
                <w:szCs w:val="21"/>
              </w:rPr>
              <w:t>序号</w:t>
            </w:r>
          </w:p>
        </w:tc>
        <w:tc>
          <w:tcPr>
            <w:tcW w:w="5535" w:type="dxa"/>
            <w:vAlign w:val="center"/>
          </w:tcPr>
          <w:p>
            <w:pPr>
              <w:autoSpaceDE w:val="0"/>
              <w:autoSpaceDN w:val="0"/>
              <w:spacing w:line="240" w:lineRule="auto"/>
              <w:ind w:firstLine="0" w:firstLineChars="0"/>
              <w:jc w:val="center"/>
              <w:rPr>
                <w:rFonts w:ascii="Times New Roman" w:cs="Times New Roman"/>
                <w:b/>
                <w:bCs/>
                <w:sz w:val="21"/>
                <w:szCs w:val="21"/>
              </w:rPr>
            </w:pPr>
            <w:r>
              <w:rPr>
                <w:rFonts w:ascii="Times New Roman" w:cs="Times New Roman"/>
                <w:b/>
                <w:bCs/>
                <w:sz w:val="21"/>
                <w:szCs w:val="21"/>
              </w:rPr>
              <w:t>污染防治技术政策要求</w:t>
            </w:r>
          </w:p>
        </w:tc>
        <w:tc>
          <w:tcPr>
            <w:tcW w:w="1875" w:type="dxa"/>
            <w:vAlign w:val="center"/>
          </w:tcPr>
          <w:p>
            <w:pPr>
              <w:autoSpaceDE w:val="0"/>
              <w:autoSpaceDN w:val="0"/>
              <w:spacing w:line="240" w:lineRule="auto"/>
              <w:ind w:firstLine="0" w:firstLineChars="0"/>
              <w:jc w:val="center"/>
              <w:rPr>
                <w:rFonts w:ascii="Times New Roman" w:cs="Times New Roman"/>
                <w:b/>
                <w:bCs/>
                <w:sz w:val="21"/>
                <w:szCs w:val="21"/>
              </w:rPr>
            </w:pPr>
            <w:r>
              <w:rPr>
                <w:rFonts w:hint="eastAsia" w:ascii="Times New Roman" w:cs="Times New Roman"/>
                <w:b/>
                <w:bCs/>
                <w:sz w:val="21"/>
                <w:szCs w:val="21"/>
              </w:rPr>
              <w:t>本项目</w:t>
            </w:r>
            <w:r>
              <w:rPr>
                <w:rFonts w:ascii="Times New Roman" w:cs="Times New Roman"/>
                <w:b/>
                <w:bCs/>
                <w:sz w:val="21"/>
                <w:szCs w:val="21"/>
              </w:rPr>
              <w:t>内容</w:t>
            </w:r>
          </w:p>
        </w:tc>
        <w:tc>
          <w:tcPr>
            <w:tcW w:w="791" w:type="dxa"/>
            <w:vAlign w:val="center"/>
          </w:tcPr>
          <w:p>
            <w:pPr>
              <w:autoSpaceDE w:val="0"/>
              <w:autoSpaceDN w:val="0"/>
              <w:spacing w:line="240" w:lineRule="auto"/>
              <w:ind w:firstLine="0" w:firstLineChars="0"/>
              <w:jc w:val="center"/>
              <w:rPr>
                <w:rFonts w:ascii="Times New Roman" w:cs="Times New Roman"/>
                <w:b/>
                <w:bCs/>
                <w:sz w:val="21"/>
                <w:szCs w:val="21"/>
              </w:rPr>
            </w:pPr>
            <w:r>
              <w:rPr>
                <w:rFonts w:ascii="Times New Roman" w:cs="Times New Roman"/>
                <w:b/>
                <w:bCs/>
                <w:sz w:val="21"/>
                <w:szCs w:val="21"/>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第</w:t>
            </w:r>
            <w:r>
              <w:rPr>
                <w:rFonts w:hint="eastAsia" w:ascii="Times New Roman" w:cs="Times New Roman"/>
                <w:sz w:val="21"/>
                <w:szCs w:val="21"/>
              </w:rPr>
              <w:t>五</w:t>
            </w:r>
            <w:r>
              <w:rPr>
                <w:rFonts w:ascii="Times New Roman" w:cs="Times New Roman"/>
                <w:sz w:val="21"/>
                <w:szCs w:val="21"/>
              </w:rPr>
              <w:t>条</w:t>
            </w:r>
          </w:p>
        </w:tc>
        <w:tc>
          <w:tcPr>
            <w:tcW w:w="553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禁止新建、改建和扩建不符合《全国内河航道与港</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口布局规划》等全国港口规划，以及《四川省内河水运发展规划》《泸州—宜宾—乐山港口群布局规划》《重庆港总体规划（2035年）》等省级港口布局规划及市级港口总体规划的码头项目</w:t>
            </w:r>
            <w:r>
              <w:rPr>
                <w:rFonts w:ascii="Times New Roman" w:cs="Times New Roman"/>
                <w:sz w:val="21"/>
                <w:szCs w:val="21"/>
              </w:rPr>
              <w:t>。</w:t>
            </w:r>
          </w:p>
        </w:tc>
        <w:tc>
          <w:tcPr>
            <w:tcW w:w="187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本项目</w:t>
            </w:r>
            <w:r>
              <w:rPr>
                <w:rFonts w:ascii="Times New Roman" w:cs="Times New Roman"/>
                <w:sz w:val="21"/>
                <w:szCs w:val="21"/>
              </w:rPr>
              <w:t>不属于该类项目。</w:t>
            </w:r>
          </w:p>
        </w:tc>
        <w:tc>
          <w:tcPr>
            <w:tcW w:w="791"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第</w:t>
            </w:r>
            <w:r>
              <w:rPr>
                <w:rFonts w:hint="eastAsia" w:ascii="Times New Roman" w:cs="Times New Roman"/>
                <w:sz w:val="21"/>
                <w:szCs w:val="21"/>
              </w:rPr>
              <w:t>六</w:t>
            </w:r>
            <w:r>
              <w:rPr>
                <w:rFonts w:ascii="Times New Roman" w:cs="Times New Roman"/>
                <w:sz w:val="21"/>
                <w:szCs w:val="21"/>
              </w:rPr>
              <w:t>条</w:t>
            </w:r>
          </w:p>
        </w:tc>
        <w:tc>
          <w:tcPr>
            <w:tcW w:w="553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禁止新建、改建和扩建不符合《长江干线过江通道</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布局规划（2020—2035 年）》的过长江通道项目（含桥梁、隧道），国家发展改革委同意过长江通道线位调整的除外</w:t>
            </w:r>
            <w:r>
              <w:rPr>
                <w:rFonts w:ascii="Times New Roman" w:cs="Times New Roman"/>
                <w:sz w:val="21"/>
                <w:szCs w:val="21"/>
              </w:rPr>
              <w:t>。</w:t>
            </w:r>
          </w:p>
        </w:tc>
        <w:tc>
          <w:tcPr>
            <w:tcW w:w="187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本项目</w:t>
            </w:r>
            <w:r>
              <w:rPr>
                <w:rFonts w:ascii="Times New Roman" w:cs="Times New Roman"/>
                <w:sz w:val="21"/>
                <w:szCs w:val="21"/>
              </w:rPr>
              <w:t>不属于该类项目。</w:t>
            </w:r>
          </w:p>
        </w:tc>
        <w:tc>
          <w:tcPr>
            <w:tcW w:w="791"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第</w:t>
            </w:r>
            <w:r>
              <w:rPr>
                <w:rFonts w:hint="eastAsia" w:ascii="Times New Roman" w:cs="Times New Roman"/>
                <w:sz w:val="21"/>
                <w:szCs w:val="21"/>
              </w:rPr>
              <w:t>七</w:t>
            </w:r>
            <w:r>
              <w:rPr>
                <w:rFonts w:ascii="Times New Roman" w:cs="Times New Roman"/>
                <w:sz w:val="21"/>
                <w:szCs w:val="21"/>
              </w:rPr>
              <w:t>条</w:t>
            </w:r>
          </w:p>
        </w:tc>
        <w:tc>
          <w:tcPr>
            <w:tcW w:w="553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禁止在自然保护区核心区、缓冲区的岸线和河段范</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围内投资建设旅游和生产经营项目。自然保护区的内部未分区的，依照本实施细则核心区和缓冲区的规定管控</w:t>
            </w:r>
            <w:r>
              <w:rPr>
                <w:rFonts w:ascii="Times New Roman" w:cs="Times New Roman"/>
                <w:sz w:val="21"/>
                <w:szCs w:val="21"/>
              </w:rPr>
              <w:t>。</w:t>
            </w:r>
          </w:p>
        </w:tc>
        <w:tc>
          <w:tcPr>
            <w:tcW w:w="187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本项目</w:t>
            </w:r>
            <w:r>
              <w:rPr>
                <w:rFonts w:ascii="Times New Roman" w:cs="Times New Roman"/>
                <w:sz w:val="21"/>
                <w:szCs w:val="21"/>
              </w:rPr>
              <w:t>不在当地自然保护区范围内。</w:t>
            </w:r>
          </w:p>
        </w:tc>
        <w:tc>
          <w:tcPr>
            <w:tcW w:w="791"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第</w:t>
            </w:r>
            <w:r>
              <w:rPr>
                <w:rFonts w:hint="eastAsia" w:ascii="Times New Roman" w:cs="Times New Roman"/>
                <w:sz w:val="21"/>
                <w:szCs w:val="21"/>
              </w:rPr>
              <w:t>八</w:t>
            </w:r>
            <w:r>
              <w:rPr>
                <w:rFonts w:ascii="Times New Roman" w:cs="Times New Roman"/>
                <w:sz w:val="21"/>
                <w:szCs w:val="21"/>
              </w:rPr>
              <w:t>条</w:t>
            </w:r>
          </w:p>
        </w:tc>
        <w:tc>
          <w:tcPr>
            <w:tcW w:w="553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禁止违反风景名胜区规划，在风景名胜区内设立各类开发区。禁止在风景名胜区核心景区的岸线和河段范围内建设宾馆、招待所、培训中心、疗养院以及与风景名胜资源保护无关的项目</w:t>
            </w:r>
            <w:r>
              <w:rPr>
                <w:rFonts w:ascii="Times New Roman" w:cs="Times New Roman"/>
                <w:sz w:val="21"/>
                <w:szCs w:val="21"/>
              </w:rPr>
              <w:t>。</w:t>
            </w:r>
          </w:p>
        </w:tc>
        <w:tc>
          <w:tcPr>
            <w:tcW w:w="187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本项目</w:t>
            </w:r>
            <w:r>
              <w:rPr>
                <w:rFonts w:ascii="Times New Roman" w:cs="Times New Roman"/>
                <w:sz w:val="21"/>
                <w:szCs w:val="21"/>
              </w:rPr>
              <w:t>不在当地风景名胜区范围内。</w:t>
            </w:r>
          </w:p>
        </w:tc>
        <w:tc>
          <w:tcPr>
            <w:tcW w:w="791"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第</w:t>
            </w:r>
            <w:r>
              <w:rPr>
                <w:rFonts w:hint="eastAsia" w:ascii="Times New Roman" w:cs="Times New Roman"/>
                <w:sz w:val="21"/>
                <w:szCs w:val="21"/>
              </w:rPr>
              <w:t>九</w:t>
            </w:r>
            <w:r>
              <w:rPr>
                <w:rFonts w:ascii="Times New Roman" w:cs="Times New Roman"/>
                <w:sz w:val="21"/>
                <w:szCs w:val="21"/>
              </w:rPr>
              <w:t>条、第十条、第十</w:t>
            </w:r>
            <w:r>
              <w:rPr>
                <w:rFonts w:hint="eastAsia" w:ascii="Times New Roman" w:cs="Times New Roman"/>
                <w:sz w:val="21"/>
                <w:szCs w:val="21"/>
              </w:rPr>
              <w:t>一</w:t>
            </w:r>
            <w:r>
              <w:rPr>
                <w:rFonts w:ascii="Times New Roman" w:cs="Times New Roman"/>
                <w:sz w:val="21"/>
                <w:szCs w:val="21"/>
              </w:rPr>
              <w:t>条</w:t>
            </w:r>
          </w:p>
        </w:tc>
        <w:tc>
          <w:tcPr>
            <w:tcW w:w="553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禁止在饮用水水源准保护区的岸线和河段范围内新建、扩建对水体污染严重的建设项目，禁止改建增加排污量的建设项目。</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饮用水水源二级保护区的岸线和河段范围内，除应遵守准保护区规定外，禁止新建、改建、扩建排放污染物的投资建设项目；禁止从事采石（砂）、对水体有污染的水产养殖等活</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动</w:t>
            </w:r>
            <w:r>
              <w:rPr>
                <w:rFonts w:ascii="Times New Roman" w:cs="Times New Roman"/>
                <w:sz w:val="21"/>
                <w:szCs w:val="21"/>
              </w:rPr>
              <w:t>。</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饮用水水源一级保护区的岸线和河段范围内，除应遵守二级保护区规定外，禁止新建、改建、扩建与供（取）水设施和保护水源无关的项目，以及网箱养殖、畜禽养殖、旅游等可能污染饮用水水体的投资建设项目。</w:t>
            </w:r>
          </w:p>
        </w:tc>
        <w:tc>
          <w:tcPr>
            <w:tcW w:w="187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本项目</w:t>
            </w:r>
            <w:r>
              <w:rPr>
                <w:rFonts w:ascii="Times New Roman" w:cs="Times New Roman"/>
                <w:sz w:val="21"/>
                <w:szCs w:val="21"/>
              </w:rPr>
              <w:t>不在当地集中式饮用水源保护区范围内。</w:t>
            </w:r>
          </w:p>
        </w:tc>
        <w:tc>
          <w:tcPr>
            <w:tcW w:w="791"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第十</w:t>
            </w:r>
            <w:r>
              <w:rPr>
                <w:rFonts w:hint="eastAsia" w:ascii="Times New Roman" w:cs="Times New Roman"/>
                <w:sz w:val="21"/>
                <w:szCs w:val="21"/>
              </w:rPr>
              <w:t>二</w:t>
            </w:r>
            <w:r>
              <w:rPr>
                <w:rFonts w:ascii="Times New Roman" w:cs="Times New Roman"/>
                <w:sz w:val="21"/>
                <w:szCs w:val="21"/>
              </w:rPr>
              <w:t>条、第十三条</w:t>
            </w:r>
          </w:p>
        </w:tc>
        <w:tc>
          <w:tcPr>
            <w:tcW w:w="553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禁止在水产种质资源保护区岸线和河段范围内</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新建围湖造田、围湖造地或挖沙采石等投资建设项目。</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r>
              <w:rPr>
                <w:rFonts w:ascii="Times New Roman" w:cs="Times New Roman"/>
                <w:sz w:val="21"/>
                <w:szCs w:val="21"/>
              </w:rPr>
              <w:t>。</w:t>
            </w:r>
          </w:p>
        </w:tc>
        <w:tc>
          <w:tcPr>
            <w:tcW w:w="187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本项目</w:t>
            </w:r>
            <w:r>
              <w:rPr>
                <w:rFonts w:ascii="Times New Roman" w:cs="Times New Roman"/>
                <w:sz w:val="21"/>
                <w:szCs w:val="21"/>
              </w:rPr>
              <w:t>不在当地水产种质资源保护区</w:t>
            </w:r>
            <w:r>
              <w:rPr>
                <w:rFonts w:hint="eastAsia" w:ascii="Times New Roman" w:cs="Times New Roman"/>
                <w:sz w:val="21"/>
                <w:szCs w:val="21"/>
              </w:rPr>
              <w:t>和国家湿地公园的岸线和河段范围内</w:t>
            </w:r>
            <w:r>
              <w:rPr>
                <w:rFonts w:ascii="Times New Roman" w:cs="Times New Roman"/>
                <w:sz w:val="21"/>
                <w:szCs w:val="21"/>
              </w:rPr>
              <w:t>。</w:t>
            </w:r>
          </w:p>
        </w:tc>
        <w:tc>
          <w:tcPr>
            <w:tcW w:w="791"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第十</w:t>
            </w:r>
            <w:r>
              <w:rPr>
                <w:rFonts w:hint="eastAsia" w:ascii="Times New Roman" w:cs="Times New Roman"/>
                <w:sz w:val="21"/>
                <w:szCs w:val="21"/>
              </w:rPr>
              <w:t>四</w:t>
            </w:r>
            <w:r>
              <w:rPr>
                <w:rFonts w:ascii="Times New Roman" w:cs="Times New Roman"/>
                <w:sz w:val="21"/>
                <w:szCs w:val="21"/>
              </w:rPr>
              <w:t>条、第十五条</w:t>
            </w:r>
          </w:p>
        </w:tc>
        <w:tc>
          <w:tcPr>
            <w:tcW w:w="553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禁止在《全国重要江河湖泊水功能区划》划定的河段及湖泊保护区、保留区内投资建设不利于水资源及自然生态保护的项目</w:t>
            </w:r>
            <w:r>
              <w:rPr>
                <w:rFonts w:ascii="Times New Roman" w:cs="Times New Roman"/>
                <w:sz w:val="21"/>
                <w:szCs w:val="21"/>
              </w:rPr>
              <w:t>。</w:t>
            </w:r>
          </w:p>
        </w:tc>
        <w:tc>
          <w:tcPr>
            <w:tcW w:w="187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本项目</w:t>
            </w:r>
            <w:r>
              <w:rPr>
                <w:rFonts w:ascii="Times New Roman" w:cs="Times New Roman"/>
                <w:sz w:val="21"/>
                <w:szCs w:val="21"/>
              </w:rPr>
              <w:t>不在《长江岸线保护和开发利用总体规划》划定的岸线保护区范围内</w:t>
            </w:r>
            <w:r>
              <w:rPr>
                <w:rFonts w:hint="eastAsia" w:ascii="Times New Roman" w:cs="Times New Roman"/>
                <w:sz w:val="21"/>
                <w:szCs w:val="21"/>
              </w:rPr>
              <w:t>，</w:t>
            </w:r>
            <w:r>
              <w:rPr>
                <w:rFonts w:ascii="Times New Roman" w:cs="Times New Roman"/>
                <w:sz w:val="21"/>
                <w:szCs w:val="21"/>
              </w:rPr>
              <w:t>不在《全国重要江河湖泊水功能区划》划定的河段保护区、保留区范围内。</w:t>
            </w:r>
          </w:p>
        </w:tc>
        <w:tc>
          <w:tcPr>
            <w:tcW w:w="791"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第十六条</w:t>
            </w:r>
          </w:p>
        </w:tc>
        <w:tc>
          <w:tcPr>
            <w:tcW w:w="553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禁止在长江流域江河、湖泊新设、改设或者扩大排污口，经有管辖权的生态环境主管部门或者长江流域生态环境监督管理机构同意的除外</w:t>
            </w:r>
            <w:r>
              <w:rPr>
                <w:rFonts w:ascii="Times New Roman" w:cs="Times New Roman"/>
                <w:sz w:val="21"/>
                <w:szCs w:val="21"/>
              </w:rPr>
              <w:t>。</w:t>
            </w:r>
          </w:p>
        </w:tc>
        <w:tc>
          <w:tcPr>
            <w:tcW w:w="187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本项目</w:t>
            </w:r>
            <w:r>
              <w:rPr>
                <w:rFonts w:ascii="Times New Roman" w:cs="Times New Roman"/>
                <w:sz w:val="21"/>
                <w:szCs w:val="21"/>
              </w:rPr>
              <w:t>不</w:t>
            </w:r>
            <w:r>
              <w:rPr>
                <w:rFonts w:hint="eastAsia" w:ascii="Times New Roman" w:cs="Times New Roman"/>
                <w:sz w:val="21"/>
                <w:szCs w:val="21"/>
              </w:rPr>
              <w:t>涉及</w:t>
            </w:r>
            <w:r>
              <w:rPr>
                <w:rFonts w:ascii="Times New Roman" w:cs="Times New Roman"/>
                <w:sz w:val="21"/>
                <w:szCs w:val="21"/>
              </w:rPr>
              <w:t>在</w:t>
            </w:r>
            <w:r>
              <w:rPr>
                <w:rFonts w:hint="eastAsia" w:ascii="Times New Roman" w:cs="Times New Roman"/>
                <w:sz w:val="21"/>
                <w:szCs w:val="21"/>
              </w:rPr>
              <w:t>长江流域江河、湖泊新设、改设或者扩大</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排污口</w:t>
            </w:r>
            <w:r>
              <w:rPr>
                <w:rFonts w:ascii="Times New Roman" w:cs="Times New Roman"/>
                <w:sz w:val="21"/>
                <w:szCs w:val="21"/>
              </w:rPr>
              <w:t>。</w:t>
            </w:r>
          </w:p>
        </w:tc>
        <w:tc>
          <w:tcPr>
            <w:tcW w:w="791"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第十七条</w:t>
            </w:r>
          </w:p>
        </w:tc>
        <w:tc>
          <w:tcPr>
            <w:tcW w:w="553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禁止在长江、大渡河、岷江、赤水河、沱江、嘉陵江、乌江、汉江和 51 个（四川省 45 个、重庆市 6 个）水生生物保护区开展生产性捕捞。</w:t>
            </w:r>
          </w:p>
        </w:tc>
        <w:tc>
          <w:tcPr>
            <w:tcW w:w="187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本项目</w:t>
            </w:r>
            <w:r>
              <w:rPr>
                <w:rFonts w:ascii="Times New Roman" w:cs="Times New Roman"/>
                <w:sz w:val="21"/>
                <w:szCs w:val="21"/>
              </w:rPr>
              <w:t>不</w:t>
            </w:r>
            <w:r>
              <w:rPr>
                <w:rFonts w:hint="eastAsia" w:ascii="Times New Roman" w:cs="Times New Roman"/>
                <w:sz w:val="21"/>
                <w:szCs w:val="21"/>
              </w:rPr>
              <w:t>涉及生产性捕捞</w:t>
            </w:r>
          </w:p>
        </w:tc>
        <w:tc>
          <w:tcPr>
            <w:tcW w:w="791"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第十八条</w:t>
            </w:r>
            <w:r>
              <w:rPr>
                <w:rFonts w:hint="eastAsia" w:ascii="Times New Roman" w:cs="Times New Roman"/>
                <w:sz w:val="21"/>
                <w:szCs w:val="21"/>
              </w:rPr>
              <w:t>、</w:t>
            </w:r>
            <w:r>
              <w:rPr>
                <w:rFonts w:ascii="Times New Roman" w:cs="Times New Roman"/>
                <w:sz w:val="21"/>
                <w:szCs w:val="21"/>
              </w:rPr>
              <w:t>第十九条</w:t>
            </w:r>
            <w:r>
              <w:rPr>
                <w:rFonts w:hint="eastAsia" w:ascii="Times New Roman" w:cs="Times New Roman"/>
                <w:sz w:val="21"/>
                <w:szCs w:val="21"/>
              </w:rPr>
              <w:t>、</w:t>
            </w:r>
            <w:r>
              <w:rPr>
                <w:rFonts w:ascii="Times New Roman" w:cs="Times New Roman"/>
                <w:sz w:val="21"/>
                <w:szCs w:val="21"/>
              </w:rPr>
              <w:t>第二十条</w:t>
            </w:r>
          </w:p>
        </w:tc>
        <w:tc>
          <w:tcPr>
            <w:tcW w:w="553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禁止在长江干支流、重要湖泊岸线一公里范围内</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新建、扩建化工园区和化工项目</w:t>
            </w:r>
            <w:r>
              <w:rPr>
                <w:rFonts w:ascii="Times New Roman" w:cs="Times New Roman"/>
                <w:sz w:val="21"/>
                <w:szCs w:val="21"/>
              </w:rPr>
              <w:t>。</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禁止在长江干流岸线三公里范围内和重要支流岸线一公里范围内新建、改建、扩建尾矿库、冶炼渣库、磷石膏库，以提升安全、生态环境保护水平为目的的改建除外。</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禁止在生态保护红线区域、永久基本农田集中区域和其他需要特别保护的区域内选址建设尾矿库、冶炼渣库、磷石膏库。</w:t>
            </w:r>
          </w:p>
        </w:tc>
        <w:tc>
          <w:tcPr>
            <w:tcW w:w="187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本项目</w:t>
            </w:r>
            <w:r>
              <w:rPr>
                <w:rFonts w:ascii="Times New Roman" w:cs="Times New Roman"/>
                <w:sz w:val="21"/>
                <w:szCs w:val="21"/>
              </w:rPr>
              <w:t>不</w:t>
            </w:r>
            <w:r>
              <w:rPr>
                <w:rFonts w:hint="eastAsia" w:ascii="Times New Roman" w:cs="Times New Roman"/>
                <w:sz w:val="21"/>
                <w:szCs w:val="21"/>
              </w:rPr>
              <w:t>属于化工项目，不属于尾矿库、冶炼渣库、磷石膏库</w:t>
            </w:r>
            <w:r>
              <w:rPr>
                <w:rFonts w:ascii="Times New Roman" w:cs="Times New Roman"/>
                <w:sz w:val="21"/>
                <w:szCs w:val="21"/>
              </w:rPr>
              <w:t>。</w:t>
            </w:r>
          </w:p>
        </w:tc>
        <w:tc>
          <w:tcPr>
            <w:tcW w:w="791"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第二十</w:t>
            </w:r>
            <w:r>
              <w:rPr>
                <w:rFonts w:hint="eastAsia" w:ascii="Times New Roman" w:cs="Times New Roman"/>
                <w:sz w:val="21"/>
                <w:szCs w:val="21"/>
              </w:rPr>
              <w:t>一</w:t>
            </w:r>
            <w:r>
              <w:rPr>
                <w:rFonts w:ascii="Times New Roman" w:cs="Times New Roman"/>
                <w:sz w:val="21"/>
                <w:szCs w:val="21"/>
              </w:rPr>
              <w:t>条</w:t>
            </w:r>
          </w:p>
        </w:tc>
        <w:tc>
          <w:tcPr>
            <w:tcW w:w="553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禁止在合规园区外新建、扩建钢铁、石化、化工、焦化、建材、有色、制浆造纸等高污染项目</w:t>
            </w:r>
            <w:r>
              <w:rPr>
                <w:rFonts w:ascii="Times New Roman" w:cs="Times New Roman"/>
                <w:sz w:val="21"/>
                <w:szCs w:val="21"/>
              </w:rPr>
              <w:t>。</w:t>
            </w:r>
          </w:p>
        </w:tc>
        <w:tc>
          <w:tcPr>
            <w:tcW w:w="187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本项目</w:t>
            </w:r>
            <w:r>
              <w:rPr>
                <w:rFonts w:ascii="Times New Roman" w:cs="Times New Roman"/>
                <w:sz w:val="21"/>
                <w:szCs w:val="21"/>
              </w:rPr>
              <w:t>不</w:t>
            </w:r>
            <w:r>
              <w:rPr>
                <w:rFonts w:hint="eastAsia" w:ascii="Times New Roman" w:cs="Times New Roman"/>
                <w:sz w:val="21"/>
                <w:szCs w:val="21"/>
              </w:rPr>
              <w:t>属于钢铁、石化、化</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工、焦化、建材、有色、制浆造纸等高污染项目</w:t>
            </w:r>
            <w:r>
              <w:rPr>
                <w:rFonts w:ascii="Times New Roman" w:cs="Times New Roman"/>
                <w:sz w:val="21"/>
                <w:szCs w:val="21"/>
              </w:rPr>
              <w:t>。</w:t>
            </w:r>
          </w:p>
        </w:tc>
        <w:tc>
          <w:tcPr>
            <w:tcW w:w="791"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第二十</w:t>
            </w:r>
            <w:r>
              <w:rPr>
                <w:rFonts w:hint="eastAsia" w:ascii="Times New Roman" w:cs="Times New Roman"/>
                <w:sz w:val="21"/>
                <w:szCs w:val="21"/>
              </w:rPr>
              <w:t>二</w:t>
            </w:r>
            <w:r>
              <w:rPr>
                <w:rFonts w:ascii="Times New Roman" w:cs="Times New Roman"/>
                <w:sz w:val="21"/>
                <w:szCs w:val="21"/>
              </w:rPr>
              <w:t>条</w:t>
            </w:r>
          </w:p>
        </w:tc>
        <w:tc>
          <w:tcPr>
            <w:tcW w:w="553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禁止新建、扩建不符合国家石化、现代煤化工等产业布局规划的项目。</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（一）严格控制新增炼油项目，未列入《石化产业规划布局</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方案（修订版）》的新增炼油产能一律不得建设。</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（二）新建煤制烯烃、煤制芳烃项目必须列入《现代煤化工</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产业创新发展布局方案》，必须符合《现代煤化工建设项目环境准入条件（试行）》要求。</w:t>
            </w:r>
          </w:p>
        </w:tc>
        <w:tc>
          <w:tcPr>
            <w:tcW w:w="187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本项目</w:t>
            </w:r>
            <w:r>
              <w:rPr>
                <w:rFonts w:ascii="Times New Roman" w:cs="Times New Roman"/>
                <w:sz w:val="21"/>
                <w:szCs w:val="21"/>
              </w:rPr>
              <w:t>不</w:t>
            </w:r>
            <w:r>
              <w:rPr>
                <w:rFonts w:hint="eastAsia" w:ascii="Times New Roman" w:cs="Times New Roman"/>
                <w:sz w:val="21"/>
                <w:szCs w:val="21"/>
              </w:rPr>
              <w:t>属于石化、现代煤化工等项目</w:t>
            </w:r>
            <w:r>
              <w:rPr>
                <w:rFonts w:ascii="Times New Roman" w:cs="Times New Roman"/>
                <w:sz w:val="21"/>
                <w:szCs w:val="21"/>
              </w:rPr>
              <w:t>。</w:t>
            </w:r>
          </w:p>
        </w:tc>
        <w:tc>
          <w:tcPr>
            <w:tcW w:w="791"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第二十</w:t>
            </w:r>
            <w:r>
              <w:rPr>
                <w:rFonts w:hint="eastAsia" w:ascii="Times New Roman" w:cs="Times New Roman"/>
                <w:sz w:val="21"/>
                <w:szCs w:val="21"/>
              </w:rPr>
              <w:t>三</w:t>
            </w:r>
            <w:r>
              <w:rPr>
                <w:rFonts w:ascii="Times New Roman" w:cs="Times New Roman"/>
                <w:sz w:val="21"/>
                <w:szCs w:val="21"/>
              </w:rPr>
              <w:t>条</w:t>
            </w:r>
          </w:p>
        </w:tc>
        <w:tc>
          <w:tcPr>
            <w:tcW w:w="553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87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本项目</w:t>
            </w:r>
            <w:r>
              <w:rPr>
                <w:rFonts w:ascii="Times New Roman" w:cs="Times New Roman"/>
                <w:sz w:val="21"/>
                <w:szCs w:val="21"/>
              </w:rPr>
              <w:t>不</w:t>
            </w:r>
            <w:r>
              <w:rPr>
                <w:rFonts w:hint="eastAsia" w:ascii="Times New Roman" w:cs="Times New Roman"/>
                <w:sz w:val="21"/>
                <w:szCs w:val="21"/>
              </w:rPr>
              <w:t>属于《产业结构调整指导目录》中淘汰类项目</w:t>
            </w:r>
          </w:p>
        </w:tc>
        <w:tc>
          <w:tcPr>
            <w:tcW w:w="791"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第二十</w:t>
            </w:r>
            <w:r>
              <w:rPr>
                <w:rFonts w:hint="eastAsia" w:ascii="Times New Roman" w:cs="Times New Roman"/>
                <w:sz w:val="21"/>
                <w:szCs w:val="21"/>
              </w:rPr>
              <w:t>四</w:t>
            </w:r>
            <w:r>
              <w:rPr>
                <w:rFonts w:ascii="Times New Roman" w:cs="Times New Roman"/>
                <w:sz w:val="21"/>
                <w:szCs w:val="21"/>
              </w:rPr>
              <w:t>条</w:t>
            </w:r>
          </w:p>
        </w:tc>
        <w:tc>
          <w:tcPr>
            <w:tcW w:w="553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禁止新建、扩建不符合国家产能置换要求的严重过剩产能行业的项目。对于不符合国家产能置换要求的严重过剩产能行业，不得以其他任何名义、任何方式备案新增产能项目。</w:t>
            </w:r>
          </w:p>
        </w:tc>
        <w:tc>
          <w:tcPr>
            <w:tcW w:w="187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本项目</w:t>
            </w:r>
            <w:r>
              <w:rPr>
                <w:rFonts w:ascii="Times New Roman" w:cs="Times New Roman"/>
                <w:sz w:val="21"/>
                <w:szCs w:val="21"/>
              </w:rPr>
              <w:t>不</w:t>
            </w:r>
            <w:r>
              <w:rPr>
                <w:rFonts w:hint="eastAsia" w:ascii="Times New Roman" w:cs="Times New Roman"/>
                <w:sz w:val="21"/>
                <w:szCs w:val="21"/>
              </w:rPr>
              <w:t>属于不符合国家产能置换要求的严重过剩产能行业</w:t>
            </w:r>
          </w:p>
        </w:tc>
        <w:tc>
          <w:tcPr>
            <w:tcW w:w="791"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第二十</w:t>
            </w:r>
            <w:r>
              <w:rPr>
                <w:rFonts w:hint="eastAsia" w:ascii="Times New Roman" w:cs="Times New Roman"/>
                <w:sz w:val="21"/>
                <w:szCs w:val="21"/>
              </w:rPr>
              <w:t>五</w:t>
            </w:r>
            <w:r>
              <w:rPr>
                <w:rFonts w:ascii="Times New Roman" w:cs="Times New Roman"/>
                <w:sz w:val="21"/>
                <w:szCs w:val="21"/>
              </w:rPr>
              <w:t>条</w:t>
            </w:r>
          </w:p>
        </w:tc>
        <w:tc>
          <w:tcPr>
            <w:tcW w:w="553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禁止建设以下燃油汽车投资项目（不在中国境内销售产品的投资项目除外）：</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（一）新建独立燃油汽车企业；</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（二）现有汽车企业跨乘用车、商用车类别建设燃油汽车生</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产能力；</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（三）外省现有燃油汽车企业整体搬迁至本省（列入国家级</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区域发展规划或不改变企业股权结构的项目除外）；</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（四）对行业管理部门特别公示的燃油汽车企业进行投资</w:t>
            </w:r>
          </w:p>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（企业原有股东投资或将该企业转为非独立法人的投资项目除外）。</w:t>
            </w:r>
          </w:p>
        </w:tc>
        <w:tc>
          <w:tcPr>
            <w:tcW w:w="187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本项目</w:t>
            </w:r>
            <w:r>
              <w:rPr>
                <w:rFonts w:ascii="Times New Roman" w:cs="Times New Roman"/>
                <w:sz w:val="21"/>
                <w:szCs w:val="21"/>
              </w:rPr>
              <w:t>不</w:t>
            </w:r>
            <w:r>
              <w:rPr>
                <w:rFonts w:hint="eastAsia" w:ascii="Times New Roman" w:cs="Times New Roman"/>
                <w:sz w:val="21"/>
                <w:szCs w:val="21"/>
              </w:rPr>
              <w:t>属于燃油汽车投资项目</w:t>
            </w:r>
          </w:p>
        </w:tc>
        <w:tc>
          <w:tcPr>
            <w:tcW w:w="791"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第二十</w:t>
            </w:r>
            <w:r>
              <w:rPr>
                <w:rFonts w:hint="eastAsia" w:ascii="Times New Roman" w:cs="Times New Roman"/>
                <w:sz w:val="21"/>
                <w:szCs w:val="21"/>
              </w:rPr>
              <w:t>六</w:t>
            </w:r>
            <w:r>
              <w:rPr>
                <w:rFonts w:ascii="Times New Roman" w:cs="Times New Roman"/>
                <w:sz w:val="21"/>
                <w:szCs w:val="21"/>
              </w:rPr>
              <w:t>条</w:t>
            </w:r>
          </w:p>
        </w:tc>
        <w:tc>
          <w:tcPr>
            <w:tcW w:w="553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禁止新建、扩建不符合要求的高耗能、高排放、低水平项目。</w:t>
            </w:r>
          </w:p>
        </w:tc>
        <w:tc>
          <w:tcPr>
            <w:tcW w:w="1875" w:type="dxa"/>
            <w:vAlign w:val="center"/>
          </w:tcPr>
          <w:p>
            <w:pPr>
              <w:autoSpaceDE w:val="0"/>
              <w:autoSpaceDN w:val="0"/>
              <w:spacing w:line="240" w:lineRule="auto"/>
              <w:ind w:firstLine="0" w:firstLineChars="0"/>
              <w:jc w:val="center"/>
              <w:rPr>
                <w:rFonts w:ascii="Times New Roman" w:cs="Times New Roman"/>
                <w:sz w:val="21"/>
                <w:szCs w:val="21"/>
              </w:rPr>
            </w:pPr>
            <w:r>
              <w:rPr>
                <w:rFonts w:hint="eastAsia" w:ascii="Times New Roman" w:cs="Times New Roman"/>
                <w:sz w:val="21"/>
                <w:szCs w:val="21"/>
              </w:rPr>
              <w:t>本项目</w:t>
            </w:r>
            <w:r>
              <w:rPr>
                <w:rFonts w:ascii="Times New Roman" w:cs="Times New Roman"/>
                <w:sz w:val="21"/>
                <w:szCs w:val="21"/>
              </w:rPr>
              <w:t>不</w:t>
            </w:r>
            <w:r>
              <w:rPr>
                <w:rFonts w:hint="eastAsia" w:ascii="Times New Roman" w:cs="Times New Roman"/>
                <w:sz w:val="21"/>
                <w:szCs w:val="21"/>
              </w:rPr>
              <w:t>属于高耗能、高排放、低水平项目</w:t>
            </w:r>
          </w:p>
        </w:tc>
        <w:tc>
          <w:tcPr>
            <w:tcW w:w="791" w:type="dxa"/>
            <w:vAlign w:val="center"/>
          </w:tcPr>
          <w:p>
            <w:pPr>
              <w:autoSpaceDE w:val="0"/>
              <w:autoSpaceDN w:val="0"/>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bl>
    <w:p>
      <w:pPr>
        <w:pStyle w:val="112"/>
        <w:ind w:firstLine="480"/>
      </w:pPr>
      <w:r>
        <w:rPr>
          <w:rFonts w:hint="eastAsia"/>
        </w:rPr>
        <w:t>因此，</w:t>
      </w:r>
      <w:r>
        <w:t>本项目建设符合</w:t>
      </w:r>
      <w:r>
        <w:rPr>
          <w:rFonts w:hint="eastAsia"/>
        </w:rPr>
        <w:t>《四川省、重庆市长江经济带发展负面清单实施细则（试行，2022年版）》</w:t>
      </w:r>
      <w:r>
        <w:t>要求。</w:t>
      </w:r>
    </w:p>
    <w:p>
      <w:pPr>
        <w:keepNext/>
        <w:keepLines/>
        <w:ind w:firstLine="0" w:firstLineChars="0"/>
        <w:outlineLvl w:val="2"/>
        <w:rPr>
          <w:rFonts w:ascii="Times New Roman" w:cs="Times New Roman"/>
          <w:b/>
          <w:szCs w:val="32"/>
        </w:rPr>
      </w:pPr>
      <w:r>
        <w:rPr>
          <w:rFonts w:ascii="Times New Roman" w:cs="Times New Roman"/>
          <w:b/>
          <w:szCs w:val="32"/>
        </w:rPr>
        <w:t>1.8.</w:t>
      </w:r>
      <w:r>
        <w:rPr>
          <w:rFonts w:hint="eastAsia" w:ascii="Times New Roman" w:cs="Times New Roman"/>
          <w:b/>
          <w:szCs w:val="32"/>
        </w:rPr>
        <w:t>6</w:t>
      </w:r>
      <w:r>
        <w:rPr>
          <w:rFonts w:ascii="Times New Roman" w:cs="Times New Roman"/>
          <w:b/>
          <w:szCs w:val="32"/>
        </w:rPr>
        <w:t>与</w:t>
      </w:r>
      <w:r>
        <w:rPr>
          <w:rFonts w:hint="eastAsia" w:ascii="Times New Roman" w:cs="Times New Roman"/>
          <w:b/>
          <w:szCs w:val="32"/>
        </w:rPr>
        <w:t>《石油天然气开采业污染防治技术政策》</w:t>
      </w:r>
      <w:r>
        <w:rPr>
          <w:rFonts w:ascii="Times New Roman" w:cs="Times New Roman"/>
          <w:b/>
          <w:szCs w:val="32"/>
        </w:rPr>
        <w:t>符合性</w:t>
      </w:r>
    </w:p>
    <w:p>
      <w:pPr>
        <w:pStyle w:val="112"/>
        <w:ind w:firstLine="480"/>
      </w:pPr>
      <w:r>
        <w:t>项目与</w:t>
      </w:r>
      <w:r>
        <w:rPr>
          <w:rFonts w:hint="eastAsia"/>
        </w:rPr>
        <w:t>《石油天然气开采业污染防治技术政策》</w:t>
      </w:r>
      <w:r>
        <w:t>符合性如下：</w:t>
      </w:r>
    </w:p>
    <w:p>
      <w:pPr>
        <w:pStyle w:val="37"/>
        <w:rPr>
          <w:rFonts w:cs="Times New Roman"/>
        </w:rPr>
      </w:pPr>
      <w:r>
        <w:rPr>
          <w:rFonts w:cs="Times New Roman"/>
        </w:rPr>
        <w:t>表1.8-</w:t>
      </w:r>
      <w:r>
        <w:rPr>
          <w:rFonts w:hint="eastAsia" w:cs="Times New Roman"/>
        </w:rPr>
        <w:t>4</w:t>
      </w:r>
      <w:r>
        <w:rPr>
          <w:rFonts w:cs="Times New Roman"/>
        </w:rPr>
        <w:t xml:space="preserve">  与</w:t>
      </w:r>
      <w:r>
        <w:rPr>
          <w:rFonts w:hint="eastAsia" w:cs="Times New Roman"/>
        </w:rPr>
        <w:t>《石油天然气开采业污染防治技术政策》</w:t>
      </w:r>
      <w:r>
        <w:rPr>
          <w:rFonts w:cs="Times New Roman"/>
        </w:rPr>
        <w:t>符合性</w:t>
      </w:r>
    </w:p>
    <w:tbl>
      <w:tblPr>
        <w:tblStyle w:val="5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0"/>
        <w:gridCol w:w="4036"/>
        <w:gridCol w:w="2928"/>
        <w:gridCol w:w="9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4" w:type="dxa"/>
            <w:tcBorders>
              <w:tl2br w:val="nil"/>
              <w:tr2bl w:val="nil"/>
            </w:tcBorders>
            <w:shd w:val="clear" w:color="auto" w:fill="auto"/>
            <w:vAlign w:val="center"/>
          </w:tcPr>
          <w:p>
            <w:pPr>
              <w:spacing w:line="240" w:lineRule="auto"/>
              <w:ind w:right="-82" w:rightChars="-34" w:firstLine="0" w:firstLineChars="0"/>
              <w:jc w:val="center"/>
              <w:rPr>
                <w:rFonts w:hAnsi="宋体"/>
              </w:rPr>
            </w:pPr>
            <w:r>
              <w:rPr>
                <w:rFonts w:hint="eastAsia" w:ascii="Times New Roman" w:hAnsi="宋体"/>
                <w:kern w:val="2"/>
                <w:sz w:val="21"/>
              </w:rPr>
              <w:t>序号</w:t>
            </w:r>
          </w:p>
        </w:tc>
        <w:tc>
          <w:tcPr>
            <w:tcW w:w="3118" w:type="dxa"/>
            <w:tcBorders>
              <w:tl2br w:val="nil"/>
              <w:tr2bl w:val="nil"/>
            </w:tcBorders>
            <w:shd w:val="clear" w:color="auto" w:fill="auto"/>
            <w:vAlign w:val="center"/>
          </w:tcPr>
          <w:p>
            <w:pPr>
              <w:spacing w:line="240" w:lineRule="auto"/>
              <w:ind w:firstLine="0" w:firstLineChars="0"/>
              <w:jc w:val="center"/>
              <w:rPr>
                <w:rFonts w:hAnsi="宋体"/>
              </w:rPr>
            </w:pPr>
            <w:r>
              <w:rPr>
                <w:rFonts w:hint="eastAsia" w:ascii="Times New Roman" w:hAnsi="宋体"/>
                <w:kern w:val="2"/>
                <w:sz w:val="21"/>
              </w:rPr>
              <w:t>技术政策要求</w:t>
            </w:r>
          </w:p>
        </w:tc>
        <w:tc>
          <w:tcPr>
            <w:tcW w:w="2262" w:type="dxa"/>
            <w:tcBorders>
              <w:tl2br w:val="nil"/>
              <w:tr2bl w:val="nil"/>
            </w:tcBorders>
            <w:shd w:val="clear" w:color="auto" w:fill="auto"/>
            <w:vAlign w:val="center"/>
          </w:tcPr>
          <w:p>
            <w:pPr>
              <w:spacing w:line="240" w:lineRule="auto"/>
              <w:ind w:firstLine="0" w:firstLineChars="0"/>
              <w:jc w:val="center"/>
              <w:rPr>
                <w:rFonts w:hAnsi="宋体"/>
              </w:rPr>
            </w:pPr>
            <w:r>
              <w:rPr>
                <w:rFonts w:hint="eastAsia" w:ascii="Times New Roman" w:hAnsi="宋体"/>
                <w:kern w:val="2"/>
                <w:sz w:val="21"/>
              </w:rPr>
              <w:t>本项目内容</w:t>
            </w:r>
          </w:p>
        </w:tc>
        <w:tc>
          <w:tcPr>
            <w:tcW w:w="709" w:type="dxa"/>
            <w:tcBorders>
              <w:tl2br w:val="nil"/>
              <w:tr2bl w:val="nil"/>
            </w:tcBorders>
            <w:shd w:val="clear" w:color="auto" w:fill="auto"/>
            <w:vAlign w:val="center"/>
          </w:tcPr>
          <w:p>
            <w:pPr>
              <w:spacing w:line="240" w:lineRule="auto"/>
              <w:ind w:right="-240" w:rightChars="-100" w:firstLine="0" w:firstLineChars="0"/>
              <w:jc w:val="center"/>
              <w:rPr>
                <w:rFonts w:hAnsi="宋体"/>
              </w:rPr>
            </w:pPr>
            <w:r>
              <w:rPr>
                <w:rFonts w:hint="eastAsia" w:ascii="Times New Roman" w:hAnsi="宋体"/>
                <w:kern w:val="2"/>
                <w:sz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4" w:type="dxa"/>
            <w:tcBorders>
              <w:tl2br w:val="nil"/>
              <w:tr2bl w:val="nil"/>
            </w:tcBorders>
            <w:shd w:val="clear" w:color="auto" w:fill="auto"/>
            <w:vAlign w:val="center"/>
          </w:tcPr>
          <w:p>
            <w:pPr>
              <w:spacing w:line="240" w:lineRule="auto"/>
              <w:ind w:firstLine="0" w:firstLineChars="0"/>
              <w:jc w:val="center"/>
              <w:rPr>
                <w:rFonts w:hAnsi="宋体"/>
              </w:rPr>
            </w:pPr>
            <w:r>
              <w:rPr>
                <w:rFonts w:hint="eastAsia" w:ascii="Times New Roman" w:hAnsi="宋体"/>
                <w:kern w:val="2"/>
                <w:sz w:val="21"/>
              </w:rPr>
              <w:t>一</w:t>
            </w:r>
          </w:p>
        </w:tc>
        <w:tc>
          <w:tcPr>
            <w:tcW w:w="6089" w:type="dxa"/>
            <w:gridSpan w:val="3"/>
            <w:tcBorders>
              <w:tl2br w:val="nil"/>
              <w:tr2bl w:val="nil"/>
            </w:tcBorders>
            <w:shd w:val="clear" w:color="auto" w:fill="auto"/>
            <w:vAlign w:val="center"/>
          </w:tcPr>
          <w:p>
            <w:pPr>
              <w:spacing w:line="240" w:lineRule="auto"/>
              <w:ind w:firstLine="0" w:firstLineChars="0"/>
              <w:jc w:val="center"/>
              <w:rPr>
                <w:rFonts w:hAnsi="宋体"/>
              </w:rPr>
            </w:pPr>
            <w:r>
              <w:rPr>
                <w:rFonts w:hint="eastAsia" w:ascii="Times New Roman" w:hAnsi="宋体"/>
                <w:bCs/>
                <w:kern w:val="2"/>
                <w:sz w:val="21"/>
              </w:rPr>
              <w:t>清洁生产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94" w:type="dxa"/>
            <w:tcBorders>
              <w:tl2br w:val="nil"/>
              <w:tr2bl w:val="nil"/>
            </w:tcBorders>
            <w:shd w:val="clear" w:color="auto" w:fill="auto"/>
            <w:vAlign w:val="center"/>
          </w:tcPr>
          <w:p>
            <w:pPr>
              <w:widowControl/>
              <w:spacing w:line="240" w:lineRule="auto"/>
              <w:ind w:firstLine="0" w:firstLineChars="0"/>
              <w:jc w:val="center"/>
              <w:rPr>
                <w:rFonts w:hAnsi="宋体"/>
              </w:rPr>
            </w:pPr>
            <w:r>
              <w:rPr>
                <w:rFonts w:ascii="Times New Roman" w:hAnsi="宋体" w:cs="Times New Roman"/>
                <w:sz w:val="21"/>
              </w:rPr>
              <w:t>1</w:t>
            </w:r>
          </w:p>
        </w:tc>
        <w:tc>
          <w:tcPr>
            <w:tcW w:w="3118"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油气田建设应总体规划，优化布局，整体开发，减少占地和油气损失，实现油气和废物的集中收集、处理处置。</w:t>
            </w:r>
          </w:p>
        </w:tc>
        <w:tc>
          <w:tcPr>
            <w:tcW w:w="2262" w:type="dxa"/>
            <w:tcBorders>
              <w:tl2br w:val="nil"/>
              <w:tr2bl w:val="nil"/>
            </w:tcBorders>
            <w:shd w:val="clear" w:color="auto" w:fill="auto"/>
            <w:vAlign w:val="center"/>
          </w:tcPr>
          <w:p>
            <w:pPr>
              <w:pStyle w:val="52"/>
              <w:spacing w:after="120"/>
              <w:jc w:val="center"/>
              <w:rPr>
                <w:rFonts w:hAnsi="宋体"/>
                <w:sz w:val="21"/>
                <w:szCs w:val="21"/>
              </w:rPr>
            </w:pPr>
            <w:r>
              <w:rPr>
                <w:rFonts w:hint="eastAsia" w:ascii="宋体" w:hAnsi="宋体"/>
                <w:kern w:val="0"/>
                <w:sz w:val="21"/>
                <w:szCs w:val="21"/>
              </w:rPr>
              <w:t>本项目属于</w:t>
            </w:r>
            <w:r>
              <w:rPr>
                <w:rFonts w:ascii="宋体" w:hAnsi="宋体"/>
                <w:kern w:val="0"/>
                <w:sz w:val="21"/>
                <w:szCs w:val="21"/>
              </w:rPr>
              <w:t>天然气</w:t>
            </w:r>
            <w:r>
              <w:rPr>
                <w:rFonts w:hint="eastAsia" w:ascii="宋体" w:hAnsi="宋体"/>
                <w:kern w:val="0"/>
                <w:sz w:val="21"/>
                <w:szCs w:val="21"/>
              </w:rPr>
              <w:t>开车和</w:t>
            </w:r>
            <w:r>
              <w:rPr>
                <w:rFonts w:ascii="宋体" w:hAnsi="宋体"/>
                <w:kern w:val="0"/>
                <w:sz w:val="21"/>
                <w:szCs w:val="21"/>
              </w:rPr>
              <w:t>内部集输工程</w:t>
            </w:r>
            <w:r>
              <w:rPr>
                <w:rFonts w:hint="eastAsia" w:ascii="宋体" w:hAnsi="宋体"/>
                <w:kern w:val="0"/>
                <w:sz w:val="21"/>
                <w:szCs w:val="21"/>
              </w:rPr>
              <w:t>，占地较少，废水收集集中处置，废物收集集中处置。</w:t>
            </w:r>
          </w:p>
        </w:tc>
        <w:tc>
          <w:tcPr>
            <w:tcW w:w="709"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4"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cs="Times New Roman"/>
                <w:sz w:val="21"/>
              </w:rPr>
              <w:t>2</w:t>
            </w:r>
          </w:p>
        </w:tc>
        <w:tc>
          <w:tcPr>
            <w:tcW w:w="3118"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油气田开发不得使用含有国际公约禁用化学物质的油气田化学剂，逐步淘汰微毒及以上油气田化学剂，鼓励使用无毒油气田化学剂。</w:t>
            </w:r>
          </w:p>
        </w:tc>
        <w:tc>
          <w:tcPr>
            <w:tcW w:w="2262"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本项目无国际公约禁用化学物质，符合要求。</w:t>
            </w:r>
          </w:p>
        </w:tc>
        <w:tc>
          <w:tcPr>
            <w:tcW w:w="709"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4" w:type="dxa"/>
            <w:tcBorders>
              <w:tl2br w:val="nil"/>
              <w:tr2bl w:val="nil"/>
            </w:tcBorders>
            <w:shd w:val="clear" w:color="auto" w:fill="auto"/>
            <w:vAlign w:val="center"/>
          </w:tcPr>
          <w:p>
            <w:pPr>
              <w:widowControl/>
              <w:spacing w:line="240" w:lineRule="auto"/>
              <w:ind w:firstLine="0" w:firstLineChars="0"/>
              <w:jc w:val="center"/>
              <w:rPr>
                <w:rFonts w:hAnsi="宋体"/>
              </w:rPr>
            </w:pPr>
            <w:r>
              <w:rPr>
                <w:rFonts w:ascii="Times New Roman" w:hAnsi="宋体" w:cs="Times New Roman"/>
                <w:sz w:val="21"/>
              </w:rPr>
              <w:t>3</w:t>
            </w:r>
          </w:p>
        </w:tc>
        <w:tc>
          <w:tcPr>
            <w:tcW w:w="3118"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在油气勘探过程中，宜使用环保型炸药和可控震源，应采取防渗等措施预防燃料泄漏对环境的污染。</w:t>
            </w:r>
          </w:p>
        </w:tc>
        <w:tc>
          <w:tcPr>
            <w:tcW w:w="2262" w:type="dxa"/>
            <w:tcBorders>
              <w:tl2br w:val="nil"/>
              <w:tr2bl w:val="nil"/>
            </w:tcBorders>
            <w:shd w:val="clear" w:color="auto" w:fill="auto"/>
            <w:vAlign w:val="center"/>
          </w:tcPr>
          <w:p>
            <w:pPr>
              <w:pStyle w:val="52"/>
              <w:spacing w:after="120"/>
              <w:jc w:val="center"/>
              <w:rPr>
                <w:rFonts w:hAnsi="宋体"/>
                <w:sz w:val="21"/>
                <w:szCs w:val="21"/>
              </w:rPr>
            </w:pPr>
            <w:r>
              <w:rPr>
                <w:rFonts w:hint="eastAsia" w:ascii="宋体" w:hAnsi="宋体"/>
                <w:kern w:val="0"/>
                <w:sz w:val="21"/>
                <w:szCs w:val="21"/>
              </w:rPr>
              <w:t>本项目无需炸药，柴油罐设置地面硬化防渗措施，符合要求。</w:t>
            </w:r>
          </w:p>
        </w:tc>
        <w:tc>
          <w:tcPr>
            <w:tcW w:w="709"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494" w:type="dxa"/>
            <w:tcBorders>
              <w:tl2br w:val="nil"/>
              <w:tr2bl w:val="nil"/>
            </w:tcBorders>
            <w:shd w:val="clear" w:color="auto" w:fill="auto"/>
            <w:vAlign w:val="center"/>
          </w:tcPr>
          <w:p>
            <w:pPr>
              <w:widowControl/>
              <w:spacing w:line="240" w:lineRule="auto"/>
              <w:ind w:firstLine="0" w:firstLineChars="0"/>
              <w:jc w:val="center"/>
              <w:rPr>
                <w:rFonts w:hAnsi="宋体"/>
              </w:rPr>
            </w:pPr>
            <w:r>
              <w:rPr>
                <w:rFonts w:ascii="Times New Roman" w:hAnsi="宋体" w:cs="Times New Roman"/>
                <w:sz w:val="21"/>
              </w:rPr>
              <w:t>4</w:t>
            </w:r>
          </w:p>
        </w:tc>
        <w:tc>
          <w:tcPr>
            <w:tcW w:w="3118"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在钻井过程中，鼓励采用环境友好的钻井液体系；配备完善的固控设备，钻井液循环率达到</w:t>
            </w:r>
            <w:r>
              <w:rPr>
                <w:rFonts w:ascii="Times New Roman" w:hAnsi="宋体" w:cs="Times New Roman"/>
                <w:sz w:val="21"/>
              </w:rPr>
              <w:t>95%</w:t>
            </w:r>
            <w:r>
              <w:rPr>
                <w:rFonts w:hint="eastAsia" w:ascii="Times New Roman" w:hAnsi="宋体"/>
                <w:sz w:val="21"/>
              </w:rPr>
              <w:t>以上；钻井过程产生的废水应回用。</w:t>
            </w:r>
          </w:p>
        </w:tc>
        <w:tc>
          <w:tcPr>
            <w:tcW w:w="2262"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本项目钻井液循环率达到了</w:t>
            </w:r>
            <w:r>
              <w:rPr>
                <w:rFonts w:ascii="Times New Roman" w:hAnsi="宋体" w:cs="Times New Roman"/>
                <w:sz w:val="21"/>
              </w:rPr>
              <w:t>95%</w:t>
            </w:r>
            <w:r>
              <w:rPr>
                <w:rFonts w:hint="eastAsia" w:ascii="Times New Roman" w:hAnsi="宋体"/>
                <w:sz w:val="21"/>
              </w:rPr>
              <w:t>以上，钻井过程产生的废水进行了回用</w:t>
            </w:r>
          </w:p>
        </w:tc>
        <w:tc>
          <w:tcPr>
            <w:tcW w:w="709"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4" w:type="dxa"/>
            <w:tcBorders>
              <w:tl2br w:val="nil"/>
              <w:tr2bl w:val="nil"/>
            </w:tcBorders>
            <w:shd w:val="clear" w:color="auto" w:fill="auto"/>
            <w:vAlign w:val="center"/>
          </w:tcPr>
          <w:p>
            <w:pPr>
              <w:widowControl/>
              <w:spacing w:line="240" w:lineRule="auto"/>
              <w:ind w:firstLine="0" w:firstLineChars="0"/>
              <w:jc w:val="center"/>
              <w:rPr>
                <w:rFonts w:hAnsi="宋体"/>
              </w:rPr>
            </w:pPr>
            <w:r>
              <w:rPr>
                <w:rFonts w:ascii="Times New Roman" w:hAnsi="宋体" w:cs="Times New Roman"/>
                <w:sz w:val="21"/>
              </w:rPr>
              <w:t>5</w:t>
            </w:r>
          </w:p>
        </w:tc>
        <w:tc>
          <w:tcPr>
            <w:tcW w:w="3118"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在井下作业过程中，酸化液和压裂液宜集中配制，酸化残液、压裂残液和返排液应回收利用或进行无害化处置，压裂放喷返排入罐率应达到</w:t>
            </w:r>
            <w:r>
              <w:rPr>
                <w:rFonts w:ascii="Times New Roman" w:hAnsi="宋体" w:cs="Times New Roman"/>
                <w:sz w:val="21"/>
              </w:rPr>
              <w:t>100%</w:t>
            </w:r>
            <w:r>
              <w:rPr>
                <w:rFonts w:hint="eastAsia" w:ascii="Times New Roman" w:hAnsi="宋体"/>
                <w:sz w:val="21"/>
              </w:rPr>
              <w:t>。酸化、压裂作业和试油（气）过程应采取防喷、地面管线防刺、防漏、防溢等措施。</w:t>
            </w:r>
          </w:p>
        </w:tc>
        <w:tc>
          <w:tcPr>
            <w:tcW w:w="2262"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本项目酸化残液、压裂残液和返排液进行了回收利用处置，压裂放喷返排入罐达到了</w:t>
            </w:r>
            <w:r>
              <w:rPr>
                <w:rFonts w:ascii="Times New Roman" w:hAnsi="宋体" w:cs="Times New Roman"/>
                <w:sz w:val="21"/>
              </w:rPr>
              <w:t>100%</w:t>
            </w:r>
          </w:p>
        </w:tc>
        <w:tc>
          <w:tcPr>
            <w:tcW w:w="709"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4"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二</w:t>
            </w:r>
          </w:p>
        </w:tc>
        <w:tc>
          <w:tcPr>
            <w:tcW w:w="6089" w:type="dxa"/>
            <w:gridSpan w:val="3"/>
            <w:tcBorders>
              <w:tl2br w:val="nil"/>
              <w:tr2bl w:val="nil"/>
            </w:tcBorders>
            <w:shd w:val="clear" w:color="auto" w:fill="auto"/>
            <w:vAlign w:val="center"/>
          </w:tcPr>
          <w:p>
            <w:pPr>
              <w:widowControl/>
              <w:spacing w:line="240" w:lineRule="auto"/>
              <w:ind w:firstLine="420"/>
              <w:jc w:val="center"/>
              <w:rPr>
                <w:rFonts w:hAnsi="宋体"/>
              </w:rPr>
            </w:pPr>
            <w:r>
              <w:rPr>
                <w:rFonts w:hint="eastAsia" w:ascii="Times New Roman" w:hAnsi="宋体"/>
                <w:bCs/>
                <w:sz w:val="21"/>
              </w:rPr>
              <w:t>生态保护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4" w:type="dxa"/>
            <w:tcBorders>
              <w:tl2br w:val="nil"/>
              <w:tr2bl w:val="nil"/>
            </w:tcBorders>
            <w:shd w:val="clear" w:color="auto" w:fill="auto"/>
            <w:vAlign w:val="center"/>
          </w:tcPr>
          <w:p>
            <w:pPr>
              <w:widowControl/>
              <w:spacing w:line="240" w:lineRule="auto"/>
              <w:ind w:firstLine="0" w:firstLineChars="0"/>
              <w:jc w:val="center"/>
              <w:rPr>
                <w:rFonts w:hAnsi="宋体"/>
              </w:rPr>
            </w:pPr>
            <w:r>
              <w:rPr>
                <w:rFonts w:ascii="Times New Roman" w:hAnsi="宋体" w:cs="Times New Roman"/>
                <w:sz w:val="21"/>
              </w:rPr>
              <w:t>1</w:t>
            </w:r>
          </w:p>
        </w:tc>
        <w:tc>
          <w:tcPr>
            <w:tcW w:w="3118"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在开发过程中，伴生气应回收利用，减少温室气体排放，不具备回收利用条件的，应充分燃烧，伴生气回收利用率应达到</w:t>
            </w:r>
            <w:r>
              <w:rPr>
                <w:rFonts w:ascii="Times New Roman" w:hAnsi="宋体" w:cs="Times New Roman"/>
                <w:sz w:val="21"/>
              </w:rPr>
              <w:t xml:space="preserve"> 80%</w:t>
            </w:r>
            <w:r>
              <w:rPr>
                <w:rFonts w:hint="eastAsia" w:ascii="Times New Roman" w:hAnsi="宋体"/>
                <w:sz w:val="21"/>
              </w:rPr>
              <w:t>以上；站场放空天然气应充分燃烧。燃烧放空设施应避开鸟类迁徙通道</w:t>
            </w:r>
          </w:p>
        </w:tc>
        <w:tc>
          <w:tcPr>
            <w:tcW w:w="2262"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本项目新建了放空系统</w:t>
            </w:r>
          </w:p>
        </w:tc>
        <w:tc>
          <w:tcPr>
            <w:tcW w:w="709"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4"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三</w:t>
            </w:r>
          </w:p>
        </w:tc>
        <w:tc>
          <w:tcPr>
            <w:tcW w:w="6089" w:type="dxa"/>
            <w:gridSpan w:val="3"/>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bCs/>
                <w:sz w:val="21"/>
              </w:rPr>
              <w:t>污染治理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494" w:type="dxa"/>
            <w:tcBorders>
              <w:tl2br w:val="nil"/>
              <w:tr2bl w:val="nil"/>
            </w:tcBorders>
            <w:shd w:val="clear" w:color="auto" w:fill="auto"/>
            <w:vAlign w:val="center"/>
          </w:tcPr>
          <w:p>
            <w:pPr>
              <w:widowControl/>
              <w:spacing w:line="240" w:lineRule="auto"/>
              <w:ind w:firstLine="0" w:firstLineChars="0"/>
              <w:jc w:val="center"/>
              <w:rPr>
                <w:rFonts w:hAnsi="宋体"/>
              </w:rPr>
            </w:pPr>
            <w:r>
              <w:rPr>
                <w:rFonts w:ascii="Times New Roman" w:hAnsi="宋体" w:cs="Times New Roman"/>
                <w:sz w:val="21"/>
              </w:rPr>
              <w:t>1</w:t>
            </w:r>
          </w:p>
        </w:tc>
        <w:tc>
          <w:tcPr>
            <w:tcW w:w="3118" w:type="dxa"/>
            <w:tcBorders>
              <w:tl2br w:val="nil"/>
              <w:tr2bl w:val="nil"/>
            </w:tcBorders>
            <w:shd w:val="clear" w:color="auto" w:fill="auto"/>
            <w:vAlign w:val="center"/>
          </w:tcPr>
          <w:p>
            <w:pPr>
              <w:widowControl/>
              <w:spacing w:line="240" w:lineRule="auto"/>
              <w:ind w:firstLine="0" w:firstLineChars="0"/>
              <w:jc w:val="center"/>
              <w:rPr>
                <w:rFonts w:hAnsi="宋体"/>
                <w:b/>
                <w:bCs/>
              </w:rPr>
            </w:pPr>
            <w:r>
              <w:rPr>
                <w:rFonts w:hint="eastAsia" w:ascii="Times New Roman" w:hAnsi="宋体"/>
                <w:sz w:val="21"/>
              </w:rPr>
              <w:t>在钻井和井下作业过程中，鼓励污油、污水进入生产流程循环利用，未进入生产流程的污油、污水应采用固液分离、</w:t>
            </w:r>
            <w:r>
              <w:rPr>
                <w:rFonts w:ascii="Times New Roman" w:hAnsi="宋体" w:cs="Times New Roman"/>
                <w:sz w:val="21"/>
              </w:rPr>
              <w:t xml:space="preserve"> </w:t>
            </w:r>
            <w:r>
              <w:rPr>
                <w:rFonts w:hint="eastAsia" w:ascii="Times New Roman" w:hAnsi="宋体"/>
                <w:sz w:val="21"/>
              </w:rPr>
              <w:t>废水处理一体化装置等处理后达标外排。在油气开发过程中，未回注的油气田采出水宜采用混凝气浮和生化处理相结合的方式。</w:t>
            </w:r>
          </w:p>
        </w:tc>
        <w:tc>
          <w:tcPr>
            <w:tcW w:w="2262" w:type="dxa"/>
            <w:tcBorders>
              <w:tl2br w:val="nil"/>
              <w:tr2bl w:val="nil"/>
            </w:tcBorders>
            <w:shd w:val="clear" w:color="auto" w:fill="auto"/>
            <w:vAlign w:val="center"/>
          </w:tcPr>
          <w:p>
            <w:pPr>
              <w:widowControl/>
              <w:spacing w:line="240" w:lineRule="auto"/>
              <w:ind w:firstLine="0" w:firstLineChars="0"/>
              <w:jc w:val="center"/>
              <w:rPr>
                <w:rFonts w:hAnsi="宋体"/>
                <w:b/>
                <w:bCs/>
              </w:rPr>
            </w:pPr>
            <w:r>
              <w:rPr>
                <w:rFonts w:ascii="Times New Roman" w:hAnsi="宋体"/>
                <w:sz w:val="21"/>
              </w:rPr>
              <w:t>本项目运营期产生的气田水</w:t>
            </w:r>
            <w:r>
              <w:rPr>
                <w:rFonts w:hint="eastAsia" w:ascii="Times New Roman" w:hAnsi="宋体"/>
                <w:sz w:val="21"/>
              </w:rPr>
              <w:t>暂存于污水缓冲罐</w:t>
            </w:r>
            <w:r>
              <w:rPr>
                <w:rFonts w:ascii="Times New Roman" w:hAnsi="宋体"/>
                <w:sz w:val="21"/>
              </w:rPr>
              <w:t>，然后通过密闭罐车拉运至大湾403污水站处理达到《气田水回注方法》（SY/T 6596</w:t>
            </w:r>
            <w:r>
              <w:rPr>
                <w:rFonts w:hint="eastAsia" w:ascii="Times New Roman" w:hAnsi="宋体"/>
                <w:sz w:val="21"/>
              </w:rPr>
              <w:t>-</w:t>
            </w:r>
            <w:r>
              <w:rPr>
                <w:rFonts w:ascii="Times New Roman" w:hAnsi="宋体"/>
                <w:sz w:val="21"/>
              </w:rPr>
              <w:t>2016）中注入水基本要求后管输至毛开1井回注站回注处理，不外排</w:t>
            </w:r>
            <w:r>
              <w:rPr>
                <w:rFonts w:hint="eastAsia" w:ascii="Times New Roman" w:hAnsi="宋体"/>
                <w:sz w:val="21"/>
              </w:rPr>
              <w:t>。</w:t>
            </w:r>
          </w:p>
        </w:tc>
        <w:tc>
          <w:tcPr>
            <w:tcW w:w="709" w:type="dxa"/>
            <w:tcBorders>
              <w:tl2br w:val="nil"/>
              <w:tr2bl w:val="nil"/>
            </w:tcBorders>
            <w:shd w:val="clear" w:color="auto" w:fill="auto"/>
            <w:vAlign w:val="center"/>
          </w:tcPr>
          <w:p>
            <w:pPr>
              <w:widowControl/>
              <w:spacing w:line="240" w:lineRule="auto"/>
              <w:ind w:firstLine="0" w:firstLineChars="0"/>
              <w:jc w:val="center"/>
              <w:rPr>
                <w:rFonts w:hAnsi="宋体"/>
                <w:b/>
                <w:bCs/>
              </w:rPr>
            </w:pPr>
            <w:r>
              <w:rPr>
                <w:rFonts w:hint="eastAsia" w:ascii="Times New Roman" w:hAnsi="宋体"/>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494" w:type="dxa"/>
            <w:tcBorders>
              <w:tl2br w:val="nil"/>
              <w:tr2bl w:val="nil"/>
            </w:tcBorders>
            <w:shd w:val="clear" w:color="auto" w:fill="auto"/>
            <w:vAlign w:val="center"/>
          </w:tcPr>
          <w:p>
            <w:pPr>
              <w:widowControl/>
              <w:spacing w:line="240" w:lineRule="auto"/>
              <w:ind w:firstLine="0" w:firstLineChars="0"/>
              <w:jc w:val="center"/>
              <w:rPr>
                <w:rFonts w:hAnsi="宋体"/>
              </w:rPr>
            </w:pPr>
            <w:r>
              <w:rPr>
                <w:rFonts w:ascii="Times New Roman" w:hAnsi="宋体" w:cs="Times New Roman"/>
                <w:kern w:val="2"/>
                <w:sz w:val="21"/>
              </w:rPr>
              <w:t>2</w:t>
            </w:r>
          </w:p>
        </w:tc>
        <w:tc>
          <w:tcPr>
            <w:tcW w:w="3118"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固体废物收集、贮存、处理处置设施应按照标准要求采取防渗措施。试油（气）后应立即封闭废弃钻井液贮池。</w:t>
            </w:r>
          </w:p>
        </w:tc>
        <w:tc>
          <w:tcPr>
            <w:tcW w:w="2262"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钻井</w:t>
            </w:r>
            <w:r>
              <w:rPr>
                <w:rFonts w:ascii="Times New Roman" w:hAnsi="宋体"/>
                <w:sz w:val="21"/>
              </w:rPr>
              <w:t>采用清洁化操作平台，并采取泥浆不落地措施</w:t>
            </w:r>
            <w:r>
              <w:rPr>
                <w:rFonts w:hint="eastAsia" w:ascii="Times New Roman" w:hAnsi="宋体"/>
                <w:sz w:val="21"/>
              </w:rPr>
              <w:t>，</w:t>
            </w:r>
            <w:r>
              <w:rPr>
                <w:rFonts w:ascii="Times New Roman" w:hAnsi="宋体"/>
                <w:sz w:val="21"/>
              </w:rPr>
              <w:t>废</w:t>
            </w:r>
            <w:r>
              <w:rPr>
                <w:rFonts w:hint="eastAsia" w:ascii="Times New Roman" w:hAnsi="宋体"/>
                <w:sz w:val="21"/>
              </w:rPr>
              <w:t>水基</w:t>
            </w:r>
            <w:r>
              <w:rPr>
                <w:rFonts w:ascii="Times New Roman" w:hAnsi="宋体"/>
                <w:sz w:val="21"/>
              </w:rPr>
              <w:t>泥浆与</w:t>
            </w:r>
            <w:r>
              <w:rPr>
                <w:rFonts w:hint="eastAsia" w:ascii="Times New Roman" w:hAnsi="宋体"/>
                <w:sz w:val="21"/>
              </w:rPr>
              <w:t>水基</w:t>
            </w:r>
            <w:r>
              <w:rPr>
                <w:rFonts w:ascii="Times New Roman" w:hAnsi="宋体"/>
                <w:sz w:val="21"/>
              </w:rPr>
              <w:t>废岩屑按照</w:t>
            </w:r>
            <w:r>
              <w:rPr>
                <w:rFonts w:hint="eastAsia" w:ascii="Times New Roman" w:hAnsi="宋体"/>
                <w:sz w:val="21"/>
              </w:rPr>
              <w:t>相关要求进行资源化利用；废油基泥浆、油基岩屑、废油暂存于危废暂存间，面积约10m</w:t>
            </w:r>
            <w:r>
              <w:rPr>
                <w:rFonts w:hint="eastAsia" w:ascii="Times New Roman" w:hAnsi="宋体"/>
                <w:sz w:val="21"/>
                <w:vertAlign w:val="superscript"/>
              </w:rPr>
              <w:t>2</w:t>
            </w:r>
            <w:r>
              <w:rPr>
                <w:rFonts w:hint="eastAsia" w:ascii="Times New Roman" w:hAnsi="宋体"/>
                <w:sz w:val="21"/>
              </w:rPr>
              <w:t>，暂存间地面采取</w:t>
            </w:r>
            <w:r>
              <w:rPr>
                <w:rFonts w:hint="eastAsia" w:ascii="Times New Roman" w:hAnsi="宋体"/>
                <w:color w:val="0000FF"/>
                <w:sz w:val="21"/>
              </w:rPr>
              <w:t>六防措施（防风、防雨、防晒、防渗、防漏、防腐），危险废物</w:t>
            </w:r>
            <w:r>
              <w:rPr>
                <w:rFonts w:ascii="Times New Roman" w:hAnsi="宋体"/>
                <w:sz w:val="21"/>
              </w:rPr>
              <w:t>清运</w:t>
            </w:r>
            <w:r>
              <w:rPr>
                <w:rFonts w:hint="eastAsia" w:ascii="Times New Roman" w:hAnsi="宋体"/>
                <w:sz w:val="21"/>
              </w:rPr>
              <w:t>至企业净化厂</w:t>
            </w:r>
            <w:r>
              <w:rPr>
                <w:rFonts w:ascii="Times New Roman" w:hAnsi="宋体"/>
                <w:sz w:val="21"/>
              </w:rPr>
              <w:t>危险废物贮存仓库，</w:t>
            </w:r>
            <w:r>
              <w:rPr>
                <w:rFonts w:hint="eastAsia" w:ascii="Times New Roman" w:hAnsi="宋体"/>
                <w:sz w:val="21"/>
              </w:rPr>
              <w:t>定期</w:t>
            </w:r>
            <w:r>
              <w:rPr>
                <w:rFonts w:ascii="Times New Roman" w:hAnsi="宋体"/>
                <w:sz w:val="21"/>
              </w:rPr>
              <w:t>委托有资质单位进行处理</w:t>
            </w:r>
            <w:r>
              <w:rPr>
                <w:rFonts w:hint="eastAsia" w:ascii="Times New Roman" w:hAnsi="宋体"/>
                <w:sz w:val="21"/>
              </w:rPr>
              <w:t>。</w:t>
            </w:r>
          </w:p>
        </w:tc>
        <w:tc>
          <w:tcPr>
            <w:tcW w:w="709" w:type="dxa"/>
            <w:tcBorders>
              <w:tl2br w:val="nil"/>
              <w:tr2bl w:val="nil"/>
            </w:tcBorders>
            <w:shd w:val="clear" w:color="auto" w:fill="auto"/>
            <w:vAlign w:val="center"/>
          </w:tcPr>
          <w:p>
            <w:pPr>
              <w:widowControl/>
              <w:spacing w:line="240" w:lineRule="auto"/>
              <w:ind w:firstLine="0" w:firstLineChars="0"/>
              <w:jc w:val="center"/>
              <w:rPr>
                <w:rFonts w:hAnsi="宋体"/>
                <w:b/>
                <w:bCs/>
              </w:rPr>
            </w:pPr>
            <w:r>
              <w:rPr>
                <w:rFonts w:hint="eastAsia" w:ascii="Times New Roman" w:hAnsi="宋体"/>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494" w:type="dxa"/>
            <w:tcBorders>
              <w:tl2br w:val="nil"/>
              <w:tr2bl w:val="nil"/>
            </w:tcBorders>
            <w:shd w:val="clear" w:color="auto" w:fill="auto"/>
            <w:vAlign w:val="center"/>
          </w:tcPr>
          <w:p>
            <w:pPr>
              <w:widowControl/>
              <w:spacing w:line="240" w:lineRule="auto"/>
              <w:ind w:firstLine="0" w:firstLineChars="0"/>
              <w:jc w:val="center"/>
              <w:rPr>
                <w:rFonts w:hAnsi="宋体"/>
                <w:bCs/>
              </w:rPr>
            </w:pPr>
            <w:r>
              <w:rPr>
                <w:rFonts w:ascii="Times New Roman" w:hAnsi="宋体" w:cs="Times New Roman"/>
                <w:bCs/>
                <w:sz w:val="21"/>
              </w:rPr>
              <w:t>3</w:t>
            </w:r>
          </w:p>
        </w:tc>
        <w:tc>
          <w:tcPr>
            <w:tcW w:w="3118" w:type="dxa"/>
            <w:tcBorders>
              <w:tl2br w:val="nil"/>
              <w:tr2bl w:val="nil"/>
            </w:tcBorders>
            <w:shd w:val="clear" w:color="auto" w:fill="auto"/>
            <w:vAlign w:val="center"/>
          </w:tcPr>
          <w:p>
            <w:pPr>
              <w:widowControl/>
              <w:spacing w:line="240" w:lineRule="auto"/>
              <w:ind w:firstLine="0" w:firstLineChars="0"/>
              <w:jc w:val="center"/>
              <w:rPr>
                <w:rFonts w:hAnsi="宋体"/>
                <w:bCs/>
              </w:rPr>
            </w:pPr>
            <w:r>
              <w:rPr>
                <w:rFonts w:hint="eastAsia" w:ascii="Times New Roman" w:hAnsi="宋体"/>
                <w:sz w:val="21"/>
              </w:rPr>
              <w:t>应回收落地原油，以及原油处理、废水处理产生的油泥（砂）等中的油类物质，含油污泥资源化利用率应达到</w:t>
            </w:r>
            <w:r>
              <w:rPr>
                <w:rFonts w:ascii="Times New Roman" w:hAnsi="宋体" w:cs="Times New Roman"/>
                <w:sz w:val="21"/>
              </w:rPr>
              <w:t>90%</w:t>
            </w:r>
            <w:r>
              <w:rPr>
                <w:rFonts w:hint="eastAsia" w:ascii="Times New Roman" w:hAnsi="宋体"/>
                <w:sz w:val="21"/>
              </w:rPr>
              <w:t>以上，残余固体废物应按照《国家危险废物名录》和危险废物鉴别标准识别，根据识别结果资源化利用或无害化处置。</w:t>
            </w:r>
          </w:p>
        </w:tc>
        <w:tc>
          <w:tcPr>
            <w:tcW w:w="2262" w:type="dxa"/>
            <w:tcBorders>
              <w:tl2br w:val="nil"/>
              <w:tr2bl w:val="nil"/>
            </w:tcBorders>
            <w:shd w:val="clear" w:color="auto" w:fill="auto"/>
            <w:vAlign w:val="center"/>
          </w:tcPr>
          <w:p>
            <w:pPr>
              <w:widowControl/>
              <w:spacing w:line="240" w:lineRule="auto"/>
              <w:ind w:firstLine="0" w:firstLineChars="0"/>
              <w:jc w:val="center"/>
              <w:rPr>
                <w:rFonts w:hAnsi="宋体"/>
                <w:bCs/>
              </w:rPr>
            </w:pPr>
            <w:r>
              <w:rPr>
                <w:rFonts w:hint="eastAsia" w:ascii="Times New Roman" w:hAnsi="宋体"/>
                <w:sz w:val="21"/>
              </w:rPr>
              <w:t>钻井</w:t>
            </w:r>
            <w:r>
              <w:rPr>
                <w:rFonts w:ascii="Times New Roman" w:hAnsi="宋体"/>
                <w:sz w:val="21"/>
              </w:rPr>
              <w:t>采用清洁化操作平台，并采取泥浆不落地措施</w:t>
            </w:r>
            <w:r>
              <w:rPr>
                <w:rFonts w:hint="eastAsia" w:ascii="Times New Roman" w:hAnsi="宋体"/>
                <w:sz w:val="21"/>
              </w:rPr>
              <w:t>，</w:t>
            </w:r>
            <w:r>
              <w:rPr>
                <w:rFonts w:ascii="Times New Roman" w:hAnsi="宋体"/>
                <w:sz w:val="21"/>
              </w:rPr>
              <w:t>废</w:t>
            </w:r>
            <w:r>
              <w:rPr>
                <w:rFonts w:hint="eastAsia" w:ascii="Times New Roman" w:hAnsi="宋体"/>
                <w:sz w:val="21"/>
              </w:rPr>
              <w:t>水基</w:t>
            </w:r>
            <w:r>
              <w:rPr>
                <w:rFonts w:ascii="Times New Roman" w:hAnsi="宋体"/>
                <w:sz w:val="21"/>
              </w:rPr>
              <w:t>泥浆与</w:t>
            </w:r>
            <w:r>
              <w:rPr>
                <w:rFonts w:hint="eastAsia" w:ascii="Times New Roman" w:hAnsi="宋体"/>
                <w:sz w:val="21"/>
              </w:rPr>
              <w:t>水基</w:t>
            </w:r>
            <w:r>
              <w:rPr>
                <w:rFonts w:ascii="Times New Roman" w:hAnsi="宋体"/>
                <w:sz w:val="21"/>
              </w:rPr>
              <w:t>废岩屑按照</w:t>
            </w:r>
            <w:r>
              <w:rPr>
                <w:rFonts w:hint="eastAsia" w:ascii="Times New Roman" w:hAnsi="宋体"/>
                <w:sz w:val="21"/>
              </w:rPr>
              <w:t>相关要求进行资源化利用；废油基泥浆、油基岩屑、废油暂存于危废暂存间，面积约10m</w:t>
            </w:r>
            <w:r>
              <w:rPr>
                <w:rFonts w:hint="eastAsia" w:ascii="Times New Roman" w:hAnsi="宋体"/>
                <w:sz w:val="21"/>
                <w:vertAlign w:val="superscript"/>
              </w:rPr>
              <w:t>2</w:t>
            </w:r>
            <w:r>
              <w:rPr>
                <w:rFonts w:hint="eastAsia" w:ascii="Times New Roman" w:hAnsi="宋体"/>
                <w:sz w:val="21"/>
              </w:rPr>
              <w:t>，暂存间地面采取</w:t>
            </w:r>
            <w:r>
              <w:rPr>
                <w:rFonts w:hint="eastAsia" w:ascii="Times New Roman" w:hAnsi="宋体"/>
                <w:color w:val="0000FF"/>
                <w:sz w:val="21"/>
              </w:rPr>
              <w:t>六防措施（防风、防雨、防晒、防渗、防漏、防腐）</w:t>
            </w:r>
            <w:r>
              <w:rPr>
                <w:rFonts w:hint="eastAsia" w:ascii="Times New Roman" w:hAnsi="宋体"/>
                <w:sz w:val="21"/>
              </w:rPr>
              <w:t>，</w:t>
            </w:r>
            <w:r>
              <w:rPr>
                <w:rFonts w:hint="eastAsia" w:ascii="Times New Roman" w:hAnsi="宋体"/>
                <w:color w:val="0000FF"/>
                <w:sz w:val="21"/>
              </w:rPr>
              <w:t>危险废物</w:t>
            </w:r>
            <w:r>
              <w:rPr>
                <w:rFonts w:ascii="Times New Roman" w:hAnsi="宋体"/>
                <w:sz w:val="21"/>
              </w:rPr>
              <w:t>及时清运</w:t>
            </w:r>
            <w:r>
              <w:rPr>
                <w:rFonts w:hint="eastAsia" w:ascii="Times New Roman" w:hAnsi="宋体"/>
                <w:sz w:val="21"/>
              </w:rPr>
              <w:t>至企业净化厂</w:t>
            </w:r>
            <w:r>
              <w:rPr>
                <w:rFonts w:ascii="Times New Roman" w:hAnsi="宋体"/>
                <w:sz w:val="21"/>
              </w:rPr>
              <w:t>危险废物贮存仓库，</w:t>
            </w:r>
            <w:r>
              <w:rPr>
                <w:rFonts w:hint="eastAsia" w:ascii="Times New Roman" w:hAnsi="宋体"/>
                <w:sz w:val="21"/>
              </w:rPr>
              <w:t>定期</w:t>
            </w:r>
            <w:r>
              <w:rPr>
                <w:rFonts w:ascii="Times New Roman" w:hAnsi="宋体"/>
                <w:sz w:val="21"/>
              </w:rPr>
              <w:t>委托有资质单位进行处理</w:t>
            </w:r>
            <w:r>
              <w:rPr>
                <w:rFonts w:hint="eastAsia" w:ascii="Times New Roman" w:hAnsi="宋体"/>
                <w:sz w:val="21"/>
              </w:rPr>
              <w:t>。</w:t>
            </w:r>
          </w:p>
        </w:tc>
        <w:tc>
          <w:tcPr>
            <w:tcW w:w="709" w:type="dxa"/>
            <w:tcBorders>
              <w:tl2br w:val="nil"/>
              <w:tr2bl w:val="nil"/>
            </w:tcBorders>
            <w:shd w:val="clear" w:color="auto" w:fill="auto"/>
            <w:vAlign w:val="center"/>
          </w:tcPr>
          <w:p>
            <w:pPr>
              <w:widowControl/>
              <w:spacing w:line="240" w:lineRule="auto"/>
              <w:ind w:firstLine="0" w:firstLineChars="0"/>
              <w:jc w:val="center"/>
              <w:rPr>
                <w:rFonts w:hAnsi="宋体"/>
                <w:bCs/>
              </w:rPr>
            </w:pPr>
            <w:r>
              <w:rPr>
                <w:rFonts w:hint="eastAsia" w:ascii="Times New Roman" w:hAnsi="宋体"/>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494" w:type="dxa"/>
            <w:tcBorders>
              <w:tl2br w:val="nil"/>
              <w:tr2bl w:val="nil"/>
            </w:tcBorders>
            <w:shd w:val="clear" w:color="auto" w:fill="auto"/>
            <w:vAlign w:val="center"/>
          </w:tcPr>
          <w:p>
            <w:pPr>
              <w:widowControl/>
              <w:spacing w:line="240" w:lineRule="auto"/>
              <w:ind w:firstLine="0" w:firstLineChars="0"/>
              <w:jc w:val="center"/>
              <w:rPr>
                <w:rFonts w:hAnsi="宋体"/>
                <w:bCs/>
              </w:rPr>
            </w:pPr>
            <w:r>
              <w:rPr>
                <w:rFonts w:ascii="Times New Roman" w:hAnsi="宋体" w:cs="Times New Roman"/>
                <w:bCs/>
                <w:sz w:val="21"/>
              </w:rPr>
              <w:t>4</w:t>
            </w:r>
          </w:p>
        </w:tc>
        <w:tc>
          <w:tcPr>
            <w:tcW w:w="3118" w:type="dxa"/>
            <w:tcBorders>
              <w:tl2br w:val="nil"/>
              <w:tr2bl w:val="nil"/>
            </w:tcBorders>
            <w:shd w:val="clear" w:color="auto" w:fill="auto"/>
            <w:vAlign w:val="center"/>
          </w:tcPr>
          <w:p>
            <w:pPr>
              <w:widowControl/>
              <w:spacing w:line="240" w:lineRule="auto"/>
              <w:ind w:firstLine="0" w:firstLineChars="0"/>
              <w:jc w:val="center"/>
              <w:rPr>
                <w:rFonts w:hAnsi="宋体"/>
                <w:bCs/>
              </w:rPr>
            </w:pPr>
            <w:r>
              <w:rPr>
                <w:rFonts w:hint="eastAsia" w:ascii="Times New Roman" w:hAnsi="宋体"/>
                <w:sz w:val="21"/>
              </w:rPr>
              <w:t>对受到油污染的土壤宜采取生物或物化方法进行修复。</w:t>
            </w:r>
          </w:p>
        </w:tc>
        <w:tc>
          <w:tcPr>
            <w:tcW w:w="2262" w:type="dxa"/>
            <w:tcBorders>
              <w:tl2br w:val="nil"/>
              <w:tr2bl w:val="nil"/>
            </w:tcBorders>
            <w:shd w:val="clear" w:color="auto" w:fill="auto"/>
            <w:vAlign w:val="center"/>
          </w:tcPr>
          <w:p>
            <w:pPr>
              <w:widowControl/>
              <w:spacing w:line="240" w:lineRule="auto"/>
              <w:ind w:firstLine="0" w:firstLineChars="0"/>
              <w:jc w:val="center"/>
              <w:rPr>
                <w:rFonts w:hAnsi="宋体"/>
                <w:bCs/>
              </w:rPr>
            </w:pPr>
            <w:r>
              <w:rPr>
                <w:rFonts w:hint="eastAsia" w:ascii="Times New Roman" w:hAnsi="宋体"/>
                <w:sz w:val="21"/>
              </w:rPr>
              <w:t>不涉及原油，废油很少，通过采取防渗措施，总体不会造成土壤的油污染。</w:t>
            </w:r>
          </w:p>
        </w:tc>
        <w:tc>
          <w:tcPr>
            <w:tcW w:w="709" w:type="dxa"/>
            <w:tcBorders>
              <w:tl2br w:val="nil"/>
              <w:tr2bl w:val="nil"/>
            </w:tcBorders>
            <w:shd w:val="clear" w:color="auto" w:fill="auto"/>
            <w:vAlign w:val="center"/>
          </w:tcPr>
          <w:p>
            <w:pPr>
              <w:widowControl/>
              <w:spacing w:line="240" w:lineRule="auto"/>
              <w:ind w:firstLine="0" w:firstLineChars="0"/>
              <w:jc w:val="center"/>
              <w:rPr>
                <w:rFonts w:hAnsi="宋体"/>
                <w:bCs/>
              </w:rPr>
            </w:pPr>
            <w:r>
              <w:rPr>
                <w:rFonts w:hint="eastAsia" w:ascii="Times New Roman" w:hAnsi="宋体"/>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494" w:type="dxa"/>
            <w:tcBorders>
              <w:tl2br w:val="nil"/>
              <w:tr2bl w:val="nil"/>
            </w:tcBorders>
            <w:shd w:val="clear" w:color="auto" w:fill="auto"/>
            <w:vAlign w:val="center"/>
          </w:tcPr>
          <w:p>
            <w:pPr>
              <w:widowControl/>
              <w:spacing w:line="240" w:lineRule="auto"/>
              <w:ind w:firstLine="0" w:firstLineChars="0"/>
              <w:jc w:val="center"/>
              <w:rPr>
                <w:rFonts w:hAnsi="宋体"/>
                <w:bCs/>
              </w:rPr>
            </w:pPr>
            <w:r>
              <w:rPr>
                <w:rFonts w:hint="eastAsia" w:ascii="Times New Roman" w:hAnsi="宋体"/>
                <w:bCs/>
                <w:sz w:val="21"/>
              </w:rPr>
              <w:t>四</w:t>
            </w:r>
          </w:p>
        </w:tc>
        <w:tc>
          <w:tcPr>
            <w:tcW w:w="6089" w:type="dxa"/>
            <w:gridSpan w:val="3"/>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bCs/>
                <w:sz w:val="21"/>
              </w:rPr>
              <w:t>运行风险和环境管理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494" w:type="dxa"/>
            <w:tcBorders>
              <w:tl2br w:val="nil"/>
              <w:tr2bl w:val="nil"/>
            </w:tcBorders>
            <w:shd w:val="clear" w:color="auto" w:fill="auto"/>
            <w:vAlign w:val="center"/>
          </w:tcPr>
          <w:p>
            <w:pPr>
              <w:widowControl/>
              <w:spacing w:line="240" w:lineRule="auto"/>
              <w:ind w:firstLine="0" w:firstLineChars="0"/>
              <w:jc w:val="center"/>
              <w:rPr>
                <w:rFonts w:hAnsi="宋体"/>
              </w:rPr>
            </w:pPr>
            <w:r>
              <w:rPr>
                <w:rFonts w:ascii="Times New Roman" w:hAnsi="宋体" w:cs="Times New Roman"/>
                <w:kern w:val="2"/>
                <w:sz w:val="21"/>
              </w:rPr>
              <w:t>1</w:t>
            </w:r>
          </w:p>
          <w:p>
            <w:pPr>
              <w:widowControl/>
              <w:spacing w:line="240" w:lineRule="auto"/>
              <w:ind w:firstLine="480"/>
              <w:jc w:val="center"/>
              <w:rPr>
                <w:rFonts w:hAnsi="宋体"/>
              </w:rPr>
            </w:pPr>
          </w:p>
        </w:tc>
        <w:tc>
          <w:tcPr>
            <w:tcW w:w="3118"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油气田企业应制定环境保护管理规定，建立并运行健康、安全与环境管理体系。</w:t>
            </w:r>
          </w:p>
        </w:tc>
        <w:tc>
          <w:tcPr>
            <w:tcW w:w="2262"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本项目业主制定有完善的环境保护管理规定，并建立运行健康、安全与环境管理体系。</w:t>
            </w:r>
          </w:p>
        </w:tc>
        <w:tc>
          <w:tcPr>
            <w:tcW w:w="709"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494" w:type="dxa"/>
            <w:tcBorders>
              <w:tl2br w:val="nil"/>
              <w:tr2bl w:val="nil"/>
            </w:tcBorders>
            <w:shd w:val="clear" w:color="auto" w:fill="auto"/>
            <w:vAlign w:val="center"/>
          </w:tcPr>
          <w:p>
            <w:pPr>
              <w:widowControl/>
              <w:spacing w:line="240" w:lineRule="auto"/>
              <w:ind w:firstLine="0" w:firstLineChars="0"/>
              <w:jc w:val="center"/>
              <w:rPr>
                <w:rFonts w:hAnsi="宋体"/>
              </w:rPr>
            </w:pPr>
            <w:r>
              <w:rPr>
                <w:rFonts w:ascii="Times New Roman" w:hAnsi="宋体" w:cs="Times New Roman"/>
                <w:sz w:val="21"/>
              </w:rPr>
              <w:t>2</w:t>
            </w:r>
          </w:p>
        </w:tc>
        <w:tc>
          <w:tcPr>
            <w:tcW w:w="3118"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加强油气田建设、开发过程的环境监督管理。油气田建设过程应开展工程环境监理。</w:t>
            </w:r>
          </w:p>
        </w:tc>
        <w:tc>
          <w:tcPr>
            <w:tcW w:w="2262"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本项目制定有环境监理计划</w:t>
            </w:r>
            <w:r>
              <w:rPr>
                <w:rFonts w:ascii="Times New Roman" w:hAnsi="宋体" w:cs="Times New Roman"/>
                <w:sz w:val="21"/>
              </w:rPr>
              <w:t xml:space="preserve"> </w:t>
            </w:r>
            <w:r>
              <w:rPr>
                <w:rFonts w:hint="eastAsia" w:ascii="Times New Roman" w:hAnsi="宋体"/>
                <w:sz w:val="21"/>
              </w:rPr>
              <w:t>。</w:t>
            </w:r>
          </w:p>
        </w:tc>
        <w:tc>
          <w:tcPr>
            <w:tcW w:w="709"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4" w:type="dxa"/>
            <w:tcBorders>
              <w:tl2br w:val="nil"/>
              <w:tr2bl w:val="nil"/>
            </w:tcBorders>
            <w:shd w:val="clear" w:color="auto" w:fill="auto"/>
            <w:vAlign w:val="center"/>
          </w:tcPr>
          <w:p>
            <w:pPr>
              <w:widowControl/>
              <w:spacing w:line="240" w:lineRule="auto"/>
              <w:ind w:firstLine="0" w:firstLineChars="0"/>
              <w:jc w:val="center"/>
              <w:rPr>
                <w:rFonts w:hAnsi="宋体"/>
              </w:rPr>
            </w:pPr>
            <w:r>
              <w:rPr>
                <w:rFonts w:ascii="Times New Roman" w:hAnsi="宋体" w:cs="Times New Roman"/>
                <w:sz w:val="21"/>
              </w:rPr>
              <w:t>3</w:t>
            </w:r>
          </w:p>
        </w:tc>
        <w:tc>
          <w:tcPr>
            <w:tcW w:w="3118"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在开发过程中，企业应加强油气井套管的检测和维护，防止油气泄漏污染地下水。</w:t>
            </w:r>
          </w:p>
        </w:tc>
        <w:tc>
          <w:tcPr>
            <w:tcW w:w="2262"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本项目制定了套管检测和维护计划和制度，防止天然气泄露污染地下水。</w:t>
            </w:r>
          </w:p>
        </w:tc>
        <w:tc>
          <w:tcPr>
            <w:tcW w:w="709"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494" w:type="dxa"/>
            <w:tcBorders>
              <w:tl2br w:val="nil"/>
              <w:tr2bl w:val="nil"/>
            </w:tcBorders>
            <w:shd w:val="clear" w:color="auto" w:fill="auto"/>
            <w:vAlign w:val="center"/>
          </w:tcPr>
          <w:p>
            <w:pPr>
              <w:widowControl/>
              <w:spacing w:line="240" w:lineRule="auto"/>
              <w:ind w:firstLine="0" w:firstLineChars="0"/>
              <w:jc w:val="center"/>
              <w:rPr>
                <w:rFonts w:hAnsi="宋体"/>
              </w:rPr>
            </w:pPr>
            <w:r>
              <w:rPr>
                <w:rFonts w:ascii="Times New Roman" w:hAnsi="宋体" w:cs="Times New Roman"/>
                <w:sz w:val="21"/>
              </w:rPr>
              <w:t>4</w:t>
            </w:r>
          </w:p>
        </w:tc>
        <w:tc>
          <w:tcPr>
            <w:tcW w:w="3118"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油气田企业应建立环境保护人员培训制度，环境监测人员、统计人员、污染治理设施操作人员应经培训合格后上岗。</w:t>
            </w:r>
          </w:p>
        </w:tc>
        <w:tc>
          <w:tcPr>
            <w:tcW w:w="2262"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本项目建设单位设置有专门的环境管理部门，并制定有完善的环境管理制度和培训制度。</w:t>
            </w:r>
          </w:p>
        </w:tc>
        <w:tc>
          <w:tcPr>
            <w:tcW w:w="709"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494" w:type="dxa"/>
            <w:tcBorders>
              <w:tl2br w:val="nil"/>
              <w:tr2bl w:val="nil"/>
            </w:tcBorders>
            <w:shd w:val="clear" w:color="auto" w:fill="auto"/>
            <w:vAlign w:val="center"/>
          </w:tcPr>
          <w:p>
            <w:pPr>
              <w:widowControl/>
              <w:spacing w:line="240" w:lineRule="auto"/>
              <w:ind w:firstLine="0" w:firstLineChars="0"/>
              <w:jc w:val="center"/>
              <w:rPr>
                <w:rFonts w:hAnsi="宋体"/>
              </w:rPr>
            </w:pPr>
            <w:r>
              <w:rPr>
                <w:rFonts w:ascii="Times New Roman" w:hAnsi="宋体" w:cs="Times New Roman"/>
                <w:sz w:val="21"/>
              </w:rPr>
              <w:t>5</w:t>
            </w:r>
          </w:p>
        </w:tc>
        <w:tc>
          <w:tcPr>
            <w:tcW w:w="3118"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油气田企业应对开发过程进行环境风险因素识别，制定突发环境事件应急预案并定期进行演练。应开展特征污染物监测工作，采取环境风险防范和应急措施，防止发生由突发性油气泄漏产生的环境事故。</w:t>
            </w:r>
          </w:p>
        </w:tc>
        <w:tc>
          <w:tcPr>
            <w:tcW w:w="2262"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本项目建设单位设置有突发环境事件应急预案，并定期举行演练。在站场周边设置有事故监测点，实时监测危险因子。</w:t>
            </w:r>
          </w:p>
        </w:tc>
        <w:tc>
          <w:tcPr>
            <w:tcW w:w="709" w:type="dxa"/>
            <w:tcBorders>
              <w:tl2br w:val="nil"/>
              <w:tr2bl w:val="nil"/>
            </w:tcBorders>
            <w:shd w:val="clear" w:color="auto" w:fill="auto"/>
            <w:vAlign w:val="center"/>
          </w:tcPr>
          <w:p>
            <w:pPr>
              <w:widowControl/>
              <w:spacing w:line="240" w:lineRule="auto"/>
              <w:ind w:firstLine="0" w:firstLineChars="0"/>
              <w:jc w:val="center"/>
              <w:rPr>
                <w:rFonts w:hAnsi="宋体"/>
              </w:rPr>
            </w:pPr>
            <w:r>
              <w:rPr>
                <w:rFonts w:hint="eastAsia" w:ascii="Times New Roman" w:hAnsi="宋体"/>
                <w:sz w:val="21"/>
              </w:rPr>
              <w:t>符合</w:t>
            </w:r>
          </w:p>
        </w:tc>
      </w:tr>
    </w:tbl>
    <w:p>
      <w:pPr>
        <w:pStyle w:val="112"/>
        <w:ind w:firstLine="480"/>
      </w:pPr>
      <w:r>
        <w:t>经上表分析，项目建设与</w:t>
      </w:r>
      <w:r>
        <w:rPr>
          <w:rFonts w:hint="eastAsia"/>
        </w:rPr>
        <w:t>《石油天然气开采业污染防治技术政策》</w:t>
      </w:r>
      <w:r>
        <w:t>相符。</w:t>
      </w:r>
    </w:p>
    <w:p>
      <w:pPr>
        <w:keepNext/>
        <w:keepLines/>
        <w:ind w:firstLine="0" w:firstLineChars="0"/>
        <w:outlineLvl w:val="2"/>
        <w:rPr>
          <w:rFonts w:ascii="Times New Roman" w:cs="Times New Roman"/>
          <w:b/>
          <w:szCs w:val="32"/>
        </w:rPr>
      </w:pPr>
      <w:r>
        <w:rPr>
          <w:rFonts w:ascii="Times New Roman" w:cs="Times New Roman"/>
          <w:b/>
          <w:szCs w:val="32"/>
        </w:rPr>
        <w:t>1.8.</w:t>
      </w:r>
      <w:r>
        <w:rPr>
          <w:rFonts w:hint="eastAsia" w:ascii="Times New Roman" w:cs="Times New Roman"/>
          <w:b/>
          <w:szCs w:val="32"/>
        </w:rPr>
        <w:t>7</w:t>
      </w:r>
      <w:r>
        <w:rPr>
          <w:rFonts w:ascii="Times New Roman" w:cs="Times New Roman"/>
          <w:b/>
          <w:szCs w:val="32"/>
        </w:rPr>
        <w:t xml:space="preserve"> 与《关于进一步加强石油天然气行业环境影响评价管理的通知》（环办环评函〔2019〕910号）符合性分析</w:t>
      </w:r>
    </w:p>
    <w:p>
      <w:pPr>
        <w:pStyle w:val="112"/>
        <w:ind w:firstLine="480"/>
      </w:pPr>
      <w:r>
        <w:t>本项目与《关于进一步加强石油天然气行业环境影响评价管理的通知》（环办环评函〔2019〕910号）对比分析详见表1.8-</w:t>
      </w:r>
      <w:r>
        <w:rPr>
          <w:rFonts w:hint="eastAsia"/>
        </w:rPr>
        <w:t>5</w:t>
      </w:r>
      <w:r>
        <w:t>：</w:t>
      </w:r>
    </w:p>
    <w:p>
      <w:pPr>
        <w:ind w:firstLine="480" w:firstLineChars="0"/>
        <w:jc w:val="center"/>
        <w:rPr>
          <w:rFonts w:ascii="Times New Roman" w:cs="Times New Roman"/>
          <w:b/>
          <w:sz w:val="21"/>
        </w:rPr>
      </w:pPr>
      <w:r>
        <w:rPr>
          <w:rFonts w:ascii="Times New Roman" w:cs="Times New Roman"/>
          <w:b/>
          <w:sz w:val="21"/>
        </w:rPr>
        <w:t>表1.8-</w:t>
      </w:r>
      <w:r>
        <w:rPr>
          <w:rFonts w:hint="eastAsia" w:ascii="Times New Roman" w:cs="Times New Roman"/>
          <w:b/>
          <w:sz w:val="21"/>
        </w:rPr>
        <w:t>5</w:t>
      </w:r>
      <w:r>
        <w:rPr>
          <w:rFonts w:ascii="Times New Roman" w:cs="Times New Roman"/>
          <w:b/>
          <w:sz w:val="21"/>
        </w:rPr>
        <w:t xml:space="preserve">  与关于进一步加强石油天然气行业环境影响评价管理的通知符合性</w:t>
      </w:r>
    </w:p>
    <w:tbl>
      <w:tblPr>
        <w:tblStyle w:val="57"/>
        <w:tblW w:w="89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08"/>
        <w:gridCol w:w="4474"/>
        <w:gridCol w:w="2410"/>
        <w:gridCol w:w="1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3" w:hRule="atLeast"/>
          <w:tblHeader/>
          <w:jc w:val="center"/>
        </w:trPr>
        <w:tc>
          <w:tcPr>
            <w:tcW w:w="509" w:type="pct"/>
            <w:vAlign w:val="center"/>
          </w:tcPr>
          <w:p>
            <w:pPr>
              <w:spacing w:line="240" w:lineRule="auto"/>
              <w:ind w:firstLine="0" w:firstLineChars="0"/>
              <w:jc w:val="center"/>
              <w:rPr>
                <w:rFonts w:ascii="Times New Roman" w:cs="Times New Roman"/>
                <w:b/>
                <w:bCs/>
                <w:sz w:val="21"/>
                <w:szCs w:val="21"/>
              </w:rPr>
            </w:pPr>
            <w:r>
              <w:rPr>
                <w:rFonts w:ascii="Times New Roman" w:cs="Times New Roman"/>
                <w:b/>
                <w:bCs/>
                <w:sz w:val="21"/>
                <w:szCs w:val="21"/>
              </w:rPr>
              <w:t>序号</w:t>
            </w:r>
          </w:p>
        </w:tc>
        <w:tc>
          <w:tcPr>
            <w:tcW w:w="2506" w:type="pct"/>
            <w:vAlign w:val="center"/>
          </w:tcPr>
          <w:p>
            <w:pPr>
              <w:spacing w:line="240" w:lineRule="auto"/>
              <w:ind w:firstLine="0" w:firstLineChars="0"/>
              <w:jc w:val="center"/>
              <w:rPr>
                <w:rFonts w:ascii="Times New Roman" w:cs="Times New Roman"/>
                <w:b/>
                <w:bCs/>
                <w:sz w:val="21"/>
                <w:szCs w:val="21"/>
              </w:rPr>
            </w:pPr>
            <w:r>
              <w:rPr>
                <w:rFonts w:ascii="Times New Roman" w:cs="Times New Roman"/>
                <w:b/>
                <w:bCs/>
                <w:sz w:val="21"/>
                <w:szCs w:val="21"/>
              </w:rPr>
              <w:t>技术政策要求</w:t>
            </w:r>
          </w:p>
        </w:tc>
        <w:tc>
          <w:tcPr>
            <w:tcW w:w="1350" w:type="pct"/>
            <w:vAlign w:val="center"/>
          </w:tcPr>
          <w:p>
            <w:pPr>
              <w:spacing w:line="240" w:lineRule="auto"/>
              <w:ind w:firstLine="0" w:firstLineChars="0"/>
              <w:jc w:val="center"/>
              <w:rPr>
                <w:rFonts w:ascii="Times New Roman" w:cs="Times New Roman"/>
                <w:b/>
                <w:bCs/>
                <w:sz w:val="21"/>
                <w:szCs w:val="21"/>
              </w:rPr>
            </w:pPr>
            <w:r>
              <w:rPr>
                <w:rFonts w:ascii="Times New Roman" w:cs="Times New Roman"/>
                <w:b/>
                <w:bCs/>
                <w:sz w:val="21"/>
                <w:szCs w:val="21"/>
              </w:rPr>
              <w:t>项目内容</w:t>
            </w:r>
          </w:p>
        </w:tc>
        <w:tc>
          <w:tcPr>
            <w:tcW w:w="635" w:type="pct"/>
            <w:vAlign w:val="center"/>
          </w:tcPr>
          <w:p>
            <w:pPr>
              <w:spacing w:line="240" w:lineRule="auto"/>
              <w:ind w:firstLine="0" w:firstLineChars="0"/>
              <w:jc w:val="center"/>
              <w:rPr>
                <w:rFonts w:ascii="Times New Roman" w:cs="Times New Roman"/>
                <w:b/>
                <w:bCs/>
                <w:sz w:val="21"/>
                <w:szCs w:val="21"/>
              </w:rPr>
            </w:pPr>
            <w:r>
              <w:rPr>
                <w:rFonts w:ascii="Times New Roman" w:cs="Times New Roman"/>
                <w:b/>
                <w:bCs/>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9" w:type="pct"/>
            <w:vAlign w:val="center"/>
          </w:tcPr>
          <w:p>
            <w:pPr>
              <w:pStyle w:val="553"/>
            </w:pPr>
            <w:r>
              <w:t>一</w:t>
            </w:r>
          </w:p>
        </w:tc>
        <w:tc>
          <w:tcPr>
            <w:tcW w:w="4491" w:type="pct"/>
            <w:gridSpan w:val="3"/>
            <w:vAlign w:val="center"/>
          </w:tcPr>
          <w:p>
            <w:pPr>
              <w:pStyle w:val="553"/>
            </w:pPr>
            <w:r>
              <w:t>推进规划环境影响评价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9" w:type="pct"/>
            <w:vAlign w:val="center"/>
          </w:tcPr>
          <w:p>
            <w:pPr>
              <w:pStyle w:val="553"/>
            </w:pPr>
            <w:r>
              <w:t>（2）</w:t>
            </w:r>
          </w:p>
        </w:tc>
        <w:tc>
          <w:tcPr>
            <w:tcW w:w="2506" w:type="pct"/>
            <w:vAlign w:val="center"/>
          </w:tcPr>
          <w:p>
            <w:pPr>
              <w:pStyle w:val="553"/>
            </w:pPr>
            <w:r>
              <w:t>油气企业在编制内部相关油气开发专项规划时，鼓励同步编制规划环境影响报告书。</w:t>
            </w:r>
          </w:p>
        </w:tc>
        <w:tc>
          <w:tcPr>
            <w:tcW w:w="1350" w:type="pct"/>
            <w:vAlign w:val="center"/>
          </w:tcPr>
          <w:p>
            <w:pPr>
              <w:pStyle w:val="553"/>
            </w:pPr>
            <w:r>
              <w:t>未编制相油气开发专项规划环境影响报告书。</w:t>
            </w:r>
          </w:p>
        </w:tc>
        <w:tc>
          <w:tcPr>
            <w:tcW w:w="635" w:type="pct"/>
            <w:vAlign w:val="center"/>
          </w:tcPr>
          <w:p>
            <w:pPr>
              <w:pStyle w:val="553"/>
            </w:pPr>
            <w:r>
              <w:t>非强制性要求，不违背。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9" w:type="pct"/>
            <w:vAlign w:val="center"/>
          </w:tcPr>
          <w:p>
            <w:pPr>
              <w:pStyle w:val="553"/>
            </w:pPr>
            <w:r>
              <w:t>二</w:t>
            </w:r>
          </w:p>
        </w:tc>
        <w:tc>
          <w:tcPr>
            <w:tcW w:w="4491" w:type="pct"/>
            <w:gridSpan w:val="3"/>
            <w:vAlign w:val="center"/>
          </w:tcPr>
          <w:p>
            <w:pPr>
              <w:pStyle w:val="553"/>
            </w:pPr>
            <w:r>
              <w:t>深化项目环评“放管服”改革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9" w:type="pct"/>
            <w:vAlign w:val="center"/>
          </w:tcPr>
          <w:p>
            <w:pPr>
              <w:pStyle w:val="553"/>
            </w:pPr>
            <w:r>
              <w:t>（4）</w:t>
            </w:r>
          </w:p>
        </w:tc>
        <w:tc>
          <w:tcPr>
            <w:tcW w:w="2506" w:type="pct"/>
            <w:vAlign w:val="center"/>
          </w:tcPr>
          <w:p>
            <w:pPr>
              <w:pStyle w:val="553"/>
            </w:pPr>
            <w:r>
              <w:t>油气开采项目（含新开发和滚动开发项目）原则上应当以区块为单位开展环评（以下简称区块环评），一般包括区块内拟建的新井、加密井、调整井、站场、设备、管道和电缆及其更换工程、弃置工程及配套工程等。项目环评应当深入评价项目建设、运营带来的环境影响和环境风险，提出有效的生态环境保护和环境风险防范措施。滚动开发区块产能建设项目环评文件中还应对现有工程环境影响进行回顾性评价，对存在的生态环境问题和环境风险隐患提出有效防治措施。依托其他防治设施的或者委托第三方处置的，应当论证其可行性和有效性。</w:t>
            </w:r>
          </w:p>
        </w:tc>
        <w:tc>
          <w:tcPr>
            <w:tcW w:w="1350" w:type="pct"/>
            <w:vAlign w:val="center"/>
          </w:tcPr>
          <w:p>
            <w:pPr>
              <w:pStyle w:val="553"/>
            </w:pPr>
            <w:r>
              <w:rPr>
                <w:szCs w:val="21"/>
              </w:rPr>
              <w:t>2007年，《中国石化普光气田开发及川气东送管道工程环境影响报告书》经原环保部审批，报告中已分析了普光区块相关内容。2018年6月，中原油田普光分公司组织开展了普光气田开发工程环境影响后评价，明确了普光气田普光区块的建设内容和建设进度，后评价报告在国家生态环境部进行备案，非含新开发和滚动开发项目。</w:t>
            </w:r>
            <w:r>
              <w:rPr>
                <w:color w:val="FF0000"/>
                <w:szCs w:val="21"/>
              </w:rPr>
              <w:t>本项目为</w:t>
            </w:r>
            <w:r>
              <w:rPr>
                <w:rFonts w:hint="eastAsia"/>
                <w:color w:val="FF0000"/>
                <w:szCs w:val="21"/>
              </w:rPr>
              <w:t>天然气开采，不属于</w:t>
            </w:r>
            <w:r>
              <w:rPr>
                <w:color w:val="FF0000"/>
                <w:szCs w:val="21"/>
              </w:rPr>
              <w:t>区块建设项目。并且本次评价提出了有效的生态环境保护和环境风险防范措施。充分论证了施工期和</w:t>
            </w:r>
            <w:r>
              <w:rPr>
                <w:rFonts w:hint="eastAsia"/>
                <w:color w:val="FF0000"/>
                <w:szCs w:val="21"/>
              </w:rPr>
              <w:t>运营</w:t>
            </w:r>
            <w:r>
              <w:rPr>
                <w:color w:val="FF0000"/>
                <w:szCs w:val="21"/>
              </w:rPr>
              <w:t>期各污染物处置的可行性。</w:t>
            </w:r>
          </w:p>
        </w:tc>
        <w:tc>
          <w:tcPr>
            <w:tcW w:w="635" w:type="pct"/>
            <w:vAlign w:val="center"/>
          </w:tcPr>
          <w:p>
            <w:pPr>
              <w:pStyle w:val="553"/>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9" w:type="pct"/>
            <w:vAlign w:val="center"/>
          </w:tcPr>
          <w:p>
            <w:pPr>
              <w:pStyle w:val="553"/>
            </w:pPr>
            <w:r>
              <w:t>三</w:t>
            </w:r>
          </w:p>
        </w:tc>
        <w:tc>
          <w:tcPr>
            <w:tcW w:w="4491" w:type="pct"/>
            <w:gridSpan w:val="3"/>
            <w:vAlign w:val="center"/>
          </w:tcPr>
          <w:p>
            <w:pPr>
              <w:pStyle w:val="553"/>
            </w:pPr>
            <w:r>
              <w:t>强化生态环境保护措施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9" w:type="pct"/>
            <w:vAlign w:val="center"/>
          </w:tcPr>
          <w:p>
            <w:pPr>
              <w:pStyle w:val="553"/>
            </w:pPr>
            <w:r>
              <w:t>（7）</w:t>
            </w:r>
          </w:p>
        </w:tc>
        <w:tc>
          <w:tcPr>
            <w:tcW w:w="2506" w:type="pct"/>
            <w:vAlign w:val="center"/>
          </w:tcPr>
          <w:p>
            <w:pPr>
              <w:pStyle w:val="553"/>
            </w:pPr>
            <w:r>
              <w:t>涉及向地表水体排放污染物的陆地油气开采项目，应当符合国家和地方污染物排放标准，满足重点污染物排放总量控制要求。</w:t>
            </w:r>
          </w:p>
        </w:tc>
        <w:tc>
          <w:tcPr>
            <w:tcW w:w="1350" w:type="pct"/>
            <w:vAlign w:val="center"/>
          </w:tcPr>
          <w:p>
            <w:pPr>
              <w:pStyle w:val="553"/>
            </w:pPr>
            <w:r>
              <w:t>本项目涉及施工期和</w:t>
            </w:r>
            <w:r>
              <w:rPr>
                <w:rFonts w:hint="eastAsia"/>
              </w:rPr>
              <w:t>运营</w:t>
            </w:r>
            <w:r>
              <w:t>期废水均进行处理，无废水外排。</w:t>
            </w:r>
          </w:p>
        </w:tc>
        <w:tc>
          <w:tcPr>
            <w:tcW w:w="635" w:type="pct"/>
            <w:vAlign w:val="center"/>
          </w:tcPr>
          <w:p>
            <w:pPr>
              <w:pStyle w:val="553"/>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9" w:type="pct"/>
            <w:vAlign w:val="center"/>
          </w:tcPr>
          <w:p>
            <w:pPr>
              <w:pStyle w:val="553"/>
            </w:pPr>
            <w:r>
              <w:t>（8）</w:t>
            </w:r>
          </w:p>
        </w:tc>
        <w:tc>
          <w:tcPr>
            <w:tcW w:w="2506" w:type="pct"/>
            <w:vAlign w:val="center"/>
          </w:tcPr>
          <w:p>
            <w:pPr>
              <w:pStyle w:val="553"/>
            </w:pPr>
            <w: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w:t>
            </w:r>
          </w:p>
        </w:tc>
        <w:tc>
          <w:tcPr>
            <w:tcW w:w="1350" w:type="pct"/>
            <w:vAlign w:val="center"/>
          </w:tcPr>
          <w:p>
            <w:pPr>
              <w:pStyle w:val="553"/>
            </w:pPr>
            <w:r>
              <w:t>本项目属于天然气开采和内部集输工程。本项目运营期产生的气田水</w:t>
            </w:r>
            <w:r>
              <w:rPr>
                <w:rFonts w:hint="eastAsia"/>
              </w:rPr>
              <w:t>暂存于污水缓冲罐</w:t>
            </w:r>
            <w:r>
              <w:t>，然后通过密闭罐车拉运至大湾403污水站处理达到《气田水回注方法》（SY/T 6596</w:t>
            </w:r>
            <w:r>
              <w:rPr>
                <w:rFonts w:hint="eastAsia"/>
              </w:rPr>
              <w:t>-</w:t>
            </w:r>
            <w:r>
              <w:t>2016）中注入水基本要求后管输至毛开1井回注站回注处理，不外排。大湾403污水站</w:t>
            </w:r>
            <w:r>
              <w:rPr>
                <w:rFonts w:hint="eastAsia"/>
                <w:spacing w:val="-8"/>
                <w:szCs w:val="21"/>
              </w:rPr>
              <w:t>和</w:t>
            </w:r>
            <w:r>
              <w:t>毛开1井回注站已取得环评批复，并已开展竣工环保验收。</w:t>
            </w:r>
          </w:p>
        </w:tc>
        <w:tc>
          <w:tcPr>
            <w:tcW w:w="635" w:type="pct"/>
            <w:vAlign w:val="center"/>
          </w:tcPr>
          <w:p>
            <w:pPr>
              <w:pStyle w:val="553"/>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9" w:type="pct"/>
            <w:vAlign w:val="center"/>
          </w:tcPr>
          <w:p>
            <w:pPr>
              <w:pStyle w:val="553"/>
            </w:pPr>
            <w:r>
              <w:t>（9）</w:t>
            </w:r>
          </w:p>
        </w:tc>
        <w:tc>
          <w:tcPr>
            <w:tcW w:w="2506" w:type="pct"/>
            <w:vAlign w:val="center"/>
          </w:tcPr>
          <w:p>
            <w:pPr>
              <w:pStyle w:val="553"/>
            </w:pPr>
            <w: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油气开采项目产生的危险废物，应当按照《建设项目危险废物环境影响评价指南》要求评价。</w:t>
            </w:r>
          </w:p>
        </w:tc>
        <w:tc>
          <w:tcPr>
            <w:tcW w:w="1350" w:type="pct"/>
            <w:vAlign w:val="center"/>
          </w:tcPr>
          <w:p>
            <w:pPr>
              <w:pStyle w:val="553"/>
            </w:pPr>
            <w:r>
              <w:rPr>
                <w:rFonts w:hint="eastAsia" w:hAnsi="宋体"/>
              </w:rPr>
              <w:t>钻井</w:t>
            </w:r>
            <w:r>
              <w:rPr>
                <w:rFonts w:hAnsi="宋体"/>
              </w:rPr>
              <w:t>采用清洁化操作平台，并采取泥浆不落地措施</w:t>
            </w:r>
            <w:r>
              <w:rPr>
                <w:rFonts w:hint="eastAsia" w:hAnsi="宋体"/>
              </w:rPr>
              <w:t>，</w:t>
            </w:r>
            <w:r>
              <w:rPr>
                <w:rFonts w:hAnsi="宋体"/>
              </w:rPr>
              <w:t>废</w:t>
            </w:r>
            <w:r>
              <w:rPr>
                <w:rFonts w:hint="eastAsia" w:hAnsi="宋体"/>
              </w:rPr>
              <w:t>水基</w:t>
            </w:r>
            <w:r>
              <w:rPr>
                <w:rFonts w:hAnsi="宋体"/>
              </w:rPr>
              <w:t>泥浆与</w:t>
            </w:r>
            <w:r>
              <w:rPr>
                <w:rFonts w:hint="eastAsia" w:hAnsi="宋体"/>
              </w:rPr>
              <w:t>水基</w:t>
            </w:r>
            <w:r>
              <w:rPr>
                <w:rFonts w:hAnsi="宋体"/>
              </w:rPr>
              <w:t>废岩屑按照</w:t>
            </w:r>
            <w:r>
              <w:rPr>
                <w:rFonts w:hint="eastAsia" w:hAnsi="宋体"/>
              </w:rPr>
              <w:t>相关要求进行资源化利用；废油基泥浆、油基岩屑、废油暂存于危废暂存间，面积约10m</w:t>
            </w:r>
            <w:r>
              <w:rPr>
                <w:rFonts w:hint="eastAsia" w:hAnsi="宋体"/>
                <w:vertAlign w:val="superscript"/>
              </w:rPr>
              <w:t>2</w:t>
            </w:r>
            <w:r>
              <w:rPr>
                <w:rFonts w:hint="eastAsia" w:hAnsi="宋体"/>
              </w:rPr>
              <w:t>，暂存间地面采取</w:t>
            </w:r>
            <w:r>
              <w:rPr>
                <w:rFonts w:hint="eastAsia" w:hAnsi="宋体"/>
                <w:color w:val="0000FF"/>
              </w:rPr>
              <w:t>六防措施（防风、防雨、防晒、防渗、防漏、防腐）</w:t>
            </w:r>
            <w:r>
              <w:rPr>
                <w:rFonts w:hint="eastAsia" w:hAnsi="宋体"/>
              </w:rPr>
              <w:t>，</w:t>
            </w:r>
            <w:r>
              <w:rPr>
                <w:rFonts w:hint="eastAsia" w:hAnsi="宋体"/>
                <w:color w:val="0000FF"/>
              </w:rPr>
              <w:t>危险废物</w:t>
            </w:r>
            <w:r>
              <w:rPr>
                <w:rFonts w:hAnsi="宋体"/>
              </w:rPr>
              <w:t>及时清运</w:t>
            </w:r>
            <w:r>
              <w:rPr>
                <w:rFonts w:hint="eastAsia" w:hAnsi="宋体"/>
              </w:rPr>
              <w:t>至企业净化厂</w:t>
            </w:r>
            <w:r>
              <w:rPr>
                <w:rFonts w:hAnsi="宋体"/>
              </w:rPr>
              <w:t>危险废物贮存仓库，</w:t>
            </w:r>
            <w:r>
              <w:rPr>
                <w:rFonts w:hint="eastAsia" w:hAnsi="宋体"/>
              </w:rPr>
              <w:t>定期</w:t>
            </w:r>
            <w:r>
              <w:rPr>
                <w:rFonts w:hAnsi="宋体"/>
              </w:rPr>
              <w:t>委托有资质单位进行处理</w:t>
            </w:r>
            <w:r>
              <w:rPr>
                <w:rFonts w:hint="eastAsia" w:hAnsi="宋体"/>
              </w:rPr>
              <w:t>。</w:t>
            </w:r>
          </w:p>
        </w:tc>
        <w:tc>
          <w:tcPr>
            <w:tcW w:w="635" w:type="pct"/>
            <w:vAlign w:val="center"/>
          </w:tcPr>
          <w:p>
            <w:pPr>
              <w:pStyle w:val="553"/>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9" w:type="pct"/>
            <w:vAlign w:val="center"/>
          </w:tcPr>
          <w:p>
            <w:pPr>
              <w:pStyle w:val="553"/>
            </w:pPr>
            <w:r>
              <w:t>（10）</w:t>
            </w:r>
          </w:p>
        </w:tc>
        <w:tc>
          <w:tcPr>
            <w:tcW w:w="2506" w:type="pct"/>
            <w:vAlign w:val="center"/>
          </w:tcPr>
          <w:p>
            <w:pPr>
              <w:pStyle w:val="553"/>
            </w:pPr>
            <w: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涉及高含硫天然气开采的，应当强化钻井、输送、净化等环节环境风险防范措施。含硫气田回注采出水，应当采取有效措施减少废水处理站和回注井场硫化氢的无组织排放。高含硫天然气净化厂应当采用先进高效硫磺回收工艺，减少二氧化硫排放。井场加热炉、锅炉、压缩机等排放大气污染物的设备，应当优先使用清洁燃料，废气排放应当满足国家和地方大气污染物排放标准要求。</w:t>
            </w:r>
          </w:p>
        </w:tc>
        <w:tc>
          <w:tcPr>
            <w:tcW w:w="1350" w:type="pct"/>
            <w:vAlign w:val="center"/>
          </w:tcPr>
          <w:p>
            <w:pPr>
              <w:pStyle w:val="553"/>
            </w:pPr>
            <w:r>
              <w:t>本项目取设备密闭等污染物控制措施</w:t>
            </w:r>
            <w:r>
              <w:rPr>
                <w:rFonts w:hint="eastAsia"/>
              </w:rPr>
              <w:t>，</w:t>
            </w:r>
            <w:r>
              <w:t>钻井</w:t>
            </w:r>
            <w:r>
              <w:rPr>
                <w:rFonts w:hint="eastAsia"/>
              </w:rPr>
              <w:t>、</w:t>
            </w:r>
            <w:r>
              <w:t>天然气输送等环节采取了相应的环境风险防范措施。</w:t>
            </w:r>
          </w:p>
        </w:tc>
        <w:tc>
          <w:tcPr>
            <w:tcW w:w="635" w:type="pct"/>
            <w:vAlign w:val="center"/>
          </w:tcPr>
          <w:p>
            <w:pPr>
              <w:pStyle w:val="553"/>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37" w:hRule="atLeast"/>
          <w:jc w:val="center"/>
        </w:trPr>
        <w:tc>
          <w:tcPr>
            <w:tcW w:w="509" w:type="pct"/>
            <w:vAlign w:val="center"/>
          </w:tcPr>
          <w:p>
            <w:pPr>
              <w:pStyle w:val="553"/>
            </w:pPr>
            <w:r>
              <w:t>（11）</w:t>
            </w:r>
          </w:p>
        </w:tc>
        <w:tc>
          <w:tcPr>
            <w:tcW w:w="2506" w:type="pct"/>
            <w:vAlign w:val="center"/>
          </w:tcPr>
          <w:p>
            <w:pPr>
              <w:pStyle w:val="553"/>
            </w:pPr>
            <w: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1350" w:type="pct"/>
            <w:vAlign w:val="center"/>
          </w:tcPr>
          <w:p>
            <w:pPr>
              <w:pStyle w:val="553"/>
            </w:pPr>
            <w:r>
              <w:t>本项目选用低噪声设备，避免噪声扰民。施工结束后，及时落实环评提出的生态保护措施。</w:t>
            </w:r>
          </w:p>
        </w:tc>
        <w:tc>
          <w:tcPr>
            <w:tcW w:w="635" w:type="pct"/>
            <w:vAlign w:val="center"/>
          </w:tcPr>
          <w:p>
            <w:pPr>
              <w:pStyle w:val="553"/>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9" w:type="pct"/>
            <w:vAlign w:val="center"/>
          </w:tcPr>
          <w:p>
            <w:pPr>
              <w:pStyle w:val="553"/>
            </w:pPr>
            <w:r>
              <w:t>（12）</w:t>
            </w:r>
          </w:p>
        </w:tc>
        <w:tc>
          <w:tcPr>
            <w:tcW w:w="2506" w:type="pct"/>
            <w:vAlign w:val="center"/>
          </w:tcPr>
          <w:p>
            <w:pPr>
              <w:pStyle w:val="553"/>
            </w:pPr>
            <w:r>
              <w:t>陆地油气长输管道项目，原则上应当单独编制环评文件。</w:t>
            </w:r>
          </w:p>
        </w:tc>
        <w:tc>
          <w:tcPr>
            <w:tcW w:w="1350" w:type="pct"/>
            <w:vAlign w:val="center"/>
          </w:tcPr>
          <w:p>
            <w:pPr>
              <w:pStyle w:val="553"/>
            </w:pPr>
            <w:r>
              <w:t>本项目属于天然气开采和内部集输工程，本项目暂不涉及油气长输管道。</w:t>
            </w:r>
          </w:p>
        </w:tc>
        <w:tc>
          <w:tcPr>
            <w:tcW w:w="635" w:type="pct"/>
            <w:vAlign w:val="center"/>
          </w:tcPr>
          <w:p>
            <w:pPr>
              <w:pStyle w:val="553"/>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9" w:type="pct"/>
            <w:vAlign w:val="center"/>
          </w:tcPr>
          <w:p>
            <w:pPr>
              <w:pStyle w:val="553"/>
            </w:pPr>
            <w:r>
              <w:t>（13）</w:t>
            </w:r>
          </w:p>
        </w:tc>
        <w:tc>
          <w:tcPr>
            <w:tcW w:w="2506" w:type="pct"/>
            <w:vAlign w:val="center"/>
          </w:tcPr>
          <w:p>
            <w:pPr>
              <w:pStyle w:val="553"/>
            </w:pPr>
            <w:r>
              <w:t>油气储存项目，选址尽量远离环境敏感区。加强甲烷及挥发性有机物的泄漏检测，落实地下水污染防治和跟踪监测要求，采取有效措施做好环境风险防范与环境应急管理；盐穴储气库项目还应当严格落实采卤造腔期和管道施工期的生态环境保护措施，妥善处理采出水。</w:t>
            </w:r>
          </w:p>
        </w:tc>
        <w:tc>
          <w:tcPr>
            <w:tcW w:w="1350" w:type="pct"/>
            <w:vAlign w:val="center"/>
          </w:tcPr>
          <w:p>
            <w:pPr>
              <w:pStyle w:val="553"/>
            </w:pPr>
            <w:r>
              <w:t>本项目属于天然气开采和内部集输工程，不属于油气储存项目。</w:t>
            </w:r>
          </w:p>
        </w:tc>
        <w:tc>
          <w:tcPr>
            <w:tcW w:w="635" w:type="pct"/>
            <w:vAlign w:val="center"/>
          </w:tcPr>
          <w:p>
            <w:pPr>
              <w:pStyle w:val="553"/>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3" w:hRule="atLeast"/>
          <w:jc w:val="center"/>
        </w:trPr>
        <w:tc>
          <w:tcPr>
            <w:tcW w:w="509" w:type="pct"/>
            <w:vAlign w:val="center"/>
          </w:tcPr>
          <w:p>
            <w:pPr>
              <w:pStyle w:val="553"/>
            </w:pPr>
            <w:r>
              <w:t>（14）</w:t>
            </w:r>
          </w:p>
        </w:tc>
        <w:tc>
          <w:tcPr>
            <w:tcW w:w="2506" w:type="pct"/>
            <w:vAlign w:val="center"/>
          </w:tcPr>
          <w:p>
            <w:pPr>
              <w:pStyle w:val="553"/>
            </w:pPr>
            <w:r>
              <w:t>油气企业应当加强风险防控，按规定编制突发环境事件应急预案，报所在地生态环境主管部门备案。海洋油气勘探开发溢油应急计划报相关海域生态环境监督管理局备案。</w:t>
            </w:r>
          </w:p>
        </w:tc>
        <w:tc>
          <w:tcPr>
            <w:tcW w:w="1350" w:type="pct"/>
            <w:vAlign w:val="center"/>
          </w:tcPr>
          <w:p>
            <w:pPr>
              <w:pStyle w:val="553"/>
            </w:pPr>
            <w:r>
              <w:t>建设单位严格按照相关要求编制突发环境事件应急预案，并报所在地生态环境主管部门备案。</w:t>
            </w:r>
          </w:p>
        </w:tc>
        <w:tc>
          <w:tcPr>
            <w:tcW w:w="635" w:type="pct"/>
            <w:vAlign w:val="center"/>
          </w:tcPr>
          <w:p>
            <w:pPr>
              <w:pStyle w:val="553"/>
            </w:pPr>
            <w:r>
              <w:t>符合</w:t>
            </w:r>
          </w:p>
        </w:tc>
      </w:tr>
    </w:tbl>
    <w:p>
      <w:pPr>
        <w:pStyle w:val="112"/>
        <w:ind w:firstLine="480"/>
      </w:pPr>
      <w:r>
        <w:rPr>
          <w:rFonts w:hint="eastAsia"/>
        </w:rPr>
        <w:t>因此，本项目符合</w:t>
      </w:r>
      <w:r>
        <w:t>《关于进一步加强石油天然气行业环境影响评价管理的通知》（环办环评函〔2019〕910号）</w:t>
      </w:r>
      <w:r>
        <w:rPr>
          <w:rFonts w:hint="eastAsia"/>
        </w:rPr>
        <w:t>要求</w:t>
      </w:r>
      <w:r>
        <w:t>。</w:t>
      </w:r>
    </w:p>
    <w:p>
      <w:pPr>
        <w:keepNext/>
        <w:keepLines/>
        <w:ind w:firstLine="0" w:firstLineChars="0"/>
        <w:outlineLvl w:val="2"/>
        <w:rPr>
          <w:rFonts w:ascii="Times New Roman" w:cs="Times New Roman"/>
          <w:b/>
          <w:szCs w:val="32"/>
        </w:rPr>
      </w:pPr>
      <w:r>
        <w:rPr>
          <w:rFonts w:ascii="Times New Roman" w:cs="Times New Roman"/>
          <w:b/>
          <w:szCs w:val="32"/>
        </w:rPr>
        <w:t>1.8.</w:t>
      </w:r>
      <w:r>
        <w:rPr>
          <w:rFonts w:hint="eastAsia" w:ascii="Times New Roman" w:cs="Times New Roman"/>
          <w:b/>
          <w:szCs w:val="32"/>
        </w:rPr>
        <w:t>8</w:t>
      </w:r>
      <w:r>
        <w:rPr>
          <w:rFonts w:ascii="Times New Roman" w:cs="Times New Roman"/>
          <w:b/>
          <w:szCs w:val="32"/>
        </w:rPr>
        <w:t xml:space="preserve"> </w:t>
      </w:r>
      <w:r>
        <w:rPr>
          <w:rFonts w:hint="eastAsia" w:ascii="Times New Roman" w:cs="Times New Roman"/>
          <w:b/>
          <w:szCs w:val="32"/>
        </w:rPr>
        <w:t>用地政策的</w:t>
      </w:r>
      <w:r>
        <w:rPr>
          <w:rFonts w:ascii="Times New Roman" w:cs="Times New Roman"/>
          <w:b/>
          <w:szCs w:val="32"/>
        </w:rPr>
        <w:t>符合性分析</w:t>
      </w:r>
    </w:p>
    <w:p>
      <w:pPr>
        <w:widowControl/>
        <w:topLinePunct w:val="0"/>
        <w:adjustRightInd/>
        <w:ind w:firstLine="480"/>
        <w:rPr>
          <w:rFonts w:ascii="Times New Roman" w:cs="Times New Roman"/>
          <w:kern w:val="2"/>
          <w:szCs w:val="20"/>
        </w:rPr>
      </w:pPr>
      <w:r>
        <w:rPr>
          <w:rFonts w:ascii="Times New Roman" w:cs="Times New Roman"/>
          <w:kern w:val="2"/>
          <w:szCs w:val="20"/>
        </w:rPr>
        <w:t>本项目涉及的普陆普陆4集气平台</w:t>
      </w:r>
      <w:r>
        <w:rPr>
          <w:rFonts w:hint="eastAsia" w:ascii="Times New Roman" w:cs="Times New Roman"/>
          <w:kern w:val="2"/>
          <w:szCs w:val="20"/>
        </w:rPr>
        <w:t>总</w:t>
      </w:r>
      <w:r>
        <w:rPr>
          <w:rFonts w:ascii="Times New Roman" w:cs="Times New Roman"/>
          <w:kern w:val="2"/>
          <w:szCs w:val="20"/>
        </w:rPr>
        <w:t>占地面积约为</w:t>
      </w:r>
      <w:r>
        <w:rPr>
          <w:rFonts w:hint="eastAsia" w:ascii="Times New Roman" w:cs="Times New Roman"/>
          <w:kern w:val="2"/>
          <w:szCs w:val="20"/>
        </w:rPr>
        <w:t>8720</w:t>
      </w:r>
      <w:r>
        <w:rPr>
          <w:rFonts w:hint="eastAsia" w:ascii="Times New Roman" w:cs="Times New Roman"/>
          <w:bCs/>
          <w:kern w:val="2"/>
          <w:szCs w:val="20"/>
        </w:rPr>
        <w:t>m</w:t>
      </w:r>
      <w:r>
        <w:rPr>
          <w:rFonts w:hint="eastAsia" w:ascii="Times New Roman" w:cs="Times New Roman"/>
          <w:bCs/>
          <w:kern w:val="2"/>
          <w:szCs w:val="20"/>
          <w:vertAlign w:val="superscript"/>
        </w:rPr>
        <w:t>2</w:t>
      </w:r>
      <w:r>
        <w:rPr>
          <w:rFonts w:hint="eastAsia" w:ascii="Times New Roman" w:cs="Times New Roman"/>
          <w:kern w:val="2"/>
          <w:szCs w:val="20"/>
        </w:rPr>
        <w:t>（利用现有井场），同时本项目</w:t>
      </w:r>
      <w:r>
        <w:rPr>
          <w:rFonts w:hint="eastAsia" w:ascii="Times New Roman" w:cs="Times New Roman"/>
          <w:bCs/>
          <w:kern w:val="2"/>
          <w:szCs w:val="20"/>
        </w:rPr>
        <w:t>集输送管道建设涉及</w:t>
      </w:r>
      <w:r>
        <w:rPr>
          <w:rFonts w:ascii="Times New Roman" w:cs="Times New Roman"/>
          <w:kern w:val="2"/>
          <w:szCs w:val="20"/>
        </w:rPr>
        <w:t>新增临时占地</w:t>
      </w:r>
      <w:r>
        <w:rPr>
          <w:rFonts w:hint="eastAsia" w:ascii="Times New Roman" w:cs="Times New Roman"/>
          <w:kern w:val="2"/>
          <w:szCs w:val="20"/>
        </w:rPr>
        <w:t>（临时占地4100m</w:t>
      </w:r>
      <w:r>
        <w:rPr>
          <w:rFonts w:hint="eastAsia" w:ascii="Times New Roman" w:cs="Times New Roman"/>
          <w:kern w:val="2"/>
          <w:szCs w:val="20"/>
          <w:vertAlign w:val="superscript"/>
        </w:rPr>
        <w:t>2</w:t>
      </w:r>
      <w:r>
        <w:rPr>
          <w:rFonts w:hint="eastAsia" w:ascii="Times New Roman" w:cs="Times New Roman"/>
          <w:kern w:val="2"/>
          <w:szCs w:val="20"/>
        </w:rPr>
        <w:t>）</w:t>
      </w:r>
      <w:r>
        <w:rPr>
          <w:rFonts w:ascii="Times New Roman" w:cs="Times New Roman"/>
          <w:kern w:val="2"/>
          <w:szCs w:val="20"/>
        </w:rPr>
        <w:t>，环评单位要求建设单位按照自然资规〔2021〕2号、川自然资规〔2022〕3号文件要求办理临时用地手续。</w:t>
      </w:r>
    </w:p>
    <w:p>
      <w:pPr>
        <w:pStyle w:val="112"/>
        <w:ind w:firstLine="480"/>
        <w:rPr>
          <w:kern w:val="2"/>
        </w:rPr>
      </w:pPr>
      <w:r>
        <w:rPr>
          <w:kern w:val="2"/>
        </w:rPr>
        <w:t>本项目与《自然资源部关于规范临时用地管理的通知》（自然资规〔2021〕2号）、《四川省自然资源厅关于进一步明确临时用地管理有关事项的通知》（川自然资规〔2022〕3号）的符合性见下表：</w:t>
      </w:r>
    </w:p>
    <w:p>
      <w:pPr>
        <w:widowControl/>
        <w:topLinePunct w:val="0"/>
        <w:adjustRightInd/>
        <w:ind w:firstLine="0" w:firstLineChars="0"/>
        <w:jc w:val="center"/>
        <w:rPr>
          <w:rFonts w:ascii="Times New Roman" w:cs="Times New Roman"/>
          <w:b/>
          <w:bCs/>
          <w:sz w:val="21"/>
          <w:szCs w:val="28"/>
        </w:rPr>
      </w:pPr>
      <w:r>
        <w:rPr>
          <w:rFonts w:ascii="Times New Roman" w:cs="Times New Roman"/>
          <w:b/>
          <w:bCs/>
          <w:sz w:val="21"/>
          <w:szCs w:val="28"/>
        </w:rPr>
        <w:t>表1.8-</w:t>
      </w:r>
      <w:r>
        <w:rPr>
          <w:rFonts w:hint="eastAsia" w:ascii="Times New Roman" w:cs="Times New Roman"/>
          <w:b/>
          <w:bCs/>
          <w:sz w:val="21"/>
          <w:szCs w:val="28"/>
        </w:rPr>
        <w:t>6</w:t>
      </w:r>
      <w:r>
        <w:rPr>
          <w:rFonts w:ascii="Times New Roman" w:cs="Times New Roman"/>
          <w:b/>
          <w:bCs/>
          <w:sz w:val="21"/>
          <w:szCs w:val="28"/>
        </w:rPr>
        <w:t xml:space="preserve">  与《自然资源部关于规范临时用地管理的通知》和《四川省自然资源厅关于进一步明确临时用地管理有关事项的通知》的符合性分析</w:t>
      </w:r>
    </w:p>
    <w:tbl>
      <w:tblPr>
        <w:tblStyle w:val="57"/>
        <w:tblW w:w="535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14"/>
        <w:gridCol w:w="4663"/>
        <w:gridCol w:w="2764"/>
        <w:gridCol w:w="9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1" w:hRule="atLeast"/>
          <w:tblHeader/>
          <w:jc w:val="center"/>
        </w:trPr>
        <w:tc>
          <w:tcPr>
            <w:tcW w:w="343" w:type="pct"/>
            <w:vAlign w:val="center"/>
          </w:tcPr>
          <w:p>
            <w:pPr>
              <w:widowControl/>
              <w:topLinePunct w:val="0"/>
              <w:adjustRightInd/>
              <w:spacing w:line="240" w:lineRule="auto"/>
              <w:ind w:firstLine="0" w:firstLineChars="0"/>
              <w:jc w:val="center"/>
              <w:rPr>
                <w:rFonts w:ascii="Times New Roman" w:cs="Times New Roman"/>
                <w:b/>
                <w:bCs/>
                <w:sz w:val="21"/>
                <w:szCs w:val="21"/>
                <w:lang w:eastAsia="en-US"/>
              </w:rPr>
            </w:pPr>
            <w:r>
              <w:rPr>
                <w:rFonts w:ascii="Times New Roman" w:cs="Times New Roman"/>
                <w:b/>
                <w:bCs/>
                <w:sz w:val="21"/>
                <w:szCs w:val="21"/>
              </w:rPr>
              <w:t>序号</w:t>
            </w:r>
          </w:p>
        </w:tc>
        <w:tc>
          <w:tcPr>
            <w:tcW w:w="2601" w:type="pct"/>
            <w:vAlign w:val="center"/>
          </w:tcPr>
          <w:p>
            <w:pPr>
              <w:widowControl/>
              <w:topLinePunct w:val="0"/>
              <w:adjustRightInd/>
              <w:spacing w:line="240" w:lineRule="auto"/>
              <w:ind w:firstLine="0" w:firstLineChars="0"/>
              <w:jc w:val="center"/>
              <w:rPr>
                <w:rFonts w:ascii="Times New Roman" w:cs="Times New Roman"/>
                <w:b/>
                <w:bCs/>
                <w:sz w:val="21"/>
                <w:szCs w:val="21"/>
              </w:rPr>
            </w:pPr>
            <w:r>
              <w:rPr>
                <w:rFonts w:ascii="Times New Roman" w:cs="Times New Roman"/>
                <w:b/>
                <w:bCs/>
                <w:sz w:val="21"/>
                <w:szCs w:val="21"/>
              </w:rPr>
              <w:t>自然资源部关于规范临时用地管理的通知要求</w:t>
            </w:r>
          </w:p>
        </w:tc>
        <w:tc>
          <w:tcPr>
            <w:tcW w:w="1542" w:type="pct"/>
            <w:vAlign w:val="center"/>
          </w:tcPr>
          <w:p>
            <w:pPr>
              <w:widowControl/>
              <w:topLinePunct w:val="0"/>
              <w:adjustRightInd/>
              <w:spacing w:line="240" w:lineRule="auto"/>
              <w:ind w:firstLine="0" w:firstLineChars="0"/>
              <w:jc w:val="center"/>
              <w:rPr>
                <w:rFonts w:ascii="Times New Roman" w:cs="Times New Roman"/>
                <w:b/>
                <w:bCs/>
                <w:sz w:val="21"/>
                <w:szCs w:val="21"/>
                <w:lang w:eastAsia="en-US"/>
              </w:rPr>
            </w:pPr>
            <w:r>
              <w:rPr>
                <w:rFonts w:ascii="Times New Roman" w:cs="Times New Roman"/>
                <w:b/>
                <w:bCs/>
                <w:sz w:val="21"/>
                <w:szCs w:val="21"/>
                <w:lang w:eastAsia="en-US"/>
              </w:rPr>
              <w:t>本项目</w:t>
            </w:r>
          </w:p>
        </w:tc>
        <w:tc>
          <w:tcPr>
            <w:tcW w:w="513" w:type="pct"/>
            <w:vAlign w:val="center"/>
          </w:tcPr>
          <w:p>
            <w:pPr>
              <w:widowControl/>
              <w:topLinePunct w:val="0"/>
              <w:adjustRightInd/>
              <w:spacing w:line="240" w:lineRule="auto"/>
              <w:ind w:firstLine="0" w:firstLineChars="0"/>
              <w:jc w:val="center"/>
              <w:rPr>
                <w:rFonts w:ascii="Times New Roman" w:cs="Times New Roman"/>
                <w:b/>
                <w:bCs/>
                <w:sz w:val="21"/>
                <w:szCs w:val="21"/>
                <w:lang w:eastAsia="en-US"/>
              </w:rPr>
            </w:pPr>
            <w:r>
              <w:rPr>
                <w:rFonts w:ascii="Times New Roman" w:cs="Times New Roman"/>
                <w:b/>
                <w:bCs/>
                <w:sz w:val="21"/>
                <w:szCs w:val="21"/>
                <w:lang w:eastAsia="en-US"/>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1" w:hRule="atLeast"/>
          <w:jc w:val="center"/>
        </w:trPr>
        <w:tc>
          <w:tcPr>
            <w:tcW w:w="343" w:type="pct"/>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1</w:t>
            </w:r>
          </w:p>
        </w:tc>
        <w:tc>
          <w:tcPr>
            <w:tcW w:w="2601" w:type="pct"/>
            <w:vAlign w:val="center"/>
          </w:tcPr>
          <w:p>
            <w:pPr>
              <w:widowControl/>
              <w:topLinePunct w:val="0"/>
              <w:autoSpaceDE w:val="0"/>
              <w:autoSpaceDN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临时用地的范围包括：（二）矿产资源勘查、工程地质勘查、水文地质勘查等，在勘查期间临时生活用房、临时工棚、勘查作业及其辅助工程、施工便道、运输便道等使用的土地，包括油气资源勘查中钻井井场、配套管线、电力设施、进场道路等钻井及配套设施使用的土地。（三）符合法律、法规规定的其他需要临时使用的土地。</w:t>
            </w:r>
          </w:p>
        </w:tc>
        <w:tc>
          <w:tcPr>
            <w:tcW w:w="1542" w:type="pct"/>
            <w:vAlign w:val="center"/>
          </w:tcPr>
          <w:p>
            <w:pPr>
              <w:widowControl/>
              <w:topLinePunct w:val="0"/>
              <w:autoSpaceDE w:val="0"/>
              <w:autoSpaceDN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本项目既有井场</w:t>
            </w:r>
            <w:r>
              <w:rPr>
                <w:rFonts w:hint="eastAsia" w:ascii="Times New Roman" w:cs="Times New Roman"/>
                <w:sz w:val="21"/>
                <w:szCs w:val="21"/>
              </w:rPr>
              <w:t>、集气站</w:t>
            </w:r>
            <w:r>
              <w:rPr>
                <w:rFonts w:ascii="Times New Roman" w:cs="Times New Roman"/>
                <w:sz w:val="21"/>
                <w:szCs w:val="21"/>
              </w:rPr>
              <w:t>、进场道路、清废水池、放喷池等原已取得临时用地手续</w:t>
            </w:r>
            <w:r>
              <w:rPr>
                <w:rFonts w:hint="eastAsia" w:ascii="Times New Roman" w:cs="Times New Roman"/>
                <w:color w:val="FF0000"/>
                <w:sz w:val="21"/>
                <w:szCs w:val="21"/>
              </w:rPr>
              <w:t>（项目涉及的永久性征地亦应按照相关规定办理用地手续）</w:t>
            </w:r>
            <w:r>
              <w:rPr>
                <w:rFonts w:ascii="Times New Roman" w:cs="Times New Roman"/>
                <w:sz w:val="21"/>
                <w:szCs w:val="21"/>
              </w:rPr>
              <w:t>；本项目</w:t>
            </w:r>
            <w:r>
              <w:rPr>
                <w:rFonts w:hint="eastAsia" w:ascii="Times New Roman" w:cs="Times New Roman"/>
                <w:bCs/>
                <w:sz w:val="21"/>
                <w:szCs w:val="21"/>
              </w:rPr>
              <w:t>集输送管道建设涉及</w:t>
            </w:r>
            <w:r>
              <w:rPr>
                <w:rFonts w:ascii="Times New Roman" w:cs="Times New Roman"/>
                <w:sz w:val="21"/>
                <w:szCs w:val="21"/>
              </w:rPr>
              <w:t>新增临时占地。</w:t>
            </w:r>
          </w:p>
        </w:tc>
        <w:tc>
          <w:tcPr>
            <w:tcW w:w="513" w:type="pct"/>
            <w:vAlign w:val="center"/>
          </w:tcPr>
          <w:p>
            <w:pPr>
              <w:widowControl/>
              <w:topLinePunct w:val="0"/>
              <w:autoSpaceDE w:val="0"/>
              <w:autoSpaceDN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1" w:hRule="atLeast"/>
          <w:jc w:val="center"/>
        </w:trPr>
        <w:tc>
          <w:tcPr>
            <w:tcW w:w="343" w:type="pct"/>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2</w:t>
            </w:r>
          </w:p>
        </w:tc>
        <w:tc>
          <w:tcPr>
            <w:tcW w:w="2601" w:type="pct"/>
            <w:vAlign w:val="center"/>
          </w:tcPr>
          <w:p>
            <w:pPr>
              <w:widowControl/>
              <w:topLinePunct w:val="0"/>
              <w:autoSpaceDE w:val="0"/>
              <w:autoSpaceDN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建设项目施工、地质勘查使用临时用地时应坚持“用多少、批多少、占多少、恢复多少”，尽量不占或者少占耕地。临时用地使用期限一般不超过两年。建设周期较长的能源、交通、水利等基础设施建设项目施工使用的临时用地，期限不超过四年。</w:t>
            </w:r>
          </w:p>
        </w:tc>
        <w:tc>
          <w:tcPr>
            <w:tcW w:w="1542" w:type="pct"/>
            <w:vAlign w:val="center"/>
          </w:tcPr>
          <w:p>
            <w:pPr>
              <w:widowControl/>
              <w:topLinePunct w:val="0"/>
              <w:autoSpaceDE w:val="0"/>
              <w:autoSpaceDN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本项目</w:t>
            </w:r>
            <w:r>
              <w:rPr>
                <w:rFonts w:hint="eastAsia" w:ascii="Times New Roman" w:cs="Times New Roman"/>
                <w:bCs/>
                <w:sz w:val="21"/>
                <w:szCs w:val="21"/>
              </w:rPr>
              <w:t>集输送管道建设涉及</w:t>
            </w:r>
            <w:r>
              <w:rPr>
                <w:rFonts w:ascii="Times New Roman" w:cs="Times New Roman"/>
                <w:sz w:val="21"/>
                <w:szCs w:val="21"/>
              </w:rPr>
              <w:t>新增临时占地，建设单位将依法办理相关用地手续。</w:t>
            </w:r>
          </w:p>
        </w:tc>
        <w:tc>
          <w:tcPr>
            <w:tcW w:w="513" w:type="pct"/>
            <w:vAlign w:val="center"/>
          </w:tcPr>
          <w:p>
            <w:pPr>
              <w:widowControl/>
              <w:topLinePunct w:val="0"/>
              <w:autoSpaceDE w:val="0"/>
              <w:autoSpaceDN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1" w:hRule="atLeast"/>
          <w:jc w:val="center"/>
        </w:trPr>
        <w:tc>
          <w:tcPr>
            <w:tcW w:w="343" w:type="pct"/>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3</w:t>
            </w:r>
          </w:p>
        </w:tc>
        <w:tc>
          <w:tcPr>
            <w:tcW w:w="2601" w:type="pct"/>
            <w:vAlign w:val="center"/>
          </w:tcPr>
          <w:p>
            <w:pPr>
              <w:widowControl/>
              <w:topLinePunct w:val="0"/>
              <w:autoSpaceDE w:val="0"/>
              <w:autoSpaceDN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县（市）自然资源主管部门负责临时用地审批，其中涉及占用耕地和永久基本农田的，由市级或者市级以上自然资源主管部门负责审批。油气资源探采合一开发涉及的钻井及配套设施建设用地，可先以临时用地方式批准使用，勘探结束转入生产使用的，办理建设用地审批手续；不转入生产的，油气企业应当完成土地复垦，按期归还。</w:t>
            </w:r>
          </w:p>
        </w:tc>
        <w:tc>
          <w:tcPr>
            <w:tcW w:w="1542" w:type="pct"/>
            <w:vAlign w:val="center"/>
          </w:tcPr>
          <w:p>
            <w:pPr>
              <w:widowControl/>
              <w:topLinePunct w:val="0"/>
              <w:autoSpaceDE w:val="0"/>
              <w:autoSpaceDN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本项目新增用地不涉及基本农田，</w:t>
            </w:r>
            <w:r>
              <w:rPr>
                <w:rFonts w:hint="eastAsia" w:ascii="Times New Roman" w:cs="Times New Roman"/>
                <w:bCs/>
                <w:color w:val="FF0000"/>
                <w:sz w:val="21"/>
                <w:szCs w:val="21"/>
              </w:rPr>
              <w:t>项目管线临时占地涉及永久基本农田，建设单位将依法办理相关用地手续，新增临时占地施工结束后进行复垦</w:t>
            </w:r>
            <w:r>
              <w:rPr>
                <w:rFonts w:ascii="Times New Roman" w:cs="Times New Roman"/>
                <w:sz w:val="21"/>
                <w:szCs w:val="21"/>
              </w:rPr>
              <w:t>。</w:t>
            </w:r>
          </w:p>
        </w:tc>
        <w:tc>
          <w:tcPr>
            <w:tcW w:w="513" w:type="pct"/>
            <w:vAlign w:val="center"/>
          </w:tcPr>
          <w:p>
            <w:pPr>
              <w:widowControl/>
              <w:topLinePunct w:val="0"/>
              <w:autoSpaceDE w:val="0"/>
              <w:autoSpaceDN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1" w:hRule="atLeast"/>
          <w:jc w:val="center"/>
        </w:trPr>
        <w:tc>
          <w:tcPr>
            <w:tcW w:w="343" w:type="pct"/>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4</w:t>
            </w:r>
          </w:p>
        </w:tc>
        <w:tc>
          <w:tcPr>
            <w:tcW w:w="2601" w:type="pct"/>
            <w:vAlign w:val="center"/>
          </w:tcPr>
          <w:p>
            <w:pPr>
              <w:widowControl/>
              <w:topLinePunct w:val="0"/>
              <w:autoSpaceDE w:val="0"/>
              <w:autoSpaceDN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临时用地使用人应当按照批准的用途使用土地，不得转让、出租、抵押临时用地。临时用地使用人应当自临时用地期满之日起一年内完成土地复垦，因气候、灾害等不可抗力因素影响复垦的，经批准可以适当延长复垦期限。</w:t>
            </w:r>
          </w:p>
          <w:p>
            <w:pPr>
              <w:widowControl/>
              <w:topLinePunct w:val="0"/>
              <w:autoSpaceDE w:val="0"/>
              <w:autoSpaceDN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严格落实临时用地恢复责任，临时用地期满后应当拆除临时建（构）筑物，使用耕地的应当复垦为耕地，确保耕地面积不减少、质量不降低；使用耕地以外的其他农用地的应当恢复为农用地；使用未利用地的，对于符合条件的鼓励复垦为耕地。</w:t>
            </w:r>
          </w:p>
        </w:tc>
        <w:tc>
          <w:tcPr>
            <w:tcW w:w="1542" w:type="pct"/>
            <w:vAlign w:val="center"/>
          </w:tcPr>
          <w:p>
            <w:pPr>
              <w:widowControl/>
              <w:topLinePunct w:val="0"/>
              <w:autoSpaceDE w:val="0"/>
              <w:autoSpaceDN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建设单位不会转让、出租、抵押临时用地。若临时用地期满且后续不</w:t>
            </w:r>
            <w:r>
              <w:rPr>
                <w:rFonts w:hint="eastAsia" w:ascii="Times New Roman" w:cs="Times New Roman"/>
                <w:sz w:val="21"/>
                <w:szCs w:val="21"/>
              </w:rPr>
              <w:t>再</w:t>
            </w:r>
            <w:r>
              <w:rPr>
                <w:rFonts w:ascii="Times New Roman" w:cs="Times New Roman"/>
                <w:sz w:val="21"/>
                <w:szCs w:val="21"/>
              </w:rPr>
              <w:t>利用，建设单位将在用地期满之日起一年内完成土地复垦。并按照当地主管部门恢复用地性质。</w:t>
            </w:r>
          </w:p>
        </w:tc>
        <w:tc>
          <w:tcPr>
            <w:tcW w:w="513" w:type="pct"/>
            <w:vAlign w:val="center"/>
          </w:tcPr>
          <w:p>
            <w:pPr>
              <w:widowControl/>
              <w:topLinePunct w:val="0"/>
              <w:autoSpaceDE w:val="0"/>
              <w:autoSpaceDN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bl>
    <w:p>
      <w:pPr>
        <w:pStyle w:val="112"/>
        <w:ind w:firstLine="480"/>
      </w:pPr>
      <w:r>
        <w:rPr>
          <w:kern w:val="2"/>
        </w:rPr>
        <w:t>综上所述，本项目</w:t>
      </w:r>
      <w:r>
        <w:rPr>
          <w:rFonts w:hint="eastAsia"/>
          <w:kern w:val="2"/>
        </w:rPr>
        <w:t>占地</w:t>
      </w:r>
      <w:r>
        <w:rPr>
          <w:kern w:val="2"/>
        </w:rPr>
        <w:t>与《自然资源部关于规范临时用地管理的通知》（自然资规〔2021〕2号）、《四川省自然资源厅关于进一步明确临时用地管理有关事项的通知》（川自然资规〔2022〕3号）中相关要求相符。</w:t>
      </w:r>
    </w:p>
    <w:p>
      <w:pPr>
        <w:keepNext/>
        <w:keepLines/>
        <w:ind w:firstLine="0" w:firstLineChars="0"/>
        <w:outlineLvl w:val="2"/>
        <w:rPr>
          <w:rFonts w:ascii="Times New Roman" w:cs="Times New Roman"/>
          <w:b/>
          <w:szCs w:val="32"/>
        </w:rPr>
      </w:pPr>
      <w:r>
        <w:rPr>
          <w:rFonts w:ascii="Times New Roman" w:cs="Times New Roman"/>
          <w:b/>
          <w:szCs w:val="32"/>
        </w:rPr>
        <w:t>1.8.</w:t>
      </w:r>
      <w:r>
        <w:rPr>
          <w:rFonts w:hint="eastAsia" w:ascii="Times New Roman" w:cs="Times New Roman"/>
          <w:b/>
          <w:szCs w:val="32"/>
        </w:rPr>
        <w:t>9</w:t>
      </w:r>
      <w:r>
        <w:rPr>
          <w:rFonts w:ascii="Times New Roman" w:cs="Times New Roman"/>
          <w:b/>
          <w:szCs w:val="32"/>
        </w:rPr>
        <w:t xml:space="preserve"> </w:t>
      </w:r>
      <w:r>
        <w:rPr>
          <w:rFonts w:hint="eastAsia" w:ascii="Times New Roman" w:cs="Times New Roman"/>
          <w:b/>
          <w:szCs w:val="32"/>
        </w:rPr>
        <w:t>《四川省“十四五”能源发展规划》（川府发〔2022〕8号）</w:t>
      </w:r>
      <w:r>
        <w:rPr>
          <w:rFonts w:ascii="Times New Roman" w:cs="Times New Roman"/>
          <w:b/>
          <w:szCs w:val="32"/>
        </w:rPr>
        <w:t>符合性分析</w:t>
      </w:r>
    </w:p>
    <w:p>
      <w:pPr>
        <w:ind w:firstLine="480"/>
        <w:rPr>
          <w:rFonts w:cs="Times New Roman" w:asciiTheme="minorEastAsia" w:hAnsiTheme="minorEastAsia" w:eastAsiaTheme="minorEastAsia"/>
        </w:rPr>
      </w:pPr>
      <w:r>
        <w:rPr>
          <w:rFonts w:cs="Times New Roman" w:asciiTheme="minorEastAsia" w:hAnsiTheme="minorEastAsia" w:eastAsiaTheme="minorEastAsia"/>
        </w:rPr>
        <w:t>根据《四川省“十四五”能源发展规划</w:t>
      </w:r>
      <w:r>
        <w:rPr>
          <w:rFonts w:ascii="Times New Roman" w:cs="Times New Roman" w:hAnsiTheme="minorEastAsia" w:eastAsiaTheme="minorEastAsia"/>
        </w:rPr>
        <w:t>》（川府发〔</w:t>
      </w:r>
      <w:r>
        <w:rPr>
          <w:rFonts w:ascii="Times New Roman" w:cs="Times New Roman" w:eastAsiaTheme="minorEastAsia"/>
        </w:rPr>
        <w:t>2022</w:t>
      </w:r>
      <w:r>
        <w:rPr>
          <w:rFonts w:ascii="Times New Roman" w:cs="Times New Roman" w:hAnsiTheme="minorEastAsia" w:eastAsiaTheme="minorEastAsia"/>
        </w:rPr>
        <w:t>〕</w:t>
      </w:r>
      <w:r>
        <w:rPr>
          <w:rFonts w:ascii="Times New Roman" w:cs="Times New Roman" w:eastAsiaTheme="minorEastAsia"/>
        </w:rPr>
        <w:t>8</w:t>
      </w:r>
      <w:r>
        <w:rPr>
          <w:rFonts w:ascii="Times New Roman" w:cs="Times New Roman" w:hAnsiTheme="minorEastAsia" w:eastAsiaTheme="minorEastAsia"/>
        </w:rPr>
        <w:t>号）</w:t>
      </w:r>
      <w:r>
        <w:rPr>
          <w:rFonts w:cs="Times New Roman" w:asciiTheme="minorEastAsia" w:hAnsiTheme="minorEastAsia" w:eastAsiaTheme="minorEastAsia"/>
        </w:rPr>
        <w:t>中“第五章 加快天然气勘探开发利用”中“第一节 建设千亿立方米级产能基地 大力推进天然气(页岩气)勘探开发,实施国家天然气(页岩气)千亿立方米级产能基地建设行动方案,建成全国最大的现代化 天然气(页岩气) 生产基地。 加大德阳—安岳古裂陷周缘、川中下古生界—震旦系、下二叠统、川西雷口坡组、川南五峰组—龙马溪组层系勘探力度。 加快川中下古生界—震旦系气藏、川西和川中致密气藏、川东北高含硫气田、川西致密气田以及长宁、威远、泸州 等区块产能建设,稳定主产区产量,开发接续区块。 到</w:t>
      </w:r>
      <w:r>
        <w:rPr>
          <w:rFonts w:ascii="Times New Roman" w:cs="Times New Roman" w:eastAsiaTheme="minorEastAsia"/>
        </w:rPr>
        <w:t>2025</w:t>
      </w:r>
      <w:r>
        <w:rPr>
          <w:rFonts w:ascii="Times New Roman" w:cs="Times New Roman" w:hAnsiTheme="minorEastAsia" w:eastAsiaTheme="minorEastAsia"/>
        </w:rPr>
        <w:t>年</w:t>
      </w:r>
      <w:r>
        <w:rPr>
          <w:rFonts w:cs="Times New Roman" w:asciiTheme="minorEastAsia" w:hAnsiTheme="minorEastAsia" w:eastAsiaTheme="minorEastAsia"/>
        </w:rPr>
        <w:t>,</w:t>
      </w:r>
      <w:r>
        <w:rPr>
          <w:rFonts w:ascii="Times New Roman" w:cs="Times New Roman" w:hAnsiTheme="minorEastAsia" w:eastAsiaTheme="minorEastAsia"/>
        </w:rPr>
        <w:t>天然气</w:t>
      </w:r>
      <w:r>
        <w:rPr>
          <w:rFonts w:cs="Times New Roman" w:asciiTheme="minorEastAsia" w:hAnsiTheme="minorEastAsia" w:eastAsiaTheme="minorEastAsia"/>
        </w:rPr>
        <w:t>(页岩气)</w:t>
      </w:r>
      <w:r>
        <w:rPr>
          <w:rFonts w:ascii="Times New Roman" w:cs="Times New Roman" w:hAnsiTheme="minorEastAsia" w:eastAsiaTheme="minorEastAsia"/>
        </w:rPr>
        <w:t>年产量达到</w:t>
      </w:r>
      <w:r>
        <w:rPr>
          <w:rFonts w:ascii="Times New Roman" w:cs="Times New Roman" w:eastAsiaTheme="minorEastAsia"/>
        </w:rPr>
        <w:t>630</w:t>
      </w:r>
      <w:r>
        <w:rPr>
          <w:rFonts w:cs="Times New Roman" w:asciiTheme="minorEastAsia" w:hAnsiTheme="minorEastAsia" w:eastAsiaTheme="minorEastAsia"/>
        </w:rPr>
        <w:t>亿立方米”。“第二节 大力推进油气基础设施建设 按照适度超前的原则,加快省内油气输送管网建设,围绕主要产气区、消费区和薄弱区,统筹优化管网布局,构建供应稳定、运行高效、安全可靠的输配系统。推进川气东送二线(四川段) 、威远和泸州区块页岩气集输干线工程、攀枝花—凉山等天然气管道建设,进一步完善达州、雅安、乐山、泸州、巴中等末端区域供气管网,布局南向管道并适时建设。规划新增成品油入川管道。到</w:t>
      </w:r>
      <w:r>
        <w:rPr>
          <w:rFonts w:ascii="Times New Roman" w:cs="Times New Roman" w:eastAsiaTheme="minorEastAsia"/>
        </w:rPr>
        <w:t xml:space="preserve"> 2025</w:t>
      </w:r>
      <w:r>
        <w:rPr>
          <w:rFonts w:cs="Times New Roman" w:asciiTheme="minorEastAsia" w:hAnsiTheme="minorEastAsia" w:eastAsiaTheme="minorEastAsia"/>
        </w:rPr>
        <w:t>年</w:t>
      </w:r>
      <w:r>
        <w:rPr>
          <w:rFonts w:hint="eastAsia" w:cs="Times New Roman" w:asciiTheme="minorEastAsia" w:hAnsiTheme="minorEastAsia" w:eastAsiaTheme="minorEastAsia"/>
        </w:rPr>
        <w:t>，</w:t>
      </w:r>
      <w:r>
        <w:rPr>
          <w:rFonts w:cs="Times New Roman" w:asciiTheme="minorEastAsia" w:hAnsiTheme="minorEastAsia" w:eastAsiaTheme="minorEastAsia"/>
        </w:rPr>
        <w:t>形成输气能力</w:t>
      </w:r>
      <w:r>
        <w:rPr>
          <w:rFonts w:ascii="Times New Roman" w:cs="Times New Roman" w:eastAsiaTheme="minorEastAsia"/>
        </w:rPr>
        <w:t xml:space="preserve"> 700</w:t>
      </w:r>
      <w:r>
        <w:rPr>
          <w:rFonts w:cs="Times New Roman" w:asciiTheme="minorEastAsia" w:hAnsiTheme="minorEastAsia" w:eastAsiaTheme="minorEastAsia"/>
        </w:rPr>
        <w:t>亿立方米/年。”</w:t>
      </w:r>
    </w:p>
    <w:p>
      <w:pPr>
        <w:ind w:firstLine="480"/>
        <w:rPr>
          <w:rFonts w:ascii="Times New Roman" w:cs="Times New Roman"/>
        </w:rPr>
      </w:pPr>
      <w:r>
        <w:rPr>
          <w:rFonts w:ascii="Times New Roman" w:cs="Times New Roman"/>
        </w:rPr>
        <w:t>本项目为普光气田</w:t>
      </w:r>
      <w:r>
        <w:rPr>
          <w:rFonts w:hint="eastAsia" w:ascii="Times New Roman" w:cs="Times New Roman"/>
        </w:rPr>
        <w:t>普光陆相气藏</w:t>
      </w:r>
      <w:r>
        <w:rPr>
          <w:rFonts w:ascii="Times New Roman" w:cs="Times New Roman"/>
        </w:rPr>
        <w:t>天然气开采和内部集输工程，属于天然气支线网络建设的配套工程，符合</w:t>
      </w:r>
      <w:r>
        <w:rPr>
          <w:rFonts w:hint="eastAsia" w:ascii="Times New Roman" w:cs="Times New Roman"/>
        </w:rPr>
        <w:t>《四川省“十四五”能源发展规划》</w:t>
      </w:r>
      <w:r>
        <w:rPr>
          <w:rFonts w:ascii="Times New Roman" w:cs="Times New Roman"/>
        </w:rPr>
        <w:t>要求。</w:t>
      </w:r>
    </w:p>
    <w:p>
      <w:pPr>
        <w:keepNext/>
        <w:keepLines/>
        <w:ind w:firstLine="0" w:firstLineChars="0"/>
        <w:outlineLvl w:val="2"/>
        <w:rPr>
          <w:rFonts w:ascii="Times New Roman" w:cs="Times New Roman"/>
          <w:b/>
          <w:szCs w:val="32"/>
        </w:rPr>
      </w:pPr>
      <w:r>
        <w:rPr>
          <w:rFonts w:ascii="Times New Roman" w:cs="Times New Roman"/>
          <w:b/>
          <w:szCs w:val="32"/>
        </w:rPr>
        <w:t>1.8.</w:t>
      </w:r>
      <w:r>
        <w:rPr>
          <w:rFonts w:hint="eastAsia" w:ascii="Times New Roman" w:cs="Times New Roman"/>
          <w:b/>
          <w:szCs w:val="32"/>
        </w:rPr>
        <w:t>10</w:t>
      </w:r>
      <w:r>
        <w:rPr>
          <w:rFonts w:ascii="Times New Roman" w:cs="Times New Roman"/>
          <w:b/>
          <w:szCs w:val="32"/>
        </w:rPr>
        <w:t xml:space="preserve"> 本项目与水源地合理性分析</w:t>
      </w:r>
    </w:p>
    <w:p>
      <w:pPr>
        <w:pStyle w:val="112"/>
        <w:ind w:firstLine="480"/>
      </w:pPr>
      <w:r>
        <w:t>根据达州市人民政府《关于划定万源市、宣汉县和大竹县乡镇及以下集中式饮用水水源地保护区的批复》（达市府发</w:t>
      </w:r>
      <w:r>
        <w:rPr>
          <w:kern w:val="2"/>
        </w:rPr>
        <w:t>〔2020〕</w:t>
      </w:r>
      <w:r>
        <w:t>124号）结合现场调查，项目</w:t>
      </w:r>
      <w:r>
        <w:rPr>
          <w:rFonts w:hint="eastAsia"/>
        </w:rPr>
        <w:t>沿线</w:t>
      </w:r>
      <w:r>
        <w:t>不涉及沿线乡镇水源地保护区。</w:t>
      </w:r>
    </w:p>
    <w:p>
      <w:pPr>
        <w:keepNext/>
        <w:keepLines/>
        <w:ind w:firstLine="0" w:firstLineChars="0"/>
        <w:outlineLvl w:val="2"/>
        <w:rPr>
          <w:rFonts w:ascii="Times New Roman" w:cs="Times New Roman"/>
          <w:b/>
          <w:szCs w:val="32"/>
        </w:rPr>
      </w:pPr>
      <w:r>
        <w:rPr>
          <w:rFonts w:ascii="Times New Roman" w:cs="Times New Roman"/>
          <w:b/>
          <w:szCs w:val="32"/>
        </w:rPr>
        <w:t>1.8.1</w:t>
      </w:r>
      <w:r>
        <w:rPr>
          <w:rFonts w:hint="eastAsia" w:ascii="Times New Roman" w:cs="Times New Roman"/>
          <w:b/>
          <w:szCs w:val="32"/>
        </w:rPr>
        <w:t>1</w:t>
      </w:r>
      <w:r>
        <w:rPr>
          <w:rFonts w:ascii="Times New Roman" w:cs="Times New Roman"/>
          <w:b/>
          <w:szCs w:val="32"/>
        </w:rPr>
        <w:t xml:space="preserve"> 本项目与“三线一单”符合性分析</w:t>
      </w:r>
    </w:p>
    <w:p>
      <w:pPr>
        <w:pStyle w:val="112"/>
        <w:ind w:firstLine="480"/>
      </w:pPr>
      <w:r>
        <w:t>根据环保部发布的《关于以改善环境质量为核心加强环境影响评价管理的通知》要求：切实加强环境影响评价管理，落实“生态保护红线、环境质量底线、资源利用上线和环境准入负面清单”约束，更好地发挥环评制度从源头防范环境污染和生态破坏的作用，加快推进改善环境质量。</w:t>
      </w:r>
    </w:p>
    <w:p>
      <w:pPr>
        <w:ind w:firstLine="482"/>
        <w:rPr>
          <w:rFonts w:ascii="Times New Roman" w:cs="Times New Roman"/>
          <w:b/>
          <w:bCs/>
        </w:rPr>
      </w:pPr>
      <w:r>
        <w:rPr>
          <w:rFonts w:ascii="Times New Roman" w:cs="Times New Roman"/>
          <w:b/>
          <w:bCs/>
        </w:rPr>
        <w:t>1、生态保护红线</w:t>
      </w:r>
    </w:p>
    <w:p>
      <w:pPr>
        <w:ind w:firstLine="480"/>
        <w:rPr>
          <w:rFonts w:ascii="Times New Roman" w:cs="Times New Roman"/>
        </w:rPr>
      </w:pPr>
      <w:r>
        <w:rPr>
          <w:rFonts w:ascii="Times New Roman" w:cs="Times New Roman"/>
        </w:rPr>
        <w:t>2017年2月，中共中央办公厅国务院办公厅印发了《关于划定并严守生态保护红线的若干意见》，意见中关于红线管控要求如下：</w:t>
      </w:r>
    </w:p>
    <w:p>
      <w:pPr>
        <w:ind w:firstLine="480"/>
        <w:rPr>
          <w:rFonts w:ascii="Times New Roman" w:cs="Times New Roman"/>
        </w:rPr>
      </w:pPr>
      <w:r>
        <w:rPr>
          <w:rFonts w:ascii="Times New Roman" w:cs="Times New Roman"/>
        </w:rPr>
        <w:t>实行严格管控。生态保护红线原则上按禁止开发区域的要求进行管理。严禁不符合主体功能定位的各类开发活动，严禁任意改变用途。生态保护红线划定后，只能增加、不能减少，因国家重大基础设施、重大民生保障项目建设等需要调整的，由省级政府组织论证，提出调整方案，经环境保护部、国家发展改革委会同有关部门提出审核意见后，报国务院批准。因国家重大战略资源勘查需要，在不影响主体功能定位的前提下，经依法批准后予以安排勘查项目。</w:t>
      </w:r>
    </w:p>
    <w:p>
      <w:pPr>
        <w:ind w:firstLine="480"/>
        <w:rPr>
          <w:rFonts w:ascii="Times New Roman" w:cs="Times New Roman"/>
        </w:rPr>
      </w:pPr>
      <w:r>
        <w:rPr>
          <w:rFonts w:ascii="Times New Roman" w:cs="Times New Roman"/>
        </w:rPr>
        <w:t>四川省人民政府《关于印发四川省生态保护红线方案的通知》（川府发〔2018〕24号）中指出：“四川省生态保护红线总面积14.80万平方公里，占全省</w:t>
      </w:r>
      <w:r>
        <w:rPr>
          <w:rFonts w:hint="eastAsia" w:ascii="Times New Roman" w:cs="Times New Roman"/>
          <w:lang w:eastAsia="zh-CN"/>
        </w:rPr>
        <w:t>辖区面积</w:t>
      </w:r>
      <w:r>
        <w:rPr>
          <w:rFonts w:ascii="Times New Roman" w:cs="Times New Roman"/>
        </w:rPr>
        <w:t>的30.45%，主要分布于川西高山高原、川西南山地和盆周山地，分布格局为“四轴九核”。“四轴”指大巴山、金沙江下游干热河谷、川东南山地以及盆中丘陵区，呈带状分布；“九核”指若尔盖湿地（黄河源）雅砻江源、大渡河源以及大雪山、沙鲁里山、岷山、邛崃山、凉山—相岭、锦屏山，以水系、山系为骨架集中成片分布。</w:t>
      </w:r>
    </w:p>
    <w:p>
      <w:pPr>
        <w:ind w:firstLine="480"/>
        <w:rPr>
          <w:rFonts w:ascii="Times New Roman" w:cs="Times New Roman"/>
        </w:rPr>
      </w:pPr>
      <w:r>
        <w:rPr>
          <w:rFonts w:ascii="Times New Roman" w:cs="Times New Roman"/>
        </w:rPr>
        <w:t>根据该《通知》，达州市宣汉县、万源市的部分地区涉及“大巴山生物多样性维护—水源涵养生态保护红线”；大竹县的部分地区涉及“川东南石漠化敏感生态保护红线”；达州市及其区县的城市饮用水源保护区和零散分布于四川盆地的自然保护区、风景名胜区、湿地公园、地质公园等各类生态保护重要区域为“盆中城市饮用水源—水土保持生态保护红线”。</w:t>
      </w:r>
    </w:p>
    <w:p>
      <w:pPr>
        <w:ind w:firstLine="480"/>
        <w:rPr>
          <w:rFonts w:ascii="Times New Roman" w:cs="Times New Roman"/>
        </w:rPr>
      </w:pPr>
      <w:r>
        <w:rPr>
          <w:rFonts w:ascii="Times New Roman" w:cs="Times New Roman"/>
        </w:rPr>
        <w:t>本项目位于四川省达州市宣汉县黄金镇沙场村，不在饮用水源保护区、自然保护区、风景名胜区、湿地公园、地质公园等各类生态保护重要区域。结合《四川省生态保护红线分布图》和</w:t>
      </w:r>
      <w:r>
        <w:rPr>
          <w:rFonts w:hint="eastAsia" w:ascii="Times New Roman" w:cs="Times New Roman"/>
        </w:rPr>
        <w:t>《达州市生态保护红线分布图》</w:t>
      </w:r>
      <w:r>
        <w:rPr>
          <w:rFonts w:ascii="Times New Roman" w:cs="Times New Roman"/>
        </w:rPr>
        <w:t>分析，项目选址与《四川省生态保护红线方案》及达州市</w:t>
      </w:r>
      <w:r>
        <w:rPr>
          <w:rFonts w:hint="eastAsia" w:ascii="Times New Roman" w:cs="Times New Roman"/>
        </w:rPr>
        <w:t>生态保护红线保护要求</w:t>
      </w:r>
      <w:r>
        <w:rPr>
          <w:rFonts w:ascii="Times New Roman" w:cs="Times New Roman"/>
        </w:rPr>
        <w:t>是相协调的。</w:t>
      </w:r>
    </w:p>
    <w:p>
      <w:pPr>
        <w:pStyle w:val="112"/>
        <w:ind w:firstLine="225" w:firstLineChars="83"/>
        <w:jc w:val="center"/>
      </w:pPr>
      <w:r>
        <w:rPr>
          <w:rFonts w:eastAsia="仿宋_GB2312"/>
          <w:spacing w:val="-4"/>
          <w:sz w:val="28"/>
          <w:szCs w:val="28"/>
        </w:rPr>
        <w:pict>
          <v:shape id="_x0000_s1045" o:spid="_x0000_s1045" o:spt="61" type="#_x0000_t61" style="position:absolute;left:0pt;margin-left:100.75pt;margin-top:72.7pt;height:25pt;width:90.95pt;z-index:25166131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" adj="22823,52056">
            <v:path/>
            <v:fill on="f" focussize="0,0"/>
            <v:stroke joinstyle="miter"/>
            <v:imagedata o:title=""/>
            <o:lock v:ext="edit"/>
            <v:textbox>
              <w:txbxContent>
                <w:p>
                  <w:pPr>
                    <w:spacing w:line="240" w:lineRule="auto"/>
                    <w:ind w:firstLine="0" w:firstLineChars="0"/>
                    <w:rPr>
                      <w:sz w:val="21"/>
                      <w:szCs w:val="21"/>
                    </w:rPr>
                  </w:pPr>
                  <w:r>
                    <w:rPr>
                      <w:rFonts w:hint="eastAsia"/>
                      <w:sz w:val="21"/>
                      <w:szCs w:val="21"/>
                    </w:rPr>
                    <w:t>本项目所在位置</w:t>
                  </w:r>
                </w:p>
              </w:txbxContent>
            </v:textbox>
          </v:shape>
        </w:pict>
      </w:r>
      <w:r>
        <w:rPr>
          <w:rFonts w:eastAsia="仿宋_GB2312"/>
          <w:spacing w:val="-4"/>
          <w:sz w:val="28"/>
          <w:szCs w:val="28"/>
        </w:rPr>
        <w:pict>
          <v:shape id="_x0000_s1077" o:spid="_x0000_s1077" o:spt="3" type="#_x0000_t3" style="position:absolute;left:0pt;margin-left:197pt;margin-top:132.25pt;height:4.25pt;width:4.25pt;z-index:251663360;mso-width-relative:page;mso-height-relative:page;" fillcolor="#FF0000" filled="t" stroked="t" coordsize="21600,21600">
            <v:path/>
            <v:fill on="t" focussize="0,0"/>
            <v:stroke color="#FF0000"/>
            <v:imagedata o:title=""/>
            <o:lock v:ext="edit"/>
          </v:shape>
        </w:pict>
      </w:r>
      <w:r>
        <w:rPr>
          <w:rFonts w:eastAsia="仿宋_GB2312"/>
          <w:spacing w:val="-4"/>
          <w:sz w:val="28"/>
          <w:szCs w:val="28"/>
        </w:rPr>
        <w:drawing>
          <wp:inline distT="0" distB="0" distL="0" distR="0">
            <wp:extent cx="5273675" cy="3722370"/>
            <wp:effectExtent l="19050" t="0" r="3175" b="0"/>
            <wp:docPr id="4" name="图片 10326" descr="G:\1\达州成果\现阶段成果\达州5月出图\生态保护红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326" descr="G:\1\达州成果\现阶段成果\达州5月出图\生态保护红线.jpg"/>
                    <pic:cNvPicPr>
                      <a:picLocks noChangeAspect="1" noChangeArrowheads="1"/>
                    </pic:cNvPicPr>
                  </pic:nvPicPr>
                  <pic:blipFill>
                    <a:blip r:embed="rId48" cstate="print"/>
                    <a:srcRect/>
                    <a:stretch>
                      <a:fillRect/>
                    </a:stretch>
                  </pic:blipFill>
                  <pic:spPr>
                    <a:xfrm>
                      <a:off x="0" y="0"/>
                      <a:ext cx="5273675" cy="3722370"/>
                    </a:xfrm>
                    <a:prstGeom prst="rect">
                      <a:avLst/>
                    </a:prstGeom>
                    <a:noFill/>
                    <a:ln w="9525">
                      <a:noFill/>
                      <a:miter lim="800000"/>
                      <a:headEnd/>
                      <a:tailEnd/>
                    </a:ln>
                  </pic:spPr>
                </pic:pic>
              </a:graphicData>
            </a:graphic>
          </wp:inline>
        </w:drawing>
      </w:r>
    </w:p>
    <w:p>
      <w:pPr>
        <w:pStyle w:val="112"/>
        <w:ind w:firstLine="175" w:firstLineChars="83"/>
        <w:jc w:val="center"/>
        <w:rPr>
          <w:b/>
          <w:sz w:val="21"/>
          <w:szCs w:val="21"/>
        </w:rPr>
      </w:pPr>
      <w:r>
        <w:rPr>
          <w:b/>
          <w:sz w:val="21"/>
          <w:szCs w:val="21"/>
        </w:rPr>
        <w:t>图1.8-</w:t>
      </w:r>
      <w:r>
        <w:rPr>
          <w:rFonts w:hint="eastAsia"/>
          <w:b/>
          <w:sz w:val="21"/>
          <w:szCs w:val="21"/>
        </w:rPr>
        <w:t>1</w:t>
      </w:r>
      <w:r>
        <w:rPr>
          <w:b/>
          <w:sz w:val="21"/>
          <w:szCs w:val="21"/>
        </w:rPr>
        <w:t xml:space="preserve">  </w:t>
      </w:r>
      <w:r>
        <w:rPr>
          <w:rFonts w:hint="eastAsia"/>
          <w:b/>
          <w:sz w:val="21"/>
          <w:szCs w:val="21"/>
        </w:rPr>
        <w:t>达州市</w:t>
      </w:r>
      <w:r>
        <w:rPr>
          <w:b/>
          <w:sz w:val="21"/>
          <w:szCs w:val="21"/>
        </w:rPr>
        <w:t>生态红线分布图</w:t>
      </w:r>
    </w:p>
    <w:p>
      <w:pPr>
        <w:pStyle w:val="112"/>
        <w:ind w:firstLine="482"/>
        <w:rPr>
          <w:b/>
          <w:bCs/>
        </w:rPr>
      </w:pPr>
      <w:r>
        <w:rPr>
          <w:b/>
          <w:bCs/>
        </w:rPr>
        <w:t>2、与环境质量底线的符合性分析</w:t>
      </w:r>
    </w:p>
    <w:p>
      <w:pPr>
        <w:pStyle w:val="112"/>
        <w:ind w:firstLine="480"/>
      </w:pPr>
      <w:r>
        <w:t>项目所在区域环境空气均满足《环境空气质量标准》（GB3095-2012）二级，区域地表水环境质量满足《地表水环境质量标准》（GB3838-2002）Ⅲ类标准，地下水环境质量满足《地下水质量标准》（GB/T14848-2017）中Ⅲ类标准，声环境质量满足《声环境质量标准》（GB3096-2008）2类，环境质量较好。</w:t>
      </w:r>
    </w:p>
    <w:p>
      <w:pPr>
        <w:pStyle w:val="112"/>
        <w:ind w:firstLine="480"/>
      </w:pPr>
      <w:r>
        <w:t>经分析，目前区域环境空气、地表水及声环境质量均尚有容量。本项目水套炉加热采用返输净化天然气（不含硫化氢）</w:t>
      </w:r>
      <w:r>
        <w:rPr>
          <w:rFonts w:hint="eastAsia"/>
        </w:rPr>
        <w:t>，经</w:t>
      </w:r>
      <w:r>
        <w:t>燃气返输管线</w:t>
      </w:r>
      <w:r>
        <w:rPr>
          <w:rFonts w:hint="eastAsia"/>
        </w:rPr>
        <w:t>返输</w:t>
      </w:r>
      <w:r>
        <w:t>，属于清洁能源，仅产生少量的氮氧化物；本项目运营期产生的气田水</w:t>
      </w:r>
      <w:r>
        <w:rPr>
          <w:rFonts w:hint="eastAsia"/>
        </w:rPr>
        <w:t>暂存于污水缓冲罐</w:t>
      </w:r>
      <w:r>
        <w:t>，然后通过密闭罐车拉运至大湾403污水站处理达到《气田水回注方法》（SY/T 6596</w:t>
      </w:r>
      <w:r>
        <w:rPr>
          <w:rFonts w:hint="eastAsia"/>
        </w:rPr>
        <w:t>-</w:t>
      </w:r>
      <w:r>
        <w:t>2016）中注入水基本要求后管输至毛开1井回注站回注处理，不外排</w:t>
      </w:r>
      <w:r>
        <w:rPr>
          <w:rFonts w:hint="eastAsia"/>
        </w:rPr>
        <w:t>；值守</w:t>
      </w:r>
      <w:r>
        <w:t>人员生活</w:t>
      </w:r>
      <w:r>
        <w:rPr>
          <w:rFonts w:hint="eastAsia"/>
        </w:rPr>
        <w:t>污水经</w:t>
      </w:r>
      <w:r>
        <w:t>生态环保厕所收集后，用作周边农肥，不外排。项目站场设备运行和气流噪声值较小，不会对当地的声环境容量造成较大影响。本项目严格执行设计及环评提出的相关污染防治措施后，排放的污染源不会对区域环境质量底线造成冲击。</w:t>
      </w:r>
    </w:p>
    <w:p>
      <w:pPr>
        <w:pStyle w:val="112"/>
        <w:ind w:firstLine="482"/>
        <w:rPr>
          <w:b/>
          <w:bCs/>
        </w:rPr>
      </w:pPr>
      <w:r>
        <w:rPr>
          <w:b/>
          <w:bCs/>
        </w:rPr>
        <w:t>3、与资源利用上线的符合性分析</w:t>
      </w:r>
    </w:p>
    <w:p>
      <w:pPr>
        <w:pStyle w:val="112"/>
        <w:ind w:firstLine="480"/>
      </w:pPr>
      <w:r>
        <w:t>本项目运营过程中除消耗电、气外，无其他能源消耗，项目建成运行后通过内部管理、设备选择、原辅材料的选用和管理、废物回收利用、污染治理等多方面采取合理可行的防治措施，以“节能、降耗、减污”为目标，有效地控制污染。项目资源利用不会突破区域的资源利用上线。</w:t>
      </w:r>
    </w:p>
    <w:p>
      <w:pPr>
        <w:pStyle w:val="112"/>
        <w:ind w:firstLine="482"/>
        <w:rPr>
          <w:b/>
          <w:bCs/>
        </w:rPr>
      </w:pPr>
      <w:r>
        <w:rPr>
          <w:b/>
          <w:bCs/>
        </w:rPr>
        <w:t>4、与</w:t>
      </w:r>
      <w:r>
        <w:rPr>
          <w:rFonts w:hint="eastAsia"/>
          <w:b/>
          <w:bCs/>
        </w:rPr>
        <w:t>生态环境准入清单</w:t>
      </w:r>
      <w:r>
        <w:rPr>
          <w:b/>
          <w:bCs/>
        </w:rPr>
        <w:t>的符合性分析</w:t>
      </w:r>
    </w:p>
    <w:p>
      <w:pPr>
        <w:pStyle w:val="112"/>
        <w:ind w:firstLine="480"/>
      </w:pPr>
      <w:r>
        <w:t>本工程选址位于达州市宣汉县，根据《四川省人民政府关于落实生态保护红线、环境质量底线、资源利用上线，制定生态环境准入清单，实施生态环境分区管控的通知》（川府发〔2020〕9号），项目所在地属于川东北经济区，该区域总体生态环境管控要求为：</w:t>
      </w:r>
      <w:r>
        <w:rPr>
          <w:rFonts w:hint="eastAsia" w:ascii="宋体" w:hAnsi="宋体" w:cs="宋体"/>
        </w:rPr>
        <w:t>①</w:t>
      </w:r>
      <w:r>
        <w:t>控制农村面源污染，提高污水收集处理率，加快乡镇污水处理基础设施建设。</w:t>
      </w:r>
      <w:r>
        <w:rPr>
          <w:rFonts w:hint="eastAsia" w:ascii="宋体" w:hAnsi="宋体" w:cs="宋体"/>
        </w:rPr>
        <w:t>②</w:t>
      </w:r>
      <w:r>
        <w:t>建设流域水环境风险联防联控体系。</w:t>
      </w:r>
      <w:r>
        <w:rPr>
          <w:rFonts w:hint="eastAsia" w:ascii="宋体" w:hAnsi="宋体" w:cs="宋体"/>
        </w:rPr>
        <w:t>③</w:t>
      </w:r>
      <w:r>
        <w:t>提高大气污染治理水平。</w:t>
      </w:r>
    </w:p>
    <w:p>
      <w:pPr>
        <w:pStyle w:val="112"/>
        <w:ind w:firstLine="480"/>
      </w:pPr>
      <w:r>
        <w:t>本项目为天然气</w:t>
      </w:r>
      <w:r>
        <w:rPr>
          <w:rFonts w:hint="eastAsia"/>
        </w:rPr>
        <w:t>试采</w:t>
      </w:r>
      <w:r>
        <w:t>及管线建设项目，不属于《四川省人民政府关于落实生态保护红线、环境质量底线、资源利用上线，制定生态环境准入清单，实施生态环境分区管控的通知》（川府发〔2020〕9号）中所列的建材、家具、电子信息、装备制造、先进材料、食品饮料、生物医药等行业，项目施工期废水不外排，运营期无废水</w:t>
      </w:r>
      <w:r>
        <w:rPr>
          <w:rFonts w:hint="eastAsia"/>
        </w:rPr>
        <w:t>排放</w:t>
      </w:r>
      <w:r>
        <w:t>，营运期水套炉燃烧废气经排气筒排放，污染物排放量较小。项目所在地生态环境良好，无突出环境问题，因此，项目的建设满足《四川省人民政府关于落实生态保护红线、环境质量底线、资源利用上线，制定生态环境准入清单，实施生态环境分区管控的通知》（川府发〔2020〕9号）中川东北经济区的生态环境管控要求。</w:t>
      </w:r>
    </w:p>
    <w:p>
      <w:pPr>
        <w:pStyle w:val="112"/>
        <w:ind w:firstLine="480"/>
      </w:pPr>
      <w:r>
        <w:t>同时根据《四川省国家重点生态功能区产业准入负面清单（第一批）（试行）》、《四川省重点生态功能区产业准入负面清单</w:t>
      </w:r>
      <w:r>
        <w:rPr>
          <w:rFonts w:hint="eastAsia"/>
        </w:rPr>
        <w:t>（</w:t>
      </w:r>
      <w:r>
        <w:t>第二批</w:t>
      </w:r>
      <w:r>
        <w:rPr>
          <w:rFonts w:hint="eastAsia"/>
        </w:rPr>
        <w:t>）</w:t>
      </w:r>
      <w:r>
        <w:t>（试行）》，本工程不涉及《四川省国家重点生态功能区产业准入负面清单（第一批）（试行）》42个市县、《四川省重点生态功能区产业准入负面清单</w:t>
      </w:r>
      <w:r>
        <w:rPr>
          <w:rFonts w:hint="eastAsia"/>
        </w:rPr>
        <w:t>（</w:t>
      </w:r>
      <w:r>
        <w:t>第二批</w:t>
      </w:r>
      <w:r>
        <w:rPr>
          <w:rFonts w:hint="eastAsia"/>
        </w:rPr>
        <w:t>）</w:t>
      </w:r>
      <w:r>
        <w:t>（试行）》15个县。因此，不属于区域环境准入负面清单行业内容。</w:t>
      </w:r>
    </w:p>
    <w:p>
      <w:pPr>
        <w:pStyle w:val="112"/>
        <w:ind w:firstLine="480"/>
        <w:rPr>
          <w:color w:val="0000FF"/>
        </w:rPr>
      </w:pPr>
      <w:r>
        <w:rPr>
          <w:color w:val="0000FF"/>
        </w:rPr>
        <w:t>根据</w:t>
      </w:r>
      <w:r>
        <w:rPr>
          <w:rFonts w:hint="eastAsia"/>
          <w:color w:val="0000FF"/>
          <w:kern w:val="2"/>
          <w:szCs w:val="22"/>
        </w:rPr>
        <w:t>《四川省、重庆市长江经济带发展负面清单实施细则（试行，2022年版）》</w:t>
      </w:r>
      <w:r>
        <w:rPr>
          <w:color w:val="0000FF"/>
        </w:rPr>
        <w:t>：禁止在自然保护区核心区、缓冲区的岸线和河段范围内投资建设旅游和生产经营项目。自然保护区的内部未分区的，依照本实施细则核心区和缓冲区的规定管控。禁止违反风景名胜区规划，在风景名胜区内设立各 类开发区。禁止在风景名胜区核心景区的岸线和河段范围内建设宾馆、招待所、培训中心、疗养院以及与风景名胜资源保护无关的项目。禁止在饮用水水源准保护区的岸线和河段范围内新建、扩建对水体污染严重的建设项目，禁止改建增加排污量的建设项目。饮用水水源二级保护区的岸线和河段范围内，除应遵守准保护区规定外，禁止新建、改建、扩建排放污染物的投资 建设项目；禁止从事采石（砂）、对水体有污染的水产养殖等活动。饮用水水源一级保护区的岸线和河段范围内，除应遵守二级保护区规定外，禁止新建、改建、扩建与供（取）水设施和保护水源无关的项目，以及网箱养殖、畜禽养殖、旅游等可能污染饮用水水体的投资建设项目。禁止在长江干支流、重要湖泊岸线一公里范围内新建、扩建化工园区和化工项目</w:t>
      </w:r>
      <w:r>
        <w:rPr>
          <w:rFonts w:hint="eastAsia"/>
          <w:color w:val="0000FF"/>
        </w:rPr>
        <w:t>。</w:t>
      </w:r>
      <w:r>
        <w:rPr>
          <w:color w:val="0000FF"/>
        </w:rPr>
        <w:t>禁止在长江干流岸线三公里范围内和重要支流岸线一公里范围内新建、改建、扩建尾矿库、冶炼渣库、磷石膏库，以提升安全、生态环境保护水平为目的的改建除外。禁止在生态保护红线区域、永久基本农田集中区域和其他需要特别保护的区域内选址建设尾矿库、冶炼渣库、磷石膏库。禁止在合规园区外新建、扩建钢铁、石化、化 工、焦化、建材、有色、制浆造纸等高污染项目……</w:t>
      </w:r>
    </w:p>
    <w:p>
      <w:pPr>
        <w:pStyle w:val="112"/>
        <w:ind w:firstLine="480"/>
      </w:pPr>
      <w:r>
        <w:rPr>
          <w:rFonts w:hint="eastAsia"/>
        </w:rPr>
        <w:t>根据《达州市人民政府关于落实生态保护红线、环境质量底线、资源利用上线制定生态环境准入清单实施生态分区管控的通知》（达市府发</w:t>
      </w:r>
      <w:r>
        <w:rPr>
          <w:rFonts w:hint="eastAsia"/>
          <w:lang w:eastAsia="zh-CN"/>
        </w:rPr>
        <w:t>〔2021〕</w:t>
      </w:r>
      <w:r>
        <w:rPr>
          <w:rFonts w:hint="eastAsia"/>
        </w:rPr>
        <w:t>17号），本项目不属于优先保护单元和重点管控单元，为一般管控单元，其生态环境管控要求为：执行区域生态环境保护的基本要求，重点加强农业、生活等领域污染治理，本项目施工期采取相应的生态保护措施能够满足区域生态环境保护的基本要求，满足一般管控单元的生态环境管控要求。</w:t>
      </w:r>
    </w:p>
    <w:p>
      <w:pPr>
        <w:pStyle w:val="112"/>
        <w:ind w:firstLine="480"/>
      </w:pPr>
      <w:r>
        <w:t>本项目位于达州市宣汉县</w:t>
      </w:r>
      <w:r>
        <w:rPr>
          <w:rFonts w:hint="eastAsia"/>
        </w:rPr>
        <w:t>黄金镇境内</w:t>
      </w:r>
      <w:r>
        <w:t>，查阅相关资料，项目建设区域不属于自然保护区、风景名胜区、饮用水源保护区以及生态保护红线范围等</w:t>
      </w:r>
      <w:r>
        <w:rPr>
          <w:rFonts w:hint="eastAsia"/>
        </w:rPr>
        <w:t>，不属于优先保护单元和重点管控单元，为一般管控单元</w:t>
      </w:r>
      <w:r>
        <w:t>。项目为天然气输气管线项目，属于鼓励类项目。因此，项目建设满足《四川省长江经济带发展负面清单实施细则（试行）》（川长江办〔2019〕8号）和</w:t>
      </w:r>
      <w:r>
        <w:rPr>
          <w:rFonts w:hint="eastAsia"/>
        </w:rPr>
        <w:t>《达州市人民政府关于落实生态保护红线、环境质量底线、资源利用上线制定生态环境准入清单实施生态分区管控的通知》（达市府发</w:t>
      </w:r>
      <w:r>
        <w:rPr>
          <w:rFonts w:hint="eastAsia"/>
          <w:lang w:eastAsia="zh-CN"/>
        </w:rPr>
        <w:t>〔2021〕</w:t>
      </w:r>
      <w:r>
        <w:rPr>
          <w:rFonts w:hint="eastAsia"/>
        </w:rPr>
        <w:t>17号）</w:t>
      </w:r>
      <w:r>
        <w:t>的相应要求。</w:t>
      </w:r>
    </w:p>
    <w:p>
      <w:pPr>
        <w:pStyle w:val="112"/>
        <w:ind w:firstLine="480"/>
      </w:pPr>
      <w:r>
        <w:t>根据</w:t>
      </w:r>
      <w:r>
        <w:rPr>
          <w:rFonts w:hint="eastAsia"/>
        </w:rPr>
        <w:t>《长江经济带战略环境评价四川省达州市“三线一单”生态环境分区管控优化完善研究报告》（</w:t>
      </w:r>
      <w:r>
        <w:t>达州市生态环境局</w:t>
      </w:r>
      <w:r>
        <w:rPr>
          <w:rFonts w:hint="eastAsia"/>
        </w:rPr>
        <w:t>，2021年5月），本项目所在地属于</w:t>
      </w:r>
      <w:r>
        <w:rPr>
          <w:bCs/>
        </w:rPr>
        <w:t>宣汉县一般管控单元（ZH51172230001）</w:t>
      </w:r>
      <w:r>
        <w:rPr>
          <w:rFonts w:hint="eastAsia"/>
        </w:rPr>
        <w:t>，项目与管控单元相对位置见图1.8-3。</w:t>
      </w:r>
    </w:p>
    <w:p>
      <w:pPr>
        <w:pStyle w:val="112"/>
        <w:ind w:firstLine="0" w:firstLineChars="0"/>
        <w:jc w:val="center"/>
      </w:pPr>
      <w:r>
        <w:pict>
          <v:shape id="_x0000_s1145" o:spid="_x0000_s1145" o:spt="61" type="#_x0000_t61" style="position:absolute;left:0pt;margin-left:90.4pt;margin-top:64.95pt;height:25pt;width:90.95pt;z-index:25166438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" adj="22823,52056">
            <v:path/>
            <v:fill on="f" focussize="0,0"/>
            <v:stroke joinstyle="miter"/>
            <v:imagedata o:title=""/>
            <o:lock v:ext="edit"/>
            <v:textbox>
              <w:txbxContent>
                <w:p>
                  <w:pPr>
                    <w:spacing w:line="240" w:lineRule="auto"/>
                    <w:ind w:firstLine="0" w:firstLineChars="0"/>
                    <w:rPr>
                      <w:sz w:val="21"/>
                      <w:szCs w:val="21"/>
                    </w:rPr>
                  </w:pPr>
                  <w:r>
                    <w:rPr>
                      <w:rFonts w:hint="eastAsia"/>
                      <w:sz w:val="21"/>
                      <w:szCs w:val="21"/>
                    </w:rPr>
                    <w:t>本项目所在位置</w:t>
                  </w:r>
                </w:p>
              </w:txbxContent>
            </v:textbox>
          </v:shape>
        </w:pict>
      </w:r>
      <w:r>
        <w:pict>
          <v:shape id="_x0000_s1146" o:spid="_x0000_s1146" o:spt="3" type="#_x0000_t3" style="position:absolute;left:0pt;margin-left:186.4pt;margin-top:123.45pt;height:4.25pt;width:4.25pt;z-index:251665408;mso-width-relative:page;mso-height-relative:page;" fillcolor="#FF0000" filled="t" stroked="t" coordsize="21600,21600">
            <v:path/>
            <v:fill on="t" focussize="0,0"/>
            <v:stroke color="#FF0000"/>
            <v:imagedata o:title=""/>
            <o:lock v:ext="edit"/>
          </v:shape>
        </w:pict>
      </w:r>
      <w:r>
        <w:drawing>
          <wp:inline distT="0" distB="0" distL="0" distR="0">
            <wp:extent cx="5274310" cy="3441065"/>
            <wp:effectExtent l="19050" t="0" r="2540" b="0"/>
            <wp:docPr id="29" name="图片 23" descr="C:\Users\ADMINI~1.USE\AppData\Local\Temp\1661532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descr="C:\Users\ADMINI~1.USE\AppData\Local\Temp\1661532114(1).jpg"/>
                    <pic:cNvPicPr>
                      <a:picLocks noChangeAspect="1" noChangeArrowheads="1"/>
                    </pic:cNvPicPr>
                  </pic:nvPicPr>
                  <pic:blipFill>
                    <a:blip r:embed="rId49" cstate="print"/>
                    <a:srcRect/>
                    <a:stretch>
                      <a:fillRect/>
                    </a:stretch>
                  </pic:blipFill>
                  <pic:spPr>
                    <a:xfrm>
                      <a:off x="0" y="0"/>
                      <a:ext cx="5274310" cy="3441429"/>
                    </a:xfrm>
                    <a:prstGeom prst="rect">
                      <a:avLst/>
                    </a:prstGeom>
                    <a:noFill/>
                    <a:ln w="9525">
                      <a:noFill/>
                      <a:miter lim="800000"/>
                      <a:headEnd/>
                      <a:tailEnd/>
                    </a:ln>
                  </pic:spPr>
                </pic:pic>
              </a:graphicData>
            </a:graphic>
          </wp:inline>
        </w:drawing>
      </w:r>
    </w:p>
    <w:p>
      <w:pPr>
        <w:pStyle w:val="112"/>
        <w:ind w:firstLine="482"/>
        <w:jc w:val="center"/>
        <w:rPr>
          <w:b/>
        </w:rPr>
      </w:pPr>
      <w:r>
        <w:rPr>
          <w:rFonts w:hint="eastAsia"/>
          <w:b/>
        </w:rPr>
        <w:t>图1.8-2  项目与达州市环境管控单元位置关系图</w:t>
      </w:r>
    </w:p>
    <w:p>
      <w:pPr>
        <w:pStyle w:val="112"/>
        <w:ind w:firstLine="480"/>
      </w:pPr>
      <w:r>
        <w:rPr>
          <w:rFonts w:hint="eastAsia"/>
        </w:rPr>
        <w:t>本项目与达州市“三线一单”符合性分析见表1.8-5。</w:t>
      </w:r>
    </w:p>
    <w:p>
      <w:pPr>
        <w:pStyle w:val="37"/>
        <w:rPr>
          <w:rFonts w:cs="Times New Roman"/>
        </w:rPr>
      </w:pPr>
      <w:r>
        <w:rPr>
          <w:rFonts w:cs="Times New Roman"/>
        </w:rPr>
        <w:t>表1.8-</w:t>
      </w:r>
      <w:r>
        <w:rPr>
          <w:rFonts w:hint="eastAsia" w:cs="Times New Roman"/>
        </w:rPr>
        <w:t>5</w:t>
      </w:r>
      <w:r>
        <w:rPr>
          <w:rFonts w:cs="Times New Roman"/>
        </w:rPr>
        <w:t xml:space="preserve">  与</w:t>
      </w:r>
      <w:r>
        <w:rPr>
          <w:rFonts w:hint="eastAsia" w:cs="Times New Roman"/>
        </w:rPr>
        <w:t>达州市“三线一单”符合性</w:t>
      </w:r>
    </w:p>
    <w:tbl>
      <w:tblPr>
        <w:tblStyle w:val="57"/>
        <w:tblW w:w="87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66"/>
        <w:gridCol w:w="941"/>
        <w:gridCol w:w="992"/>
        <w:gridCol w:w="2693"/>
        <w:gridCol w:w="1418"/>
        <w:gridCol w:w="7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6592" w:type="dxa"/>
            <w:gridSpan w:val="4"/>
            <w:vAlign w:val="center"/>
          </w:tcPr>
          <w:p>
            <w:pPr>
              <w:pStyle w:val="37"/>
              <w:spacing w:line="240" w:lineRule="auto"/>
              <w:rPr>
                <w:rFonts w:cs="Times New Roman"/>
              </w:rPr>
            </w:pPr>
            <w:r>
              <w:rPr>
                <w:rFonts w:hint="eastAsia" w:cs="Times New Roman"/>
              </w:rPr>
              <w:t>“三线一单”具体要求</w:t>
            </w:r>
          </w:p>
        </w:tc>
        <w:tc>
          <w:tcPr>
            <w:tcW w:w="1418" w:type="dxa"/>
            <w:vMerge w:val="restart"/>
            <w:vAlign w:val="center"/>
          </w:tcPr>
          <w:p>
            <w:pPr>
              <w:pStyle w:val="37"/>
              <w:spacing w:line="240" w:lineRule="auto"/>
              <w:rPr>
                <w:rFonts w:cs="Times New Roman"/>
              </w:rPr>
            </w:pPr>
            <w:r>
              <w:rPr>
                <w:rFonts w:hint="eastAsia" w:cs="Times New Roman"/>
              </w:rPr>
              <w:t>本</w:t>
            </w:r>
            <w:r>
              <w:rPr>
                <w:rFonts w:cs="Times New Roman"/>
              </w:rPr>
              <w:t>项目情况</w:t>
            </w:r>
          </w:p>
        </w:tc>
        <w:tc>
          <w:tcPr>
            <w:tcW w:w="722" w:type="dxa"/>
            <w:vMerge w:val="restart"/>
            <w:vAlign w:val="center"/>
          </w:tcPr>
          <w:p>
            <w:pPr>
              <w:pStyle w:val="37"/>
              <w:spacing w:line="240" w:lineRule="auto"/>
              <w:rPr>
                <w:rFonts w:cs="Times New Roman"/>
              </w:rPr>
            </w:pPr>
            <w:r>
              <w:rPr>
                <w:rFonts w:cs="Times New Roma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3899" w:type="dxa"/>
            <w:gridSpan w:val="3"/>
            <w:vAlign w:val="center"/>
          </w:tcPr>
          <w:p>
            <w:pPr>
              <w:pStyle w:val="37"/>
              <w:spacing w:line="240" w:lineRule="auto"/>
              <w:rPr>
                <w:rFonts w:cs="Times New Roman"/>
              </w:rPr>
            </w:pPr>
            <w:r>
              <w:rPr>
                <w:rFonts w:hint="eastAsia" w:cs="Times New Roman"/>
              </w:rPr>
              <w:t>类别</w:t>
            </w:r>
          </w:p>
        </w:tc>
        <w:tc>
          <w:tcPr>
            <w:tcW w:w="2693" w:type="dxa"/>
            <w:vAlign w:val="center"/>
          </w:tcPr>
          <w:p>
            <w:pPr>
              <w:pStyle w:val="37"/>
              <w:spacing w:line="240" w:lineRule="auto"/>
              <w:rPr>
                <w:rFonts w:cs="Times New Roman"/>
              </w:rPr>
            </w:pPr>
            <w:r>
              <w:rPr>
                <w:rFonts w:hint="eastAsia" w:cs="Times New Roman"/>
              </w:rPr>
              <w:t>对应管控要求</w:t>
            </w:r>
          </w:p>
        </w:tc>
        <w:tc>
          <w:tcPr>
            <w:tcW w:w="1418" w:type="dxa"/>
            <w:vMerge w:val="continue"/>
            <w:vAlign w:val="center"/>
          </w:tcPr>
          <w:p>
            <w:pPr>
              <w:pStyle w:val="37"/>
              <w:spacing w:line="240" w:lineRule="auto"/>
              <w:rPr>
                <w:rFonts w:cs="Times New Roman"/>
              </w:rPr>
            </w:pPr>
          </w:p>
        </w:tc>
        <w:tc>
          <w:tcPr>
            <w:tcW w:w="722" w:type="dxa"/>
            <w:vMerge w:val="continue"/>
            <w:vAlign w:val="center"/>
          </w:tcPr>
          <w:p>
            <w:pPr>
              <w:pStyle w:val="37"/>
              <w:spacing w:line="240" w:lineRule="auto"/>
              <w:rPr>
                <w:rFonts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966" w:type="dxa"/>
            <w:vMerge w:val="restart"/>
            <w:vAlign w:val="center"/>
          </w:tcPr>
          <w:p>
            <w:pPr>
              <w:pStyle w:val="37"/>
              <w:spacing w:line="240" w:lineRule="auto"/>
              <w:rPr>
                <w:rFonts w:cs="Times New Roman"/>
                <w:b w:val="0"/>
                <w:bCs/>
              </w:rPr>
            </w:pPr>
            <w:r>
              <w:rPr>
                <w:rFonts w:cs="Times New Roman"/>
                <w:b w:val="0"/>
                <w:bCs/>
              </w:rPr>
              <w:t>宣汉县一般管控单元</w:t>
            </w:r>
            <w:r>
              <w:rPr>
                <w:rFonts w:hint="eastAsia" w:cs="Times New Roman"/>
                <w:b w:val="0"/>
                <w:bCs/>
              </w:rPr>
              <w:t>（</w:t>
            </w:r>
            <w:r>
              <w:rPr>
                <w:rFonts w:cs="Times New Roman"/>
                <w:b w:val="0"/>
                <w:bCs/>
              </w:rPr>
              <w:t>ZH51172230001</w:t>
            </w:r>
            <w:r>
              <w:rPr>
                <w:rFonts w:hint="eastAsia" w:cs="Times New Roman"/>
                <w:b w:val="0"/>
                <w:bCs/>
              </w:rPr>
              <w:t>）</w:t>
            </w:r>
          </w:p>
        </w:tc>
        <w:tc>
          <w:tcPr>
            <w:tcW w:w="941" w:type="dxa"/>
            <w:vMerge w:val="restart"/>
            <w:vAlign w:val="center"/>
          </w:tcPr>
          <w:p>
            <w:pPr>
              <w:pStyle w:val="37"/>
              <w:spacing w:line="240" w:lineRule="auto"/>
              <w:rPr>
                <w:rFonts w:cs="Times New Roman"/>
                <w:b w:val="0"/>
                <w:bCs/>
              </w:rPr>
            </w:pPr>
            <w:r>
              <w:rPr>
                <w:rFonts w:hint="eastAsia" w:cs="Times New Roman"/>
                <w:b w:val="0"/>
                <w:bCs/>
              </w:rPr>
              <w:t>普适性清单管控要求</w:t>
            </w:r>
          </w:p>
        </w:tc>
        <w:tc>
          <w:tcPr>
            <w:tcW w:w="992" w:type="dxa"/>
            <w:vMerge w:val="restart"/>
            <w:vAlign w:val="center"/>
          </w:tcPr>
          <w:p>
            <w:pPr>
              <w:pStyle w:val="37"/>
              <w:spacing w:line="240" w:lineRule="auto"/>
              <w:rPr>
                <w:rFonts w:cs="Times New Roman"/>
                <w:b w:val="0"/>
                <w:bCs/>
              </w:rPr>
            </w:pPr>
            <w:r>
              <w:rPr>
                <w:rFonts w:cs="Times New Roman"/>
                <w:b w:val="0"/>
                <w:bCs/>
              </w:rPr>
              <w:t>空间布局约束</w:t>
            </w:r>
          </w:p>
        </w:tc>
        <w:tc>
          <w:tcPr>
            <w:tcW w:w="2693" w:type="dxa"/>
            <w:vAlign w:val="center"/>
          </w:tcPr>
          <w:p>
            <w:pPr>
              <w:pStyle w:val="37"/>
              <w:spacing w:line="240" w:lineRule="auto"/>
              <w:rPr>
                <w:rFonts w:cs="Times New Roman"/>
                <w:b w:val="0"/>
                <w:bCs/>
              </w:rPr>
            </w:pPr>
            <w:r>
              <w:rPr>
                <w:rFonts w:cs="Times New Roman"/>
                <w:b w:val="0"/>
                <w:bCs/>
              </w:rPr>
              <w:t>禁止开发建设活动的要求</w:t>
            </w:r>
            <w:r>
              <w:rPr>
                <w:rFonts w:hint="eastAsia" w:cs="Times New Roman"/>
                <w:b w:val="0"/>
                <w:bCs/>
              </w:rPr>
              <w:t>：</w:t>
            </w:r>
          </w:p>
          <w:p>
            <w:pPr>
              <w:pStyle w:val="37"/>
              <w:spacing w:line="240" w:lineRule="auto"/>
              <w:rPr>
                <w:rFonts w:cs="Times New Roman"/>
                <w:b w:val="0"/>
                <w:bCs/>
              </w:rPr>
            </w:pPr>
            <w:r>
              <w:rPr>
                <w:rFonts w:hint="eastAsia" w:cs="Times New Roman"/>
                <w:b w:val="0"/>
                <w:bCs/>
              </w:rPr>
              <w:t>-禁止在长江干支流1公里范围内新建、扩建化工园区和化工项目。</w:t>
            </w:r>
          </w:p>
          <w:p>
            <w:pPr>
              <w:pStyle w:val="37"/>
              <w:spacing w:line="240" w:lineRule="auto"/>
              <w:rPr>
                <w:rFonts w:cs="Times New Roman"/>
                <w:b w:val="0"/>
                <w:bCs/>
              </w:rPr>
            </w:pPr>
            <w:r>
              <w:rPr>
                <w:rFonts w:hint="eastAsia" w:cs="Times New Roman"/>
                <w:b w:val="0"/>
                <w:bCs/>
              </w:rPr>
              <w:t>-禁止在法律法规规定的禁采区内新建矿山；禁止土法采、选、冶严重污染环境的矿产资源。</w:t>
            </w:r>
          </w:p>
          <w:p>
            <w:pPr>
              <w:pStyle w:val="37"/>
              <w:spacing w:line="240" w:lineRule="auto"/>
              <w:rPr>
                <w:rFonts w:cs="Times New Roman"/>
                <w:b w:val="0"/>
                <w:bCs/>
              </w:rPr>
            </w:pPr>
            <w:r>
              <w:rPr>
                <w:rFonts w:hint="eastAsia" w:cs="Times New Roman"/>
                <w:b w:val="0"/>
                <w:bCs/>
              </w:rPr>
              <w:t>-涉及永久基本农田的区域，除法律规定的重点建设项目选址确实无法避让外，其他任何建设不得占用。</w:t>
            </w:r>
          </w:p>
          <w:p>
            <w:pPr>
              <w:pStyle w:val="37"/>
              <w:spacing w:line="240" w:lineRule="auto"/>
              <w:rPr>
                <w:rFonts w:cs="Times New Roman"/>
                <w:b w:val="0"/>
                <w:bCs/>
              </w:rPr>
            </w:pPr>
            <w:r>
              <w:rPr>
                <w:rFonts w:hint="eastAsia" w:cs="Times New Roman"/>
                <w:b w:val="0"/>
                <w:bCs/>
              </w:rPr>
              <w:t>-禁止在长江流域河湖管理范围内倾倒、填埋、堆放、弃置、处理固体废物。</w:t>
            </w:r>
          </w:p>
        </w:tc>
        <w:tc>
          <w:tcPr>
            <w:tcW w:w="1418" w:type="dxa"/>
            <w:vAlign w:val="center"/>
          </w:tcPr>
          <w:p>
            <w:pPr>
              <w:pStyle w:val="37"/>
              <w:spacing w:line="240" w:lineRule="auto"/>
              <w:rPr>
                <w:rFonts w:cs="Times New Roman"/>
                <w:b w:val="0"/>
                <w:bCs/>
              </w:rPr>
            </w:pPr>
            <w:r>
              <w:rPr>
                <w:rFonts w:cs="Times New Roman"/>
                <w:b w:val="0"/>
                <w:bCs/>
              </w:rPr>
              <w:t>本项目位于</w:t>
            </w:r>
            <w:r>
              <w:rPr>
                <w:rFonts w:hint="eastAsia" w:cs="Times New Roman"/>
                <w:b w:val="0"/>
                <w:bCs/>
              </w:rPr>
              <w:t>宣汉县黄金镇境内</w:t>
            </w:r>
            <w:r>
              <w:rPr>
                <w:rFonts w:cs="Times New Roman"/>
                <w:b w:val="0"/>
                <w:bCs/>
              </w:rPr>
              <w:t>，</w:t>
            </w:r>
            <w:r>
              <w:rPr>
                <w:rFonts w:hint="eastAsia" w:cs="Times New Roman"/>
                <w:b w:val="0"/>
                <w:bCs/>
                <w:color w:val="FF0000"/>
              </w:rPr>
              <w:t>项目管线临时占地涉及永久基本农田，建设单位将依法办理相关用地手续，新增临时占地施工结束后进行复垦。</w:t>
            </w:r>
          </w:p>
        </w:tc>
        <w:tc>
          <w:tcPr>
            <w:tcW w:w="722" w:type="dxa"/>
            <w:vAlign w:val="center"/>
          </w:tcPr>
          <w:p>
            <w:pPr>
              <w:pStyle w:val="37"/>
              <w:spacing w:line="240" w:lineRule="auto"/>
              <w:rPr>
                <w:rFonts w:cs="Times New Roman"/>
                <w:b w:val="0"/>
                <w:bCs/>
              </w:rPr>
            </w:pPr>
            <w:r>
              <w:rPr>
                <w:rFonts w:cs="Times New Roman"/>
                <w:b w:val="0"/>
                <w:bC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966" w:type="dxa"/>
            <w:vMerge w:val="continue"/>
            <w:vAlign w:val="center"/>
          </w:tcPr>
          <w:p>
            <w:pPr>
              <w:pStyle w:val="37"/>
              <w:spacing w:line="240" w:lineRule="auto"/>
              <w:rPr>
                <w:rFonts w:cs="Times New Roman"/>
                <w:b w:val="0"/>
                <w:bCs/>
              </w:rPr>
            </w:pPr>
          </w:p>
        </w:tc>
        <w:tc>
          <w:tcPr>
            <w:tcW w:w="941" w:type="dxa"/>
            <w:vMerge w:val="continue"/>
            <w:vAlign w:val="center"/>
          </w:tcPr>
          <w:p>
            <w:pPr>
              <w:pStyle w:val="37"/>
              <w:spacing w:line="240" w:lineRule="auto"/>
              <w:rPr>
                <w:rFonts w:cs="Times New Roman"/>
                <w:b w:val="0"/>
                <w:bCs/>
              </w:rPr>
            </w:pPr>
          </w:p>
        </w:tc>
        <w:tc>
          <w:tcPr>
            <w:tcW w:w="992" w:type="dxa"/>
            <w:vMerge w:val="continue"/>
            <w:vAlign w:val="center"/>
          </w:tcPr>
          <w:p>
            <w:pPr>
              <w:pStyle w:val="37"/>
              <w:spacing w:line="240" w:lineRule="auto"/>
              <w:rPr>
                <w:rFonts w:cs="Times New Roman"/>
                <w:b w:val="0"/>
                <w:bCs/>
              </w:rPr>
            </w:pPr>
          </w:p>
        </w:tc>
        <w:tc>
          <w:tcPr>
            <w:tcW w:w="2693" w:type="dxa"/>
            <w:vAlign w:val="center"/>
          </w:tcPr>
          <w:p>
            <w:pPr>
              <w:pStyle w:val="37"/>
              <w:spacing w:line="240" w:lineRule="auto"/>
              <w:rPr>
                <w:rFonts w:cs="Times New Roman"/>
                <w:b w:val="0"/>
                <w:bCs/>
              </w:rPr>
            </w:pPr>
            <w:r>
              <w:rPr>
                <w:rFonts w:cs="Times New Roman"/>
                <w:b w:val="0"/>
                <w:bCs/>
              </w:rPr>
              <w:t>限制开发建设活动的要求</w:t>
            </w:r>
            <w:r>
              <w:rPr>
                <w:rFonts w:hint="eastAsia" w:cs="Times New Roman"/>
                <w:b w:val="0"/>
                <w:bCs/>
              </w:rPr>
              <w:t>：-按照相关要求严控水泥新增产能。</w:t>
            </w:r>
          </w:p>
          <w:p>
            <w:pPr>
              <w:pStyle w:val="37"/>
              <w:spacing w:line="240" w:lineRule="auto"/>
              <w:rPr>
                <w:rFonts w:cs="Times New Roman"/>
                <w:b w:val="0"/>
                <w:bCs/>
              </w:rPr>
            </w:pPr>
            <w:r>
              <w:rPr>
                <w:rFonts w:hint="eastAsia" w:cs="Times New Roman"/>
                <w:b w:val="0"/>
                <w:bCs/>
              </w:rPr>
              <w:t>-涉及法定保护地，严格按照国家及地方法律法规、管理办法等相关要求进行控制。配套旅游、基础设施等建设项目，在符合规划和相关保护要求的前提下，应实施生态避让、减缓影响及生态恢复措施。</w:t>
            </w:r>
          </w:p>
          <w:p>
            <w:pPr>
              <w:pStyle w:val="37"/>
              <w:spacing w:line="240" w:lineRule="auto"/>
              <w:rPr>
                <w:rFonts w:cs="Times New Roman"/>
                <w:b w:val="0"/>
                <w:bCs/>
              </w:rPr>
            </w:pPr>
            <w:r>
              <w:rPr>
                <w:rFonts w:hint="eastAsia" w:cs="Times New Roman"/>
                <w:b w:val="0"/>
                <w:bCs/>
              </w:rPr>
              <w:t>-按照相关要求严控水泥新增产能。</w:t>
            </w:r>
          </w:p>
          <w:p>
            <w:pPr>
              <w:pStyle w:val="37"/>
              <w:spacing w:line="240" w:lineRule="auto"/>
              <w:rPr>
                <w:rFonts w:cs="Times New Roman"/>
                <w:b w:val="0"/>
                <w:bCs/>
              </w:rPr>
            </w:pPr>
            <w:r>
              <w:rPr>
                <w:rFonts w:hint="eastAsia" w:cs="Times New Roman"/>
                <w:b w:val="0"/>
                <w:bCs/>
              </w:rPr>
              <w:t>-禁止在长江干流岸线三公里范围内和重要支流岸线一公里范围内新建、改建、扩建尾矿库；但是以提升安全、生态环境保护水平为目的的改建除外。</w:t>
            </w:r>
          </w:p>
          <w:p>
            <w:pPr>
              <w:pStyle w:val="37"/>
              <w:spacing w:line="240" w:lineRule="auto"/>
              <w:rPr>
                <w:rFonts w:cs="Times New Roman"/>
                <w:b w:val="0"/>
                <w:bCs/>
              </w:rPr>
            </w:pPr>
            <w:r>
              <w:rPr>
                <w:rFonts w:hint="eastAsia" w:cs="Times New Roman"/>
                <w:b w:val="0"/>
                <w:bCs/>
              </w:rPr>
              <w:t>-单元内若新布局工业园区，应结合区域环境特点、三线成果、园区产业类别，充分论证选址的环境合理性。</w:t>
            </w:r>
          </w:p>
        </w:tc>
        <w:tc>
          <w:tcPr>
            <w:tcW w:w="1418" w:type="dxa"/>
            <w:vAlign w:val="center"/>
          </w:tcPr>
          <w:p>
            <w:pPr>
              <w:pStyle w:val="37"/>
              <w:spacing w:line="240" w:lineRule="auto"/>
              <w:rPr>
                <w:rFonts w:cs="Times New Roman"/>
                <w:b w:val="0"/>
                <w:bCs/>
              </w:rPr>
            </w:pPr>
            <w:r>
              <w:rPr>
                <w:rFonts w:cs="Times New Roman"/>
                <w:b w:val="0"/>
                <w:bCs/>
              </w:rPr>
              <w:t>项目属于天然气开采和内部集输工程</w:t>
            </w:r>
            <w:r>
              <w:rPr>
                <w:rFonts w:hint="eastAsia" w:cs="Times New Roman"/>
                <w:b w:val="0"/>
                <w:bCs/>
              </w:rPr>
              <w:t>，不属于</w:t>
            </w:r>
            <w:r>
              <w:rPr>
                <w:rFonts w:cs="Times New Roman"/>
                <w:b w:val="0"/>
                <w:bCs/>
              </w:rPr>
              <w:t>限制开发建设活动</w:t>
            </w:r>
            <w:r>
              <w:rPr>
                <w:rFonts w:hint="eastAsia" w:cs="Times New Roman"/>
                <w:b w:val="0"/>
                <w:bCs/>
              </w:rPr>
              <w:t>。</w:t>
            </w:r>
          </w:p>
        </w:tc>
        <w:tc>
          <w:tcPr>
            <w:tcW w:w="722" w:type="dxa"/>
            <w:vAlign w:val="center"/>
          </w:tcPr>
          <w:p>
            <w:pPr>
              <w:pStyle w:val="37"/>
              <w:spacing w:line="240" w:lineRule="auto"/>
              <w:rPr>
                <w:rFonts w:cs="Times New Roman"/>
                <w:b w:val="0"/>
                <w:bCs/>
              </w:rPr>
            </w:pPr>
            <w:r>
              <w:rPr>
                <w:rFonts w:cs="Times New Roman"/>
                <w:b w:val="0"/>
                <w:bC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966" w:type="dxa"/>
            <w:vMerge w:val="continue"/>
            <w:vAlign w:val="center"/>
          </w:tcPr>
          <w:p>
            <w:pPr>
              <w:pStyle w:val="37"/>
              <w:spacing w:line="240" w:lineRule="auto"/>
              <w:rPr>
                <w:rFonts w:cs="Times New Roman"/>
                <w:b w:val="0"/>
                <w:bCs/>
              </w:rPr>
            </w:pPr>
          </w:p>
        </w:tc>
        <w:tc>
          <w:tcPr>
            <w:tcW w:w="941" w:type="dxa"/>
            <w:vMerge w:val="continue"/>
            <w:vAlign w:val="center"/>
          </w:tcPr>
          <w:p>
            <w:pPr>
              <w:pStyle w:val="37"/>
              <w:spacing w:line="240" w:lineRule="auto"/>
              <w:rPr>
                <w:rFonts w:cs="Times New Roman"/>
                <w:b w:val="0"/>
                <w:bCs/>
              </w:rPr>
            </w:pPr>
          </w:p>
        </w:tc>
        <w:tc>
          <w:tcPr>
            <w:tcW w:w="992" w:type="dxa"/>
            <w:vMerge w:val="continue"/>
            <w:vAlign w:val="center"/>
          </w:tcPr>
          <w:p>
            <w:pPr>
              <w:pStyle w:val="37"/>
              <w:spacing w:line="240" w:lineRule="auto"/>
              <w:rPr>
                <w:rFonts w:cs="Times New Roman"/>
                <w:b w:val="0"/>
                <w:bCs/>
              </w:rPr>
            </w:pPr>
          </w:p>
        </w:tc>
        <w:tc>
          <w:tcPr>
            <w:tcW w:w="2693" w:type="dxa"/>
            <w:vAlign w:val="center"/>
          </w:tcPr>
          <w:p>
            <w:pPr>
              <w:pStyle w:val="37"/>
              <w:spacing w:line="240" w:lineRule="auto"/>
              <w:rPr>
                <w:rFonts w:cs="Times New Roman"/>
                <w:b w:val="0"/>
                <w:bCs/>
              </w:rPr>
            </w:pPr>
            <w:r>
              <w:rPr>
                <w:rFonts w:cs="Times New Roman"/>
                <w:b w:val="0"/>
                <w:bCs/>
              </w:rPr>
              <w:t>不符合空间布局要求活动的退出要求</w:t>
            </w:r>
            <w:r>
              <w:rPr>
                <w:rFonts w:hint="eastAsia" w:cs="Times New Roman"/>
                <w:b w:val="0"/>
                <w:bCs/>
              </w:rPr>
              <w:t>：-针对现有水泥企业，强化污染治理和污染物减排，依法依规整治或搬迁。</w:t>
            </w:r>
          </w:p>
          <w:p>
            <w:pPr>
              <w:pStyle w:val="37"/>
              <w:spacing w:line="240" w:lineRule="auto"/>
              <w:rPr>
                <w:rFonts w:cs="Times New Roman"/>
                <w:b w:val="0"/>
                <w:bCs/>
              </w:rPr>
            </w:pPr>
            <w:r>
              <w:rPr>
                <w:rFonts w:hint="eastAsia" w:cs="Times New Roman"/>
                <w:b w:val="0"/>
                <w:bCs/>
              </w:rPr>
              <w:t>-全面取缔禁养区内规模化畜禽养殖场。</w:t>
            </w:r>
          </w:p>
          <w:p>
            <w:pPr>
              <w:pStyle w:val="37"/>
              <w:spacing w:line="240" w:lineRule="auto"/>
              <w:rPr>
                <w:rFonts w:cs="Times New Roman"/>
                <w:b w:val="0"/>
                <w:bCs/>
              </w:rPr>
            </w:pPr>
            <w:r>
              <w:rPr>
                <w:rFonts w:hint="eastAsia" w:cs="Times New Roman"/>
                <w:b w:val="0"/>
                <w:bCs/>
              </w:rPr>
              <w:t>-2025年基本完成全域内“散乱污”企业整治工作。</w:t>
            </w:r>
          </w:p>
        </w:tc>
        <w:tc>
          <w:tcPr>
            <w:tcW w:w="1418" w:type="dxa"/>
            <w:vAlign w:val="center"/>
          </w:tcPr>
          <w:p>
            <w:pPr>
              <w:pStyle w:val="37"/>
              <w:spacing w:line="240" w:lineRule="auto"/>
              <w:rPr>
                <w:rFonts w:cs="Times New Roman"/>
                <w:b w:val="0"/>
                <w:bCs/>
              </w:rPr>
            </w:pPr>
            <w:r>
              <w:rPr>
                <w:rFonts w:cs="Times New Roman"/>
                <w:b w:val="0"/>
                <w:bCs/>
              </w:rPr>
              <w:t>项目属于天然气开采和内部集输工程</w:t>
            </w:r>
            <w:r>
              <w:rPr>
                <w:rFonts w:hint="eastAsia" w:cs="Times New Roman"/>
                <w:b w:val="0"/>
                <w:bCs/>
              </w:rPr>
              <w:t>，不属于“散乱污”企业。</w:t>
            </w:r>
          </w:p>
        </w:tc>
        <w:tc>
          <w:tcPr>
            <w:tcW w:w="722" w:type="dxa"/>
            <w:vAlign w:val="center"/>
          </w:tcPr>
          <w:p>
            <w:pPr>
              <w:pStyle w:val="37"/>
              <w:spacing w:line="240" w:lineRule="auto"/>
              <w:rPr>
                <w:rFonts w:cs="Times New Roman"/>
                <w:b w:val="0"/>
                <w:bCs/>
              </w:rPr>
            </w:pPr>
            <w:r>
              <w:rPr>
                <w:rFonts w:cs="Times New Roman"/>
                <w:b w:val="0"/>
                <w:bC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3" w:hRule="atLeast"/>
          <w:jc w:val="center"/>
        </w:trPr>
        <w:tc>
          <w:tcPr>
            <w:tcW w:w="1966" w:type="dxa"/>
            <w:vMerge w:val="continue"/>
            <w:vAlign w:val="center"/>
          </w:tcPr>
          <w:p>
            <w:pPr>
              <w:pStyle w:val="37"/>
              <w:spacing w:line="240" w:lineRule="auto"/>
              <w:rPr>
                <w:rFonts w:cs="Times New Roman"/>
                <w:b w:val="0"/>
                <w:bCs/>
              </w:rPr>
            </w:pPr>
          </w:p>
        </w:tc>
        <w:tc>
          <w:tcPr>
            <w:tcW w:w="941" w:type="dxa"/>
            <w:vMerge w:val="continue"/>
            <w:vAlign w:val="center"/>
          </w:tcPr>
          <w:p>
            <w:pPr>
              <w:pStyle w:val="37"/>
              <w:spacing w:line="240" w:lineRule="auto"/>
              <w:rPr>
                <w:rFonts w:cs="Times New Roman"/>
                <w:b w:val="0"/>
                <w:bCs/>
              </w:rPr>
            </w:pPr>
          </w:p>
        </w:tc>
        <w:tc>
          <w:tcPr>
            <w:tcW w:w="992" w:type="dxa"/>
            <w:vMerge w:val="restart"/>
            <w:vAlign w:val="center"/>
          </w:tcPr>
          <w:p>
            <w:pPr>
              <w:pStyle w:val="37"/>
              <w:spacing w:line="240" w:lineRule="auto"/>
              <w:rPr>
                <w:rFonts w:cs="Times New Roman"/>
                <w:b w:val="0"/>
                <w:bCs/>
              </w:rPr>
            </w:pPr>
            <w:r>
              <w:rPr>
                <w:rFonts w:cs="Times New Roman"/>
                <w:b w:val="0"/>
                <w:bCs/>
              </w:rPr>
              <w:t>污染物排放管控</w:t>
            </w:r>
          </w:p>
        </w:tc>
        <w:tc>
          <w:tcPr>
            <w:tcW w:w="2693" w:type="dxa"/>
            <w:vAlign w:val="center"/>
          </w:tcPr>
          <w:p>
            <w:pPr>
              <w:pStyle w:val="37"/>
              <w:spacing w:line="240" w:lineRule="auto"/>
              <w:rPr>
                <w:rFonts w:cs="Times New Roman"/>
                <w:b w:val="0"/>
                <w:bCs/>
              </w:rPr>
            </w:pPr>
            <w:r>
              <w:rPr>
                <w:rFonts w:cs="Times New Roman"/>
                <w:b w:val="0"/>
                <w:bCs/>
              </w:rPr>
              <w:t>现有源提标升级改造</w:t>
            </w:r>
            <w:r>
              <w:rPr>
                <w:rFonts w:hint="eastAsia" w:cs="Times New Roman"/>
                <w:b w:val="0"/>
                <w:bCs/>
              </w:rPr>
              <w:t>：</w:t>
            </w:r>
          </w:p>
          <w:p>
            <w:pPr>
              <w:pStyle w:val="37"/>
              <w:spacing w:line="240" w:lineRule="auto"/>
              <w:rPr>
                <w:rFonts w:cs="Times New Roman"/>
                <w:b w:val="0"/>
                <w:bCs/>
              </w:rPr>
            </w:pPr>
            <w:r>
              <w:rPr>
                <w:rFonts w:hint="eastAsia" w:cs="Times New Roman"/>
                <w:b w:val="0"/>
                <w:bCs/>
              </w:rPr>
              <w:t>-加快现有乡镇污水处理设施升级改造，按要求达《城镇污水处理厂污染物排放标准》一级A标后排放。</w:t>
            </w:r>
          </w:p>
          <w:p>
            <w:pPr>
              <w:pStyle w:val="37"/>
              <w:spacing w:line="240" w:lineRule="auto"/>
              <w:rPr>
                <w:rFonts w:cs="Times New Roman"/>
                <w:b w:val="0"/>
                <w:bCs/>
              </w:rPr>
            </w:pPr>
            <w:r>
              <w:rPr>
                <w:rFonts w:hint="eastAsia" w:cs="Times New Roman"/>
                <w:b w:val="0"/>
                <w:bCs/>
              </w:rPr>
              <w:t>-在矿产资源开发活动集中区域，废水执行重金属污染物排放特别限值。</w:t>
            </w:r>
          </w:p>
          <w:p>
            <w:pPr>
              <w:pStyle w:val="37"/>
              <w:spacing w:line="240" w:lineRule="auto"/>
              <w:rPr>
                <w:rFonts w:cs="Times New Roman"/>
                <w:b w:val="0"/>
                <w:bCs/>
              </w:rPr>
            </w:pPr>
            <w:r>
              <w:rPr>
                <w:rFonts w:hint="eastAsia" w:cs="Times New Roman"/>
                <w:b w:val="0"/>
                <w:bCs/>
              </w:rPr>
              <w:t>-火电、水泥等行业按相关要求推进大气污染物超低排放和深度治理。</w:t>
            </w:r>
          </w:p>
          <w:p>
            <w:pPr>
              <w:pStyle w:val="37"/>
              <w:spacing w:line="240" w:lineRule="auto"/>
              <w:rPr>
                <w:rFonts w:cs="Times New Roman"/>
                <w:b w:val="0"/>
                <w:bCs/>
              </w:rPr>
            </w:pPr>
            <w:r>
              <w:rPr>
                <w:rFonts w:hint="eastAsia" w:cs="Times New Roman"/>
                <w:b w:val="0"/>
                <w:bCs/>
              </w:rPr>
              <w:t>-砖瓦行业实施脱硫、除尘升级改造，污染物排放达到《砖瓦工业大气污染物排放标准》相关要求。</w:t>
            </w:r>
          </w:p>
        </w:tc>
        <w:tc>
          <w:tcPr>
            <w:tcW w:w="1418" w:type="dxa"/>
            <w:vAlign w:val="center"/>
          </w:tcPr>
          <w:p>
            <w:pPr>
              <w:pStyle w:val="37"/>
              <w:spacing w:line="240" w:lineRule="auto"/>
              <w:rPr>
                <w:rFonts w:cs="Times New Roman"/>
                <w:b w:val="0"/>
                <w:bCs/>
              </w:rPr>
            </w:pPr>
            <w:r>
              <w:rPr>
                <w:rFonts w:cs="Times New Roman"/>
                <w:b w:val="0"/>
                <w:bCs/>
              </w:rPr>
              <w:t>项目属于天然气开采和内部集输工程</w:t>
            </w:r>
            <w:r>
              <w:rPr>
                <w:rFonts w:hint="eastAsia" w:cs="Times New Roman"/>
                <w:b w:val="0"/>
                <w:bCs/>
              </w:rPr>
              <w:t>，不属于火电、水泥、砖瓦等行业。</w:t>
            </w:r>
          </w:p>
        </w:tc>
        <w:tc>
          <w:tcPr>
            <w:tcW w:w="722" w:type="dxa"/>
            <w:vAlign w:val="center"/>
          </w:tcPr>
          <w:p>
            <w:pPr>
              <w:pStyle w:val="37"/>
              <w:spacing w:line="240" w:lineRule="auto"/>
              <w:rPr>
                <w:rFonts w:cs="Times New Roman"/>
                <w:b w:val="0"/>
                <w:bCs/>
              </w:rPr>
            </w:pPr>
            <w:r>
              <w:rPr>
                <w:rFonts w:cs="Times New Roman"/>
                <w:b w:val="0"/>
                <w:bC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3" w:hRule="atLeast"/>
          <w:jc w:val="center"/>
        </w:trPr>
        <w:tc>
          <w:tcPr>
            <w:tcW w:w="1966" w:type="dxa"/>
            <w:vMerge w:val="continue"/>
            <w:vAlign w:val="center"/>
          </w:tcPr>
          <w:p>
            <w:pPr>
              <w:pStyle w:val="37"/>
              <w:spacing w:line="240" w:lineRule="auto"/>
              <w:rPr>
                <w:rFonts w:cs="Times New Roman"/>
                <w:b w:val="0"/>
                <w:bCs/>
              </w:rPr>
            </w:pPr>
          </w:p>
        </w:tc>
        <w:tc>
          <w:tcPr>
            <w:tcW w:w="941" w:type="dxa"/>
            <w:vMerge w:val="continue"/>
            <w:vAlign w:val="center"/>
          </w:tcPr>
          <w:p>
            <w:pPr>
              <w:pStyle w:val="37"/>
              <w:spacing w:line="240" w:lineRule="auto"/>
              <w:rPr>
                <w:rFonts w:cs="Times New Roman"/>
                <w:b w:val="0"/>
                <w:bCs/>
              </w:rPr>
            </w:pPr>
          </w:p>
        </w:tc>
        <w:tc>
          <w:tcPr>
            <w:tcW w:w="992" w:type="dxa"/>
            <w:vMerge w:val="continue"/>
            <w:vAlign w:val="center"/>
          </w:tcPr>
          <w:p>
            <w:pPr>
              <w:pStyle w:val="37"/>
              <w:spacing w:line="240" w:lineRule="auto"/>
              <w:rPr>
                <w:rFonts w:cs="Times New Roman"/>
                <w:b w:val="0"/>
                <w:bCs/>
              </w:rPr>
            </w:pPr>
          </w:p>
        </w:tc>
        <w:tc>
          <w:tcPr>
            <w:tcW w:w="2693" w:type="dxa"/>
            <w:vAlign w:val="center"/>
          </w:tcPr>
          <w:p>
            <w:pPr>
              <w:pStyle w:val="37"/>
              <w:spacing w:line="240" w:lineRule="auto"/>
              <w:rPr>
                <w:rFonts w:cs="Times New Roman"/>
                <w:b w:val="0"/>
                <w:bCs/>
              </w:rPr>
            </w:pPr>
            <w:r>
              <w:rPr>
                <w:rFonts w:cs="Times New Roman"/>
                <w:b w:val="0"/>
                <w:bCs/>
              </w:rPr>
              <w:t>新增源等量或倍量替代</w:t>
            </w:r>
            <w:r>
              <w:rPr>
                <w:rFonts w:hint="eastAsia" w:cs="Times New Roman"/>
                <w:b w:val="0"/>
                <w:bCs/>
              </w:rPr>
              <w:t>：</w:t>
            </w:r>
          </w:p>
          <w:p>
            <w:pPr>
              <w:spacing w:line="240" w:lineRule="auto"/>
              <w:ind w:firstLine="420"/>
              <w:rPr>
                <w:sz w:val="21"/>
                <w:szCs w:val="21"/>
              </w:rPr>
            </w:pPr>
            <w:r>
              <w:rPr>
                <w:sz w:val="21"/>
                <w:szCs w:val="21"/>
              </w:rPr>
              <w:t>-上一年度水环境质量未完成目标的，新建排放水污染的建设项目按照总量管控要求进行倍量削减替代。</w:t>
            </w:r>
          </w:p>
          <w:p>
            <w:pPr>
              <w:spacing w:line="240" w:lineRule="auto"/>
              <w:ind w:firstLine="420"/>
              <w:rPr>
                <w:sz w:val="21"/>
                <w:szCs w:val="21"/>
              </w:rPr>
            </w:pPr>
            <w:r>
              <w:rPr>
                <w:sz w:val="21"/>
                <w:szCs w:val="21"/>
              </w:rPr>
              <w:t>-上一年度空气质量年平均浓度不达标的城市，建设项目新增相关污染物按照总量管控要求进行倍量削减替代。</w:t>
            </w:r>
          </w:p>
          <w:p>
            <w:pPr>
              <w:spacing w:line="240" w:lineRule="auto"/>
              <w:ind w:firstLine="420"/>
            </w:pPr>
            <w:r>
              <w:rPr>
                <w:sz w:val="21"/>
                <w:szCs w:val="21"/>
              </w:rPr>
              <w:t>-大气环境重点管控区内，新增大气污染物排放的建设项目实施总量削减替代。</w:t>
            </w:r>
          </w:p>
        </w:tc>
        <w:tc>
          <w:tcPr>
            <w:tcW w:w="1418" w:type="dxa"/>
            <w:vAlign w:val="center"/>
          </w:tcPr>
          <w:p>
            <w:pPr>
              <w:pStyle w:val="37"/>
              <w:spacing w:line="240" w:lineRule="auto"/>
              <w:rPr>
                <w:rFonts w:cs="Times New Roman"/>
                <w:b w:val="0"/>
                <w:bCs/>
              </w:rPr>
            </w:pPr>
            <w:r>
              <w:rPr>
                <w:rFonts w:cs="Times New Roman"/>
                <w:b w:val="0"/>
                <w:bCs/>
              </w:rPr>
              <w:t>项目属于</w:t>
            </w:r>
            <w:r>
              <w:rPr>
                <w:rFonts w:hint="eastAsia" w:cs="Times New Roman"/>
                <w:b w:val="0"/>
                <w:bCs/>
              </w:rPr>
              <w:t>大气环境一般管控区内。</w:t>
            </w:r>
          </w:p>
        </w:tc>
        <w:tc>
          <w:tcPr>
            <w:tcW w:w="722" w:type="dxa"/>
            <w:vAlign w:val="center"/>
          </w:tcPr>
          <w:p>
            <w:pPr>
              <w:pStyle w:val="37"/>
              <w:spacing w:line="240" w:lineRule="auto"/>
              <w:rPr>
                <w:rFonts w:cs="Times New Roman"/>
                <w:b w:val="0"/>
                <w:bCs/>
              </w:rPr>
            </w:pPr>
            <w:r>
              <w:rPr>
                <w:rFonts w:cs="Times New Roman"/>
                <w:b w:val="0"/>
                <w:bC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966" w:type="dxa"/>
            <w:vMerge w:val="continue"/>
            <w:vAlign w:val="center"/>
          </w:tcPr>
          <w:p>
            <w:pPr>
              <w:pStyle w:val="37"/>
              <w:spacing w:line="240" w:lineRule="auto"/>
              <w:rPr>
                <w:rFonts w:cs="Times New Roman"/>
                <w:b w:val="0"/>
                <w:bCs/>
              </w:rPr>
            </w:pPr>
          </w:p>
        </w:tc>
        <w:tc>
          <w:tcPr>
            <w:tcW w:w="941" w:type="dxa"/>
            <w:vMerge w:val="continue"/>
            <w:vAlign w:val="center"/>
          </w:tcPr>
          <w:p>
            <w:pPr>
              <w:pStyle w:val="37"/>
              <w:spacing w:line="240" w:lineRule="auto"/>
              <w:rPr>
                <w:rFonts w:cs="Times New Roman"/>
                <w:b w:val="0"/>
                <w:bCs/>
              </w:rPr>
            </w:pPr>
          </w:p>
        </w:tc>
        <w:tc>
          <w:tcPr>
            <w:tcW w:w="992" w:type="dxa"/>
            <w:vAlign w:val="center"/>
          </w:tcPr>
          <w:p>
            <w:pPr>
              <w:pStyle w:val="37"/>
              <w:spacing w:line="240" w:lineRule="auto"/>
              <w:rPr>
                <w:rFonts w:cs="Times New Roman"/>
                <w:b w:val="0"/>
                <w:bCs/>
              </w:rPr>
            </w:pPr>
            <w:r>
              <w:rPr>
                <w:rFonts w:cs="Times New Roman"/>
                <w:b w:val="0"/>
                <w:bCs/>
              </w:rPr>
              <w:t>环境风险</w:t>
            </w:r>
            <w:r>
              <w:rPr>
                <w:rFonts w:hint="eastAsia" w:cs="Times New Roman"/>
                <w:b w:val="0"/>
                <w:bCs/>
              </w:rPr>
              <w:t>防控</w:t>
            </w:r>
          </w:p>
        </w:tc>
        <w:tc>
          <w:tcPr>
            <w:tcW w:w="2693" w:type="dxa"/>
            <w:vAlign w:val="center"/>
          </w:tcPr>
          <w:p>
            <w:pPr>
              <w:pStyle w:val="37"/>
              <w:spacing w:line="240" w:lineRule="auto"/>
              <w:rPr>
                <w:rFonts w:cs="Times New Roman"/>
                <w:b w:val="0"/>
                <w:bCs/>
              </w:rPr>
            </w:pPr>
            <w:r>
              <w:rPr>
                <w:rFonts w:hint="eastAsia" w:cs="Times New Roman"/>
                <w:b w:val="0"/>
                <w:bCs/>
              </w:rPr>
              <w:t>-工业企业退出用地，须经评估、修复满足相应用地功能后，方可改变用途。</w:t>
            </w:r>
          </w:p>
          <w:p>
            <w:pPr>
              <w:pStyle w:val="37"/>
              <w:spacing w:line="240" w:lineRule="auto"/>
              <w:rPr>
                <w:rFonts w:cs="Times New Roman"/>
                <w:b w:val="0"/>
                <w:bCs/>
              </w:rPr>
            </w:pPr>
            <w:r>
              <w:rPr>
                <w:rFonts w:hint="eastAsia" w:cs="Times New Roman"/>
                <w:b w:val="0"/>
                <w:bCs/>
              </w:rPr>
              <w:t>-加强“散乱污”企业环境风险防控。</w:t>
            </w:r>
          </w:p>
          <w:p>
            <w:pPr>
              <w:pStyle w:val="37"/>
              <w:spacing w:line="240" w:lineRule="auto"/>
              <w:rPr>
                <w:rFonts w:cs="Times New Roman"/>
                <w:b w:val="0"/>
                <w:bCs/>
                <w:szCs w:val="21"/>
              </w:rPr>
            </w:pPr>
            <w:r>
              <w:rPr>
                <w:rFonts w:hint="eastAsia" w:cs="Times New Roman"/>
                <w:b w:val="0"/>
                <w:bCs/>
              </w:rPr>
              <w:t>-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w:t>
            </w:r>
            <w:r>
              <w:rPr>
                <w:rFonts w:hint="eastAsia" w:cs="Times New Roman"/>
                <w:b w:val="0"/>
                <w:bCs/>
                <w:szCs w:val="21"/>
              </w:rPr>
              <w:t>环境状况调查评估。</w:t>
            </w:r>
          </w:p>
          <w:p>
            <w:pPr>
              <w:spacing w:line="240" w:lineRule="auto"/>
              <w:ind w:firstLine="420"/>
              <w:rPr>
                <w:sz w:val="21"/>
                <w:szCs w:val="21"/>
              </w:rPr>
            </w:pPr>
            <w:r>
              <w:rPr>
                <w:rFonts w:hint="eastAsia"/>
                <w:sz w:val="21"/>
                <w:szCs w:val="21"/>
              </w:rPr>
              <w:t>-严禁将城镇生活垃圾、污泥、工业废物直接用作肥料，禁止处理不达标的污泥进入耕地；禁止在农用地排放、倾倒、使用污泥、清淤底泥、尾矿（渣）等可能对土壤造成污染的固体废物。</w:t>
            </w:r>
          </w:p>
          <w:p>
            <w:pPr>
              <w:spacing w:line="240" w:lineRule="auto"/>
              <w:ind w:firstLine="420"/>
              <w:rPr>
                <w:sz w:val="21"/>
                <w:szCs w:val="21"/>
              </w:rPr>
            </w:pPr>
            <w:r>
              <w:rPr>
                <w:rFonts w:hint="eastAsia"/>
                <w:sz w:val="21"/>
                <w:szCs w:val="21"/>
              </w:rPr>
              <w:t>-定期对单元内尾矿库进行风险巡查，建立监测系统和环境风险应急预案；完善各尾矿库渗滤液收集、处理、回用系统，杜绝事故排放；尾矿库闭矿后因地制宜进行植被恢复和综合利用。</w:t>
            </w:r>
          </w:p>
          <w:p>
            <w:pPr>
              <w:spacing w:line="240" w:lineRule="auto"/>
              <w:ind w:firstLine="420"/>
              <w:rPr>
                <w:sz w:val="21"/>
                <w:szCs w:val="21"/>
              </w:rPr>
            </w:pPr>
            <w:r>
              <w:rPr>
                <w:rFonts w:hint="eastAsia"/>
                <w:sz w:val="21"/>
                <w:szCs w:val="21"/>
              </w:rPr>
              <w:t>-规范排土场、渣场等整治。</w:t>
            </w:r>
          </w:p>
          <w:p>
            <w:pPr>
              <w:spacing w:line="240" w:lineRule="auto"/>
              <w:ind w:firstLine="420"/>
              <w:rPr>
                <w:rFonts w:ascii="Times New Roman" w:cs="Times New Roman"/>
                <w:sz w:val="21"/>
                <w:szCs w:val="21"/>
              </w:rPr>
            </w:pPr>
            <w:r>
              <w:rPr>
                <w:rFonts w:hint="eastAsia"/>
                <w:sz w:val="21"/>
                <w:szCs w:val="21"/>
              </w:rPr>
              <w:t>-禁止处理不达标的污泥</w:t>
            </w:r>
            <w:r>
              <w:rPr>
                <w:rFonts w:ascii="Times New Roman" w:cs="Times New Roman"/>
                <w:sz w:val="21"/>
                <w:szCs w:val="21"/>
              </w:rPr>
              <w:t>进入耕地。</w:t>
            </w:r>
          </w:p>
          <w:p>
            <w:pPr>
              <w:spacing w:line="240" w:lineRule="auto"/>
              <w:ind w:firstLine="420"/>
              <w:rPr>
                <w:rFonts w:ascii="Times New Roman" w:cs="Times New Roman"/>
                <w:sz w:val="21"/>
                <w:szCs w:val="21"/>
              </w:rPr>
            </w:pPr>
            <w:r>
              <w:rPr>
                <w:rFonts w:ascii="Times New Roman" w:cs="Times New Roman"/>
                <w:sz w:val="21"/>
                <w:szCs w:val="21"/>
              </w:rPr>
              <w:t>-严格控制林地、草地、园地的农药使用量，禁止使用高毒、高残留农药。</w:t>
            </w:r>
          </w:p>
          <w:p>
            <w:pPr>
              <w:spacing w:line="240" w:lineRule="auto"/>
              <w:ind w:firstLine="420"/>
            </w:pPr>
            <w:r>
              <w:rPr>
                <w:rFonts w:ascii="Times New Roman" w:cs="Times New Roman"/>
                <w:sz w:val="21"/>
                <w:szCs w:val="21"/>
              </w:rPr>
              <w:t>-到2030年，全市受污染耕地安全利用率达到95%以上，污染地块安全利用率达到95%以上。</w:t>
            </w:r>
          </w:p>
        </w:tc>
        <w:tc>
          <w:tcPr>
            <w:tcW w:w="1418" w:type="dxa"/>
            <w:vAlign w:val="center"/>
          </w:tcPr>
          <w:p>
            <w:pPr>
              <w:pStyle w:val="37"/>
              <w:spacing w:line="240" w:lineRule="auto"/>
              <w:rPr>
                <w:rFonts w:cs="Times New Roman"/>
                <w:b w:val="0"/>
                <w:bCs/>
              </w:rPr>
            </w:pPr>
            <w:r>
              <w:rPr>
                <w:rFonts w:cs="Times New Roman"/>
                <w:b w:val="0"/>
                <w:bCs/>
              </w:rPr>
              <w:t>项目属于天然气开采和内部集输工程</w:t>
            </w:r>
            <w:r>
              <w:rPr>
                <w:rFonts w:hint="eastAsia" w:cs="Times New Roman"/>
                <w:b w:val="0"/>
                <w:bCs/>
              </w:rPr>
              <w:t>，不属于“散乱污”企业。</w:t>
            </w:r>
          </w:p>
        </w:tc>
        <w:tc>
          <w:tcPr>
            <w:tcW w:w="722" w:type="dxa"/>
            <w:vAlign w:val="center"/>
          </w:tcPr>
          <w:p>
            <w:pPr>
              <w:pStyle w:val="37"/>
              <w:spacing w:line="240" w:lineRule="auto"/>
              <w:rPr>
                <w:rFonts w:cs="Times New Roman"/>
                <w:b w:val="0"/>
                <w:bCs/>
              </w:rPr>
            </w:pPr>
            <w:r>
              <w:rPr>
                <w:rFonts w:cs="Times New Roman"/>
                <w:b w:val="0"/>
                <w:bC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6" w:hRule="atLeast"/>
          <w:jc w:val="center"/>
        </w:trPr>
        <w:tc>
          <w:tcPr>
            <w:tcW w:w="1966" w:type="dxa"/>
            <w:vMerge w:val="continue"/>
            <w:vAlign w:val="center"/>
          </w:tcPr>
          <w:p>
            <w:pPr>
              <w:pStyle w:val="37"/>
              <w:spacing w:line="240" w:lineRule="auto"/>
              <w:rPr>
                <w:rFonts w:cs="Times New Roman"/>
                <w:b w:val="0"/>
                <w:bCs/>
              </w:rPr>
            </w:pPr>
          </w:p>
        </w:tc>
        <w:tc>
          <w:tcPr>
            <w:tcW w:w="941" w:type="dxa"/>
            <w:vMerge w:val="continue"/>
            <w:vAlign w:val="center"/>
          </w:tcPr>
          <w:p>
            <w:pPr>
              <w:pStyle w:val="37"/>
              <w:spacing w:line="240" w:lineRule="auto"/>
              <w:rPr>
                <w:rFonts w:cs="Times New Roman"/>
                <w:b w:val="0"/>
                <w:bCs/>
              </w:rPr>
            </w:pPr>
          </w:p>
        </w:tc>
        <w:tc>
          <w:tcPr>
            <w:tcW w:w="992" w:type="dxa"/>
            <w:vAlign w:val="center"/>
          </w:tcPr>
          <w:p>
            <w:pPr>
              <w:pStyle w:val="37"/>
              <w:spacing w:line="240" w:lineRule="auto"/>
              <w:rPr>
                <w:rFonts w:cs="Times New Roman"/>
                <w:b w:val="0"/>
                <w:bCs/>
              </w:rPr>
            </w:pPr>
            <w:r>
              <w:rPr>
                <w:rFonts w:cs="Times New Roman"/>
                <w:b w:val="0"/>
                <w:bCs/>
              </w:rPr>
              <w:t>资源开发利用效率</w:t>
            </w:r>
          </w:p>
        </w:tc>
        <w:tc>
          <w:tcPr>
            <w:tcW w:w="2693" w:type="dxa"/>
            <w:vAlign w:val="center"/>
          </w:tcPr>
          <w:p>
            <w:pPr>
              <w:pStyle w:val="37"/>
              <w:spacing w:line="240" w:lineRule="auto"/>
              <w:rPr>
                <w:rFonts w:cs="Times New Roman"/>
                <w:b w:val="0"/>
                <w:bCs/>
                <w:szCs w:val="21"/>
              </w:rPr>
            </w:pPr>
            <w:r>
              <w:rPr>
                <w:rFonts w:cs="Times New Roman"/>
                <w:bCs/>
              </w:rPr>
              <w:t>-</w:t>
            </w:r>
            <w:r>
              <w:rPr>
                <w:rFonts w:cs="Times New Roman"/>
                <w:b w:val="0"/>
                <w:bCs/>
                <w:szCs w:val="21"/>
              </w:rPr>
              <w:t>到2025年完成流域内大型灌区续建配套和节水改造任务，农田灌溉水有效利用系数提高到0.508以上。</w:t>
            </w:r>
          </w:p>
          <w:p>
            <w:pPr>
              <w:pStyle w:val="37"/>
              <w:spacing w:line="240" w:lineRule="auto"/>
              <w:rPr>
                <w:rFonts w:cs="Times New Roman"/>
                <w:b w:val="0"/>
                <w:bCs/>
                <w:szCs w:val="21"/>
              </w:rPr>
            </w:pPr>
            <w:r>
              <w:rPr>
                <w:rFonts w:cs="Times New Roman"/>
                <w:b w:val="0"/>
                <w:bCs/>
                <w:szCs w:val="21"/>
              </w:rPr>
              <w:t>-达州市2025年用水控制总量14.6亿m</w:t>
            </w:r>
            <w:r>
              <w:rPr>
                <w:rFonts w:cs="Times New Roman"/>
                <w:b w:val="0"/>
                <w:bCs/>
                <w:szCs w:val="21"/>
                <w:vertAlign w:val="superscript"/>
              </w:rPr>
              <w:t>3</w:t>
            </w:r>
            <w:r>
              <w:rPr>
                <w:rFonts w:cs="Times New Roman"/>
                <w:b w:val="0"/>
                <w:bCs/>
                <w:szCs w:val="21"/>
              </w:rPr>
              <w:t>（其中地下水开采控制量1.09m³），2035年用水控制总量为15.0亿m</w:t>
            </w:r>
            <w:r>
              <w:rPr>
                <w:rFonts w:cs="Times New Roman"/>
                <w:b w:val="0"/>
                <w:bCs/>
                <w:szCs w:val="21"/>
                <w:vertAlign w:val="superscript"/>
              </w:rPr>
              <w:t>3</w:t>
            </w:r>
            <w:r>
              <w:rPr>
                <w:rFonts w:cs="Times New Roman"/>
                <w:b w:val="0"/>
                <w:bCs/>
                <w:szCs w:val="21"/>
              </w:rPr>
              <w:t>（其中地下水开采控制量1.09m³）。</w:t>
            </w:r>
          </w:p>
          <w:p>
            <w:pPr>
              <w:spacing w:line="240" w:lineRule="auto"/>
              <w:ind w:firstLine="420"/>
              <w:rPr>
                <w:rFonts w:ascii="Times New Roman" w:cs="Times New Roman"/>
                <w:sz w:val="21"/>
                <w:szCs w:val="21"/>
              </w:rPr>
            </w:pPr>
            <w:r>
              <w:rPr>
                <w:rFonts w:ascii="Times New Roman" w:cs="Times New Roman"/>
                <w:sz w:val="21"/>
                <w:szCs w:val="21"/>
              </w:rPr>
              <w:t>-推进清洁能源的推广使用，全面推进散煤清洁化整治；禁止新建每小时10蒸吨以下的燃煤锅炉及其他燃煤设施。</w:t>
            </w:r>
          </w:p>
          <w:p>
            <w:pPr>
              <w:spacing w:line="240" w:lineRule="auto"/>
              <w:ind w:firstLine="420"/>
            </w:pPr>
            <w:r>
              <w:rPr>
                <w:rFonts w:ascii="Times New Roman" w:cs="Times New Roman"/>
                <w:sz w:val="21"/>
                <w:szCs w:val="21"/>
              </w:rPr>
              <w:t>-禁止焚烧秸秆和垃圾，到2025年底，秸秆综合利用率达到90%以上。</w:t>
            </w:r>
          </w:p>
        </w:tc>
        <w:tc>
          <w:tcPr>
            <w:tcW w:w="1418" w:type="dxa"/>
            <w:vAlign w:val="center"/>
          </w:tcPr>
          <w:p>
            <w:pPr>
              <w:pStyle w:val="37"/>
              <w:spacing w:line="240" w:lineRule="auto"/>
              <w:rPr>
                <w:rFonts w:cs="Times New Roman"/>
                <w:b w:val="0"/>
                <w:bCs/>
              </w:rPr>
            </w:pPr>
            <w:r>
              <w:rPr>
                <w:rFonts w:cs="Times New Roman"/>
                <w:b w:val="0"/>
                <w:bCs/>
              </w:rPr>
              <w:t>项目</w:t>
            </w:r>
            <w:r>
              <w:rPr>
                <w:rFonts w:hint="eastAsia" w:cs="Times New Roman"/>
                <w:b w:val="0"/>
                <w:bCs/>
              </w:rPr>
              <w:t>使用天然气，为清洁能源。</w:t>
            </w:r>
          </w:p>
        </w:tc>
        <w:tc>
          <w:tcPr>
            <w:tcW w:w="722" w:type="dxa"/>
            <w:vAlign w:val="center"/>
          </w:tcPr>
          <w:p>
            <w:pPr>
              <w:pStyle w:val="37"/>
              <w:spacing w:line="240" w:lineRule="auto"/>
              <w:rPr>
                <w:rFonts w:cs="Times New Roman"/>
                <w:b w:val="0"/>
                <w:bCs/>
              </w:rPr>
            </w:pPr>
            <w:r>
              <w:rPr>
                <w:rFonts w:cs="Times New Roman"/>
                <w:b w:val="0"/>
                <w:bC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1966" w:type="dxa"/>
            <w:vMerge w:val="continue"/>
            <w:vAlign w:val="center"/>
          </w:tcPr>
          <w:p>
            <w:pPr>
              <w:pStyle w:val="37"/>
              <w:spacing w:line="240" w:lineRule="auto"/>
              <w:rPr>
                <w:rFonts w:cs="Times New Roman"/>
                <w:b w:val="0"/>
                <w:bCs/>
              </w:rPr>
            </w:pPr>
          </w:p>
        </w:tc>
        <w:tc>
          <w:tcPr>
            <w:tcW w:w="941" w:type="dxa"/>
            <w:vMerge w:val="restart"/>
            <w:vAlign w:val="center"/>
          </w:tcPr>
          <w:p>
            <w:pPr>
              <w:pStyle w:val="37"/>
              <w:spacing w:line="240" w:lineRule="auto"/>
              <w:rPr>
                <w:rFonts w:cs="Times New Roman"/>
                <w:b w:val="0"/>
                <w:bCs/>
              </w:rPr>
            </w:pPr>
            <w:r>
              <w:rPr>
                <w:rFonts w:hint="eastAsia" w:cs="Times New Roman"/>
                <w:b w:val="0"/>
                <w:bCs/>
              </w:rPr>
              <w:t>单元级清单管控要求</w:t>
            </w:r>
          </w:p>
        </w:tc>
        <w:tc>
          <w:tcPr>
            <w:tcW w:w="992" w:type="dxa"/>
            <w:vAlign w:val="center"/>
          </w:tcPr>
          <w:p>
            <w:pPr>
              <w:pStyle w:val="37"/>
              <w:spacing w:line="240" w:lineRule="auto"/>
              <w:rPr>
                <w:rFonts w:cs="Times New Roman"/>
                <w:b w:val="0"/>
                <w:bCs/>
              </w:rPr>
            </w:pPr>
            <w:r>
              <w:rPr>
                <w:rFonts w:cs="Times New Roman"/>
                <w:b w:val="0"/>
                <w:bCs/>
              </w:rPr>
              <w:t>空间布局约束</w:t>
            </w:r>
          </w:p>
        </w:tc>
        <w:tc>
          <w:tcPr>
            <w:tcW w:w="2693" w:type="dxa"/>
            <w:vAlign w:val="center"/>
          </w:tcPr>
          <w:p>
            <w:pPr>
              <w:pStyle w:val="37"/>
              <w:spacing w:line="240" w:lineRule="auto"/>
              <w:rPr>
                <w:rFonts w:cs="Times New Roman"/>
                <w:b w:val="0"/>
                <w:bCs/>
              </w:rPr>
            </w:pPr>
            <w:r>
              <w:rPr>
                <w:rFonts w:cs="Times New Roman"/>
                <w:b w:val="0"/>
                <w:bCs/>
              </w:rPr>
              <w:t>限制开发建设活动的要求：</w:t>
            </w:r>
          </w:p>
          <w:p>
            <w:pPr>
              <w:pStyle w:val="37"/>
              <w:spacing w:line="240" w:lineRule="auto"/>
              <w:rPr>
                <w:rFonts w:cs="Times New Roman"/>
                <w:b w:val="0"/>
                <w:bCs/>
              </w:rPr>
            </w:pPr>
            <w:r>
              <w:rPr>
                <w:rFonts w:cs="Times New Roman"/>
                <w:b w:val="0"/>
                <w:bCs/>
              </w:rPr>
              <w:t>-对四川省主体功能区划中的农产品主产区，应限制进行大规模高强度工业化城镇化开发，严格控制有色金属冶炼、石油加工、化工、焦化、电镀、制革等产能，原则上不增加产能。</w:t>
            </w:r>
          </w:p>
          <w:p>
            <w:pPr>
              <w:pStyle w:val="37"/>
              <w:spacing w:line="240" w:lineRule="auto"/>
              <w:rPr>
                <w:rFonts w:cs="Times New Roman"/>
                <w:b w:val="0"/>
                <w:bCs/>
              </w:rPr>
            </w:pPr>
            <w:r>
              <w:rPr>
                <w:rFonts w:hint="eastAsia" w:cs="Times New Roman"/>
                <w:b w:val="0"/>
                <w:bCs/>
              </w:rPr>
              <w:t>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pPr>
              <w:pStyle w:val="37"/>
              <w:spacing w:line="240" w:lineRule="auto"/>
              <w:rPr>
                <w:rFonts w:cs="Times New Roman"/>
                <w:bCs/>
              </w:rPr>
            </w:pPr>
            <w:r>
              <w:rPr>
                <w:rFonts w:cs="Times New Roman"/>
                <w:b w:val="0"/>
                <w:bCs/>
              </w:rPr>
              <w:t>-其他</w:t>
            </w:r>
            <w:r>
              <w:rPr>
                <w:rFonts w:hint="eastAsia" w:cs="Times New Roman"/>
                <w:b w:val="0"/>
                <w:bCs/>
              </w:rPr>
              <w:t>-其他参照达州市一般管控单元总体准入要求。</w:t>
            </w:r>
          </w:p>
        </w:tc>
        <w:tc>
          <w:tcPr>
            <w:tcW w:w="1418" w:type="dxa"/>
            <w:vAlign w:val="center"/>
          </w:tcPr>
          <w:p>
            <w:pPr>
              <w:pStyle w:val="37"/>
              <w:spacing w:line="240" w:lineRule="auto"/>
              <w:rPr>
                <w:rFonts w:cs="Times New Roman"/>
                <w:b w:val="0"/>
                <w:bCs/>
              </w:rPr>
            </w:pPr>
            <w:r>
              <w:rPr>
                <w:rFonts w:cs="Times New Roman"/>
                <w:b w:val="0"/>
                <w:bCs/>
              </w:rPr>
              <w:t>项目属于天然气开采和内部集输工程</w:t>
            </w:r>
            <w:r>
              <w:rPr>
                <w:rFonts w:hint="eastAsia" w:cs="Times New Roman"/>
                <w:b w:val="0"/>
                <w:bCs/>
              </w:rPr>
              <w:t>，不属于</w:t>
            </w:r>
            <w:r>
              <w:rPr>
                <w:rFonts w:cs="Times New Roman"/>
                <w:b w:val="0"/>
                <w:bCs/>
              </w:rPr>
              <w:t>限制开发建设活动</w:t>
            </w:r>
            <w:r>
              <w:rPr>
                <w:rFonts w:hint="eastAsia" w:cs="Times New Roman"/>
                <w:b w:val="0"/>
                <w:bCs/>
              </w:rPr>
              <w:t>。</w:t>
            </w:r>
          </w:p>
        </w:tc>
        <w:tc>
          <w:tcPr>
            <w:tcW w:w="722" w:type="dxa"/>
            <w:vAlign w:val="center"/>
          </w:tcPr>
          <w:p>
            <w:pPr>
              <w:pStyle w:val="37"/>
              <w:spacing w:line="240" w:lineRule="auto"/>
              <w:rPr>
                <w:rFonts w:cs="Times New Roman"/>
                <w:b w:val="0"/>
                <w:bCs/>
              </w:rPr>
            </w:pPr>
            <w:r>
              <w:rPr>
                <w:rFonts w:cs="Times New Roman"/>
                <w:b w:val="0"/>
                <w:bC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4" w:hRule="atLeast"/>
          <w:jc w:val="center"/>
        </w:trPr>
        <w:tc>
          <w:tcPr>
            <w:tcW w:w="1966" w:type="dxa"/>
            <w:vMerge w:val="continue"/>
            <w:vAlign w:val="center"/>
          </w:tcPr>
          <w:p>
            <w:pPr>
              <w:pStyle w:val="37"/>
              <w:spacing w:line="240" w:lineRule="auto"/>
              <w:rPr>
                <w:rFonts w:cs="Times New Roman"/>
                <w:b w:val="0"/>
                <w:bCs/>
              </w:rPr>
            </w:pPr>
          </w:p>
        </w:tc>
        <w:tc>
          <w:tcPr>
            <w:tcW w:w="941" w:type="dxa"/>
            <w:vMerge w:val="continue"/>
            <w:vAlign w:val="center"/>
          </w:tcPr>
          <w:p>
            <w:pPr>
              <w:pStyle w:val="37"/>
              <w:spacing w:line="240" w:lineRule="auto"/>
              <w:rPr>
                <w:rFonts w:cs="Times New Roman"/>
                <w:b w:val="0"/>
                <w:bCs/>
              </w:rPr>
            </w:pPr>
          </w:p>
        </w:tc>
        <w:tc>
          <w:tcPr>
            <w:tcW w:w="992" w:type="dxa"/>
            <w:vAlign w:val="center"/>
          </w:tcPr>
          <w:p>
            <w:pPr>
              <w:pStyle w:val="37"/>
              <w:spacing w:line="240" w:lineRule="auto"/>
              <w:rPr>
                <w:rFonts w:cs="Times New Roman"/>
                <w:b w:val="0"/>
                <w:bCs/>
              </w:rPr>
            </w:pPr>
            <w:r>
              <w:rPr>
                <w:rFonts w:cs="Times New Roman"/>
                <w:b w:val="0"/>
                <w:bCs/>
              </w:rPr>
              <w:t>污染物排放管控</w:t>
            </w:r>
          </w:p>
        </w:tc>
        <w:tc>
          <w:tcPr>
            <w:tcW w:w="2693" w:type="dxa"/>
            <w:vAlign w:val="center"/>
          </w:tcPr>
          <w:p>
            <w:pPr>
              <w:pStyle w:val="37"/>
              <w:spacing w:line="240" w:lineRule="auto"/>
              <w:rPr>
                <w:rFonts w:cs="Times New Roman"/>
                <w:b w:val="0"/>
                <w:bCs/>
              </w:rPr>
            </w:pPr>
            <w:r>
              <w:rPr>
                <w:rFonts w:cs="Times New Roman"/>
                <w:b w:val="0"/>
                <w:bCs/>
              </w:rPr>
              <w:t>污染物排放绩效水平准入要求：</w:t>
            </w:r>
          </w:p>
          <w:p>
            <w:pPr>
              <w:pStyle w:val="37"/>
              <w:spacing w:line="240" w:lineRule="auto"/>
              <w:rPr>
                <w:rFonts w:cs="Times New Roman"/>
                <w:b w:val="0"/>
                <w:bCs/>
              </w:rPr>
            </w:pPr>
            <w:r>
              <w:rPr>
                <w:rFonts w:cs="Times New Roman"/>
                <w:b w:val="0"/>
                <w:bCs/>
              </w:rPr>
              <w:t>-大气环境布局敏感和弱扩散重点管控区内，现有大气污染重点企业，限期进行深度治理或关停并转。</w:t>
            </w:r>
          </w:p>
          <w:p>
            <w:pPr>
              <w:pStyle w:val="37"/>
              <w:spacing w:line="240" w:lineRule="auto"/>
              <w:rPr>
                <w:rFonts w:cs="Times New Roman"/>
                <w:bCs/>
              </w:rPr>
            </w:pPr>
            <w:r>
              <w:rPr>
                <w:rFonts w:hint="eastAsia" w:cs="Times New Roman"/>
                <w:b w:val="0"/>
                <w:bCs/>
              </w:rPr>
              <w:t>-其他参照达州市一般管控单元总体准入要求</w:t>
            </w:r>
            <w:r>
              <w:rPr>
                <w:rFonts w:cs="Times New Roman"/>
                <w:b w:val="0"/>
                <w:bCs/>
              </w:rPr>
              <w:t>。</w:t>
            </w:r>
          </w:p>
        </w:tc>
        <w:tc>
          <w:tcPr>
            <w:tcW w:w="1418" w:type="dxa"/>
            <w:vAlign w:val="center"/>
          </w:tcPr>
          <w:p>
            <w:pPr>
              <w:pStyle w:val="37"/>
              <w:spacing w:line="240" w:lineRule="auto"/>
              <w:rPr>
                <w:rFonts w:cs="Times New Roman"/>
                <w:b w:val="0"/>
                <w:bCs/>
              </w:rPr>
            </w:pPr>
            <w:r>
              <w:rPr>
                <w:rFonts w:cs="Times New Roman"/>
                <w:b w:val="0"/>
                <w:bCs/>
              </w:rPr>
              <w:t>项目属于天然气开采和内部集输工程</w:t>
            </w:r>
            <w:r>
              <w:rPr>
                <w:rFonts w:hint="eastAsia" w:cs="Times New Roman"/>
                <w:b w:val="0"/>
                <w:bCs/>
              </w:rPr>
              <w:t>，不属于</w:t>
            </w:r>
            <w:r>
              <w:rPr>
                <w:rFonts w:cs="Times New Roman"/>
                <w:b w:val="0"/>
                <w:bCs/>
              </w:rPr>
              <w:t>大气环境布局敏感和弱扩散重点管控区内</w:t>
            </w:r>
            <w:r>
              <w:rPr>
                <w:rFonts w:hint="eastAsia" w:cs="Times New Roman"/>
                <w:b w:val="0"/>
                <w:bCs/>
              </w:rPr>
              <w:t>，</w:t>
            </w:r>
            <w:r>
              <w:rPr>
                <w:rFonts w:cs="Times New Roman"/>
                <w:b w:val="0"/>
                <w:bCs/>
              </w:rPr>
              <w:t>废气污染物能够达标排放</w:t>
            </w:r>
            <w:r>
              <w:rPr>
                <w:rFonts w:hint="eastAsia" w:cs="Times New Roman"/>
                <w:b w:val="0"/>
                <w:bCs/>
              </w:rPr>
              <w:t>。</w:t>
            </w:r>
          </w:p>
        </w:tc>
        <w:tc>
          <w:tcPr>
            <w:tcW w:w="722" w:type="dxa"/>
            <w:vAlign w:val="center"/>
          </w:tcPr>
          <w:p>
            <w:pPr>
              <w:pStyle w:val="37"/>
              <w:spacing w:line="240" w:lineRule="auto"/>
              <w:rPr>
                <w:rFonts w:cs="Times New Roman"/>
                <w:b w:val="0"/>
                <w:bCs/>
              </w:rPr>
            </w:pPr>
            <w:r>
              <w:rPr>
                <w:rFonts w:cs="Times New Roman"/>
                <w:b w:val="0"/>
                <w:bC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966" w:type="dxa"/>
            <w:vMerge w:val="continue"/>
            <w:vAlign w:val="center"/>
          </w:tcPr>
          <w:p>
            <w:pPr>
              <w:pStyle w:val="37"/>
              <w:spacing w:line="240" w:lineRule="auto"/>
              <w:rPr>
                <w:rFonts w:cs="Times New Roman"/>
                <w:b w:val="0"/>
                <w:bCs/>
              </w:rPr>
            </w:pPr>
          </w:p>
        </w:tc>
        <w:tc>
          <w:tcPr>
            <w:tcW w:w="941" w:type="dxa"/>
            <w:vMerge w:val="continue"/>
            <w:vAlign w:val="center"/>
          </w:tcPr>
          <w:p>
            <w:pPr>
              <w:pStyle w:val="37"/>
              <w:spacing w:line="240" w:lineRule="auto"/>
              <w:rPr>
                <w:rFonts w:cs="Times New Roman"/>
                <w:b w:val="0"/>
                <w:bCs/>
              </w:rPr>
            </w:pPr>
          </w:p>
        </w:tc>
        <w:tc>
          <w:tcPr>
            <w:tcW w:w="992" w:type="dxa"/>
            <w:vAlign w:val="center"/>
          </w:tcPr>
          <w:p>
            <w:pPr>
              <w:pStyle w:val="37"/>
              <w:spacing w:line="240" w:lineRule="auto"/>
              <w:rPr>
                <w:rFonts w:cs="Times New Roman"/>
                <w:b w:val="0"/>
                <w:bCs/>
              </w:rPr>
            </w:pPr>
            <w:r>
              <w:rPr>
                <w:rFonts w:cs="Times New Roman"/>
                <w:b w:val="0"/>
                <w:bCs/>
              </w:rPr>
              <w:t>环境风险</w:t>
            </w:r>
            <w:r>
              <w:rPr>
                <w:rFonts w:hint="eastAsia" w:cs="Times New Roman"/>
                <w:b w:val="0"/>
                <w:bCs/>
              </w:rPr>
              <w:t>防控</w:t>
            </w:r>
          </w:p>
        </w:tc>
        <w:tc>
          <w:tcPr>
            <w:tcW w:w="2693" w:type="dxa"/>
            <w:vAlign w:val="center"/>
          </w:tcPr>
          <w:p>
            <w:pPr>
              <w:pStyle w:val="37"/>
              <w:spacing w:line="240" w:lineRule="auto"/>
              <w:rPr>
                <w:rFonts w:cs="Times New Roman"/>
                <w:bCs/>
              </w:rPr>
            </w:pPr>
            <w:r>
              <w:rPr>
                <w:rFonts w:hint="eastAsia" w:cs="Times New Roman"/>
                <w:bCs/>
              </w:rPr>
              <w:t>-</w:t>
            </w:r>
            <w:r>
              <w:rPr>
                <w:rFonts w:hint="eastAsia" w:cs="Times New Roman"/>
                <w:b w:val="0"/>
                <w:bCs/>
              </w:rPr>
              <w:t>其他参照达州市一般管控单元总体准入要求。</w:t>
            </w:r>
          </w:p>
        </w:tc>
        <w:tc>
          <w:tcPr>
            <w:tcW w:w="1418" w:type="dxa"/>
            <w:vAlign w:val="center"/>
          </w:tcPr>
          <w:p>
            <w:pPr>
              <w:pStyle w:val="37"/>
              <w:spacing w:line="240" w:lineRule="auto"/>
              <w:rPr>
                <w:rFonts w:cs="Times New Roman"/>
                <w:b w:val="0"/>
                <w:bCs/>
              </w:rPr>
            </w:pPr>
            <w:r>
              <w:rPr>
                <w:rFonts w:cs="Times New Roman"/>
                <w:b w:val="0"/>
                <w:bCs/>
              </w:rPr>
              <w:t>项目属于天然气开采和内部集输工程</w:t>
            </w:r>
            <w:r>
              <w:rPr>
                <w:rFonts w:hint="eastAsia" w:cs="Times New Roman"/>
                <w:b w:val="0"/>
                <w:bCs/>
              </w:rPr>
              <w:t>，不属于“散乱污”企业。</w:t>
            </w:r>
          </w:p>
        </w:tc>
        <w:tc>
          <w:tcPr>
            <w:tcW w:w="722" w:type="dxa"/>
            <w:vAlign w:val="center"/>
          </w:tcPr>
          <w:p>
            <w:pPr>
              <w:pStyle w:val="37"/>
              <w:spacing w:line="240" w:lineRule="auto"/>
              <w:rPr>
                <w:rFonts w:cs="Times New Roman"/>
                <w:b w:val="0"/>
                <w:bCs/>
              </w:rPr>
            </w:pPr>
            <w:r>
              <w:rPr>
                <w:rFonts w:cs="Times New Roman"/>
                <w:b w:val="0"/>
                <w:bC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1966" w:type="dxa"/>
            <w:vMerge w:val="continue"/>
            <w:vAlign w:val="center"/>
          </w:tcPr>
          <w:p>
            <w:pPr>
              <w:pStyle w:val="37"/>
              <w:spacing w:line="240" w:lineRule="auto"/>
              <w:rPr>
                <w:rFonts w:cs="Times New Roman"/>
                <w:b w:val="0"/>
                <w:bCs/>
              </w:rPr>
            </w:pPr>
          </w:p>
        </w:tc>
        <w:tc>
          <w:tcPr>
            <w:tcW w:w="941" w:type="dxa"/>
            <w:vMerge w:val="continue"/>
            <w:vAlign w:val="center"/>
          </w:tcPr>
          <w:p>
            <w:pPr>
              <w:pStyle w:val="37"/>
              <w:spacing w:line="240" w:lineRule="auto"/>
              <w:rPr>
                <w:rFonts w:cs="Times New Roman"/>
                <w:b w:val="0"/>
                <w:bCs/>
              </w:rPr>
            </w:pPr>
          </w:p>
        </w:tc>
        <w:tc>
          <w:tcPr>
            <w:tcW w:w="992" w:type="dxa"/>
            <w:vAlign w:val="center"/>
          </w:tcPr>
          <w:p>
            <w:pPr>
              <w:pStyle w:val="37"/>
              <w:spacing w:line="240" w:lineRule="auto"/>
              <w:rPr>
                <w:rFonts w:cs="Times New Roman"/>
                <w:b w:val="0"/>
                <w:bCs/>
              </w:rPr>
            </w:pPr>
            <w:r>
              <w:rPr>
                <w:rFonts w:cs="Times New Roman"/>
                <w:b w:val="0"/>
                <w:bCs/>
              </w:rPr>
              <w:t>资源开发利用效率</w:t>
            </w:r>
          </w:p>
        </w:tc>
        <w:tc>
          <w:tcPr>
            <w:tcW w:w="2693" w:type="dxa"/>
            <w:vAlign w:val="center"/>
          </w:tcPr>
          <w:p>
            <w:pPr>
              <w:pStyle w:val="37"/>
              <w:spacing w:line="240" w:lineRule="auto"/>
              <w:rPr>
                <w:rFonts w:cs="Times New Roman"/>
                <w:bCs/>
              </w:rPr>
            </w:pPr>
            <w:r>
              <w:rPr>
                <w:rFonts w:hint="eastAsia" w:cs="Times New Roman"/>
                <w:bCs/>
              </w:rPr>
              <w:t>-</w:t>
            </w:r>
            <w:r>
              <w:rPr>
                <w:rFonts w:hint="eastAsia" w:cs="Times New Roman"/>
                <w:b w:val="0"/>
                <w:bCs/>
              </w:rPr>
              <w:t>其他参照达州市一般管控单元总体准入要求。</w:t>
            </w:r>
          </w:p>
        </w:tc>
        <w:tc>
          <w:tcPr>
            <w:tcW w:w="1418" w:type="dxa"/>
            <w:vAlign w:val="center"/>
          </w:tcPr>
          <w:p>
            <w:pPr>
              <w:pStyle w:val="37"/>
              <w:spacing w:line="240" w:lineRule="auto"/>
              <w:rPr>
                <w:rFonts w:cs="Times New Roman"/>
                <w:b w:val="0"/>
                <w:bCs/>
              </w:rPr>
            </w:pPr>
            <w:r>
              <w:rPr>
                <w:rFonts w:cs="Times New Roman"/>
                <w:b w:val="0"/>
                <w:bCs/>
              </w:rPr>
              <w:t>项目</w:t>
            </w:r>
            <w:r>
              <w:rPr>
                <w:rFonts w:hint="eastAsia" w:cs="Times New Roman"/>
                <w:b w:val="0"/>
                <w:bCs/>
              </w:rPr>
              <w:t>使用天然气，为清洁能源。</w:t>
            </w:r>
          </w:p>
        </w:tc>
        <w:tc>
          <w:tcPr>
            <w:tcW w:w="722" w:type="dxa"/>
            <w:vAlign w:val="center"/>
          </w:tcPr>
          <w:p>
            <w:pPr>
              <w:pStyle w:val="37"/>
              <w:spacing w:line="240" w:lineRule="auto"/>
              <w:rPr>
                <w:rFonts w:cs="Times New Roman"/>
                <w:b w:val="0"/>
                <w:bCs/>
              </w:rPr>
            </w:pPr>
            <w:r>
              <w:rPr>
                <w:rFonts w:cs="Times New Roman"/>
                <w:b w:val="0"/>
                <w:bCs/>
              </w:rPr>
              <w:t>符合</w:t>
            </w:r>
          </w:p>
        </w:tc>
      </w:tr>
    </w:tbl>
    <w:p>
      <w:pPr>
        <w:pStyle w:val="112"/>
        <w:ind w:firstLine="482"/>
        <w:rPr>
          <w:b/>
          <w:bCs/>
        </w:rPr>
      </w:pPr>
      <w:r>
        <w:rPr>
          <w:b/>
          <w:bCs/>
        </w:rPr>
        <w:t>综上，本项目的建设满足区域“三线一单”的环境管理机制要求。</w:t>
      </w:r>
    </w:p>
    <w:p>
      <w:pPr>
        <w:keepNext/>
        <w:keepLines/>
        <w:ind w:firstLine="0" w:firstLineChars="0"/>
        <w:outlineLvl w:val="2"/>
        <w:rPr>
          <w:rFonts w:ascii="Times New Roman" w:cs="Times New Roman"/>
          <w:b/>
          <w:szCs w:val="32"/>
        </w:rPr>
      </w:pPr>
      <w:r>
        <w:rPr>
          <w:rFonts w:ascii="Times New Roman" w:cs="Times New Roman"/>
          <w:b/>
          <w:szCs w:val="32"/>
        </w:rPr>
        <w:t>1.8.1</w:t>
      </w:r>
      <w:r>
        <w:rPr>
          <w:rFonts w:hint="eastAsia" w:ascii="Times New Roman" w:cs="Times New Roman"/>
          <w:b/>
          <w:szCs w:val="32"/>
        </w:rPr>
        <w:t>2</w:t>
      </w:r>
      <w:r>
        <w:rPr>
          <w:rFonts w:ascii="Times New Roman" w:cs="Times New Roman"/>
          <w:b/>
          <w:szCs w:val="32"/>
        </w:rPr>
        <w:t xml:space="preserve"> 本项目与</w:t>
      </w:r>
      <w:r>
        <w:rPr>
          <w:rFonts w:hint="eastAsia" w:ascii="Times New Roman" w:cs="Times New Roman"/>
          <w:b/>
          <w:bCs/>
          <w:szCs w:val="32"/>
        </w:rPr>
        <w:t>《四川省页岩气开采业污染防治技术政策》</w:t>
      </w:r>
      <w:r>
        <w:rPr>
          <w:rFonts w:ascii="Times New Roman" w:cs="Times New Roman"/>
          <w:b/>
          <w:szCs w:val="32"/>
        </w:rPr>
        <w:t>符合性分析</w:t>
      </w:r>
    </w:p>
    <w:p>
      <w:pPr>
        <w:pStyle w:val="112"/>
        <w:ind w:firstLine="480"/>
      </w:pPr>
      <w:r>
        <w:t>项目与</w:t>
      </w:r>
      <w:r>
        <w:rPr>
          <w:rFonts w:hint="eastAsia"/>
          <w:bCs/>
        </w:rPr>
        <w:t>《四川省页岩气开采业污染防治技术政策》</w:t>
      </w:r>
      <w:r>
        <w:t>符合性如下：</w:t>
      </w:r>
    </w:p>
    <w:p>
      <w:pPr>
        <w:pStyle w:val="37"/>
        <w:rPr>
          <w:rFonts w:cs="Times New Roman"/>
        </w:rPr>
      </w:pPr>
      <w:r>
        <w:rPr>
          <w:rFonts w:cs="Times New Roman"/>
        </w:rPr>
        <w:t>表1.8-</w:t>
      </w:r>
      <w:r>
        <w:rPr>
          <w:rFonts w:hint="eastAsia" w:cs="Times New Roman"/>
        </w:rPr>
        <w:t>6</w:t>
      </w:r>
      <w:r>
        <w:rPr>
          <w:rFonts w:cs="Times New Roman"/>
        </w:rPr>
        <w:t xml:space="preserve">  与</w:t>
      </w:r>
      <w:r>
        <w:rPr>
          <w:rFonts w:hint="eastAsia" w:cs="Times New Roman"/>
          <w:bCs/>
        </w:rPr>
        <w:t>四川省页岩气开采业污染防治技术政策</w:t>
      </w:r>
      <w:r>
        <w:rPr>
          <w:rFonts w:cs="Times New Roman"/>
        </w:rPr>
        <w:t>符合性</w:t>
      </w:r>
    </w:p>
    <w:tbl>
      <w:tblPr>
        <w:tblStyle w:val="57"/>
        <w:tblW w:w="526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37"/>
        <w:gridCol w:w="5855"/>
        <w:gridCol w:w="1104"/>
        <w:gridCol w:w="7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3" w:hRule="atLeast"/>
          <w:tblHeader/>
          <w:jc w:val="center"/>
        </w:trPr>
        <w:tc>
          <w:tcPr>
            <w:tcW w:w="646" w:type="pct"/>
            <w:vAlign w:val="center"/>
          </w:tcPr>
          <w:p>
            <w:pPr>
              <w:spacing w:line="240" w:lineRule="auto"/>
              <w:ind w:firstLine="0" w:firstLineChars="0"/>
              <w:jc w:val="center"/>
              <w:rPr>
                <w:rFonts w:ascii="Times New Roman" w:cs="Times New Roman"/>
                <w:b/>
                <w:sz w:val="21"/>
                <w:szCs w:val="21"/>
              </w:rPr>
            </w:pPr>
            <w:r>
              <w:rPr>
                <w:rFonts w:hint="eastAsia" w:ascii="Times New Roman" w:cs="Times New Roman"/>
                <w:b/>
                <w:bCs/>
                <w:sz w:val="21"/>
                <w:szCs w:val="21"/>
              </w:rPr>
              <w:t>技术政策</w:t>
            </w:r>
          </w:p>
        </w:tc>
        <w:tc>
          <w:tcPr>
            <w:tcW w:w="3326" w:type="pct"/>
            <w:vAlign w:val="center"/>
          </w:tcPr>
          <w:p>
            <w:pPr>
              <w:spacing w:line="240" w:lineRule="auto"/>
              <w:ind w:firstLine="0" w:firstLineChars="0"/>
              <w:jc w:val="center"/>
              <w:rPr>
                <w:rFonts w:ascii="Times New Roman" w:cs="Times New Roman"/>
                <w:b/>
                <w:sz w:val="21"/>
                <w:szCs w:val="21"/>
              </w:rPr>
            </w:pPr>
            <w:r>
              <w:rPr>
                <w:rFonts w:ascii="Times New Roman" w:cs="Times New Roman"/>
                <w:b/>
                <w:sz w:val="21"/>
                <w:szCs w:val="21"/>
              </w:rPr>
              <w:t>相关要求</w:t>
            </w:r>
          </w:p>
        </w:tc>
        <w:tc>
          <w:tcPr>
            <w:tcW w:w="627" w:type="pct"/>
            <w:vAlign w:val="center"/>
          </w:tcPr>
          <w:p>
            <w:pPr>
              <w:spacing w:line="240" w:lineRule="auto"/>
              <w:ind w:firstLine="0" w:firstLineChars="0"/>
              <w:jc w:val="center"/>
              <w:rPr>
                <w:rFonts w:ascii="Times New Roman" w:cs="Times New Roman"/>
                <w:b/>
                <w:sz w:val="21"/>
                <w:szCs w:val="21"/>
              </w:rPr>
            </w:pPr>
            <w:r>
              <w:rPr>
                <w:rFonts w:ascii="Times New Roman" w:cs="Times New Roman"/>
                <w:b/>
                <w:sz w:val="21"/>
                <w:szCs w:val="21"/>
              </w:rPr>
              <w:t>本项目情况</w:t>
            </w:r>
          </w:p>
        </w:tc>
        <w:tc>
          <w:tcPr>
            <w:tcW w:w="401" w:type="pct"/>
            <w:vAlign w:val="center"/>
          </w:tcPr>
          <w:p>
            <w:pPr>
              <w:spacing w:line="240" w:lineRule="auto"/>
              <w:ind w:firstLine="0" w:firstLineChars="0"/>
              <w:jc w:val="center"/>
              <w:rPr>
                <w:rFonts w:ascii="Times New Roman" w:cs="Times New Roman"/>
                <w:b/>
                <w:sz w:val="21"/>
                <w:szCs w:val="21"/>
              </w:rPr>
            </w:pPr>
            <w:r>
              <w:rPr>
                <w:rFonts w:ascii="Times New Roman" w:cs="Times New Roman"/>
                <w:b/>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48" w:hRule="atLeast"/>
          <w:jc w:val="center"/>
        </w:trPr>
        <w:tc>
          <w:tcPr>
            <w:tcW w:w="646" w:type="pct"/>
            <w:vMerge w:val="restart"/>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w:t>
            </w:r>
            <w:r>
              <w:rPr>
                <w:rFonts w:hint="eastAsia" w:ascii="Times New Roman" w:cs="Times New Roman"/>
                <w:bCs/>
                <w:sz w:val="21"/>
                <w:szCs w:val="21"/>
              </w:rPr>
              <w:t>四川省页岩气开采业污染防治技术政策</w:t>
            </w:r>
            <w:r>
              <w:rPr>
                <w:rFonts w:ascii="Times New Roman" w:cs="Times New Roman"/>
                <w:sz w:val="21"/>
                <w:szCs w:val="21"/>
              </w:rPr>
              <w:t>》</w:t>
            </w:r>
          </w:p>
        </w:tc>
        <w:tc>
          <w:tcPr>
            <w:tcW w:w="3326" w:type="pct"/>
            <w:vAlign w:val="center"/>
          </w:tcPr>
          <w:p>
            <w:pPr>
              <w:ind w:firstLine="422"/>
              <w:jc w:val="center"/>
              <w:rPr>
                <w:rFonts w:ascii="Times New Roman" w:cs="Times New Roman"/>
                <w:b/>
                <w:bCs/>
                <w:sz w:val="21"/>
                <w:szCs w:val="21"/>
              </w:rPr>
            </w:pPr>
            <w:r>
              <w:rPr>
                <w:rFonts w:ascii="Times New Roman" w:cs="Times New Roman"/>
                <w:b/>
                <w:bCs/>
                <w:sz w:val="21"/>
                <w:szCs w:val="21"/>
              </w:rPr>
              <w:t>水污染防治</w:t>
            </w:r>
            <w:r>
              <w:rPr>
                <w:rFonts w:hint="eastAsia" w:ascii="Times New Roman" w:cs="Times New Roman"/>
                <w:b/>
                <w:bCs/>
                <w:sz w:val="21"/>
                <w:szCs w:val="21"/>
              </w:rPr>
              <w:t>：</w:t>
            </w:r>
          </w:p>
          <w:p>
            <w:pPr>
              <w:spacing w:line="240" w:lineRule="auto"/>
              <w:ind w:firstLine="0" w:firstLineChars="0"/>
              <w:jc w:val="center"/>
              <w:rPr>
                <w:sz w:val="21"/>
                <w:szCs w:val="21"/>
              </w:rPr>
            </w:pPr>
            <w:r>
              <w:rPr>
                <w:sz w:val="21"/>
                <w:szCs w:val="21"/>
              </w:rPr>
              <w:t>（一）页岩气开采项目应开展水资源环境论证，取用地表水应优先保证生态用水、生活用水和农业用水。</w:t>
            </w:r>
          </w:p>
          <w:p>
            <w:pPr>
              <w:spacing w:line="240" w:lineRule="auto"/>
              <w:ind w:firstLine="0" w:firstLineChars="0"/>
              <w:jc w:val="center"/>
              <w:rPr>
                <w:rFonts w:ascii="Times New Roman" w:cs="Times New Roman"/>
                <w:sz w:val="21"/>
                <w:szCs w:val="21"/>
              </w:rPr>
            </w:pPr>
            <w:r>
              <w:rPr>
                <w:rFonts w:ascii="Times New Roman" w:cs="Times New Roman"/>
                <w:sz w:val="21"/>
                <w:szCs w:val="21"/>
              </w:rPr>
              <w:t>（二）页岩气钻井应使用先进钻井技术，减少单井用水量；因地制宜，实施废水重复利用，提高水资源的重复利用率。</w:t>
            </w:r>
          </w:p>
          <w:p>
            <w:pPr>
              <w:spacing w:line="240" w:lineRule="auto"/>
              <w:ind w:firstLine="0" w:firstLineChars="0"/>
              <w:jc w:val="center"/>
              <w:rPr>
                <w:rFonts w:ascii="Times New Roman" w:cs="Times New Roman"/>
                <w:sz w:val="21"/>
                <w:szCs w:val="21"/>
              </w:rPr>
            </w:pPr>
            <w:r>
              <w:rPr>
                <w:rFonts w:ascii="Times New Roman" w:cs="Times New Roman"/>
                <w:sz w:val="21"/>
                <w:szCs w:val="21"/>
              </w:rPr>
              <w:t>（三）钻井废水和压裂返排液应优先进行回用，平台钻井废水回用率、平台或区域压裂返排液回用率均应达到85%以上。无法回用的，应采取就近处理原则，减缓废水转输过程中的环境风险。区域有集中处理条件的，可纳入集中式污水处理厂处理，并确保进厂废水水质满足污水处理厂进水水质要求；区域无集中处理条件的，在确保区域地表水环境质量及用水安全的前提下，可自行处理达相关标准后排放，其中，对氯化物的管理可以参照《农田灌溉水质标准》（GB5084-2005）中的有关规定。采取回注方式处理压裂返排液，应充分考虑其依托回注井的完整性，注入层的封闭性、隔离性、可注性，以及压裂返排液与注入层的相容性，确保环境安全。依托的回注井相关手续须齐全，运行监控管理制度须健全。</w:t>
            </w:r>
          </w:p>
          <w:p>
            <w:pPr>
              <w:spacing w:line="240" w:lineRule="auto"/>
              <w:ind w:firstLine="0" w:firstLineChars="0"/>
              <w:jc w:val="center"/>
              <w:rPr>
                <w:rFonts w:ascii="Times New Roman" w:cs="Times New Roman"/>
                <w:sz w:val="21"/>
                <w:szCs w:val="21"/>
              </w:rPr>
            </w:pPr>
            <w:r>
              <w:rPr>
                <w:rFonts w:ascii="Times New Roman" w:cs="Times New Roman"/>
                <w:sz w:val="21"/>
                <w:szCs w:val="21"/>
              </w:rPr>
              <w:t>（四）回注废水应按照相关标准规范和环境影响评价文件的要求，在回注井及周边设立地下水监测井，开展地下水监测，防止废水回注对地下水环境造成污染。</w:t>
            </w:r>
          </w:p>
          <w:p>
            <w:pPr>
              <w:spacing w:line="240" w:lineRule="auto"/>
              <w:ind w:firstLine="0" w:firstLineChars="0"/>
              <w:jc w:val="center"/>
              <w:rPr>
                <w:rFonts w:ascii="Times New Roman" w:cs="Times New Roman"/>
                <w:sz w:val="21"/>
                <w:szCs w:val="21"/>
              </w:rPr>
            </w:pPr>
            <w:r>
              <w:rPr>
                <w:rFonts w:ascii="Times New Roman" w:cs="Times New Roman"/>
                <w:sz w:val="21"/>
                <w:szCs w:val="21"/>
              </w:rPr>
              <w:t>（五）钻井废水、废弃钻井液、压裂返排液等废水或废液的收集、贮存、处理处置设施和场所应按照相关标准规范和环境影响评价文件的要求采取防渗措施，并定期开展跟踪监测。</w:t>
            </w:r>
          </w:p>
        </w:tc>
        <w:tc>
          <w:tcPr>
            <w:tcW w:w="627" w:type="pct"/>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项目使用先进钻井技术，实施废水重复利用</w:t>
            </w:r>
            <w:r>
              <w:rPr>
                <w:rFonts w:hint="eastAsia" w:ascii="Times New Roman" w:cs="Times New Roman"/>
                <w:sz w:val="21"/>
                <w:szCs w:val="21"/>
              </w:rPr>
              <w:t>，</w:t>
            </w:r>
            <w:r>
              <w:rPr>
                <w:rFonts w:ascii="Times New Roman" w:cs="Times New Roman"/>
                <w:sz w:val="21"/>
                <w:szCs w:val="21"/>
              </w:rPr>
              <w:t>平台钻井废水回用率、平台或区域压裂返排液回用率均达到了85%以上</w:t>
            </w:r>
            <w:r>
              <w:rPr>
                <w:rFonts w:hint="eastAsia" w:ascii="Times New Roman" w:cs="Times New Roman"/>
                <w:sz w:val="21"/>
                <w:szCs w:val="21"/>
              </w:rPr>
              <w:t>，</w:t>
            </w:r>
            <w:r>
              <w:rPr>
                <w:rFonts w:ascii="Times New Roman" w:cs="Times New Roman"/>
                <w:sz w:val="21"/>
                <w:szCs w:val="21"/>
              </w:rPr>
              <w:t>并采取回注方式处理压裂返排液</w:t>
            </w:r>
            <w:r>
              <w:rPr>
                <w:rFonts w:hint="eastAsia" w:ascii="Times New Roman" w:cs="Times New Roman"/>
                <w:sz w:val="21"/>
                <w:szCs w:val="21"/>
              </w:rPr>
              <w:t>，</w:t>
            </w:r>
            <w:r>
              <w:rPr>
                <w:rFonts w:ascii="Times New Roman" w:cs="Times New Roman"/>
                <w:sz w:val="21"/>
                <w:szCs w:val="21"/>
              </w:rPr>
              <w:t>项目设置了地下水监测井</w:t>
            </w:r>
          </w:p>
        </w:tc>
        <w:tc>
          <w:tcPr>
            <w:tcW w:w="401" w:type="pct"/>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9" w:hRule="atLeast"/>
          <w:jc w:val="center"/>
        </w:trPr>
        <w:tc>
          <w:tcPr>
            <w:tcW w:w="646" w:type="pct"/>
            <w:vMerge w:val="continue"/>
            <w:vAlign w:val="center"/>
          </w:tcPr>
          <w:p>
            <w:pPr>
              <w:spacing w:line="240" w:lineRule="auto"/>
              <w:ind w:firstLine="0" w:firstLineChars="0"/>
              <w:jc w:val="center"/>
              <w:rPr>
                <w:rFonts w:ascii="Times New Roman" w:cs="Times New Roman"/>
                <w:sz w:val="21"/>
                <w:szCs w:val="21"/>
              </w:rPr>
            </w:pPr>
          </w:p>
        </w:tc>
        <w:tc>
          <w:tcPr>
            <w:tcW w:w="3326" w:type="pct"/>
            <w:vAlign w:val="center"/>
          </w:tcPr>
          <w:p>
            <w:pPr>
              <w:spacing w:line="240" w:lineRule="auto"/>
              <w:ind w:firstLine="0" w:firstLineChars="0"/>
              <w:jc w:val="center"/>
              <w:rPr>
                <w:rFonts w:ascii="Times New Roman" w:cs="Times New Roman"/>
                <w:b/>
                <w:bCs/>
                <w:sz w:val="21"/>
                <w:szCs w:val="21"/>
              </w:rPr>
            </w:pPr>
            <w:r>
              <w:rPr>
                <w:rFonts w:ascii="Times New Roman" w:cs="Times New Roman"/>
                <w:b/>
                <w:bCs/>
                <w:sz w:val="21"/>
                <w:szCs w:val="21"/>
              </w:rPr>
              <w:t>固体废物处置及综合利用</w:t>
            </w:r>
            <w:r>
              <w:rPr>
                <w:rFonts w:hint="eastAsia" w:ascii="Times New Roman" w:cs="Times New Roman"/>
                <w:b/>
                <w:bCs/>
                <w:sz w:val="21"/>
                <w:szCs w:val="21"/>
              </w:rPr>
              <w:t>：</w:t>
            </w:r>
          </w:p>
          <w:p>
            <w:pPr>
              <w:spacing w:line="240" w:lineRule="auto"/>
              <w:ind w:firstLine="0" w:firstLineChars="0"/>
              <w:jc w:val="center"/>
              <w:rPr>
                <w:rFonts w:ascii="Times New Roman" w:cs="Times New Roman"/>
                <w:sz w:val="21"/>
                <w:szCs w:val="21"/>
              </w:rPr>
            </w:pPr>
            <w:r>
              <w:rPr>
                <w:rFonts w:ascii="Times New Roman" w:cs="Times New Roman"/>
                <w:sz w:val="21"/>
                <w:szCs w:val="21"/>
              </w:rPr>
              <w:t>（一）页岩气开采产生的固体废物应实行全过程管理，并按照“减量化、资源化、无害化”的原则，减少固体废物的产生量，并对其进行资源化利用和无害化处理处置。</w:t>
            </w:r>
          </w:p>
          <w:p>
            <w:pPr>
              <w:spacing w:line="240" w:lineRule="auto"/>
              <w:ind w:firstLine="0" w:firstLineChars="0"/>
              <w:jc w:val="center"/>
              <w:rPr>
                <w:rFonts w:ascii="Times New Roman" w:cs="Times New Roman"/>
                <w:sz w:val="21"/>
                <w:szCs w:val="21"/>
              </w:rPr>
            </w:pPr>
            <w:r>
              <w:rPr>
                <w:rFonts w:ascii="Times New Roman" w:cs="Times New Roman"/>
                <w:sz w:val="21"/>
                <w:szCs w:val="21"/>
              </w:rPr>
              <w:t>（二）页岩气开采产生的固体废物可采用集中或撬装化的处理方式，并按相关要求办理环保手续。集中处理设施的数量、服务半径、处理能力等应根据区域开发建设情况合理规划布局。</w:t>
            </w:r>
          </w:p>
          <w:p>
            <w:pPr>
              <w:spacing w:line="240" w:lineRule="auto"/>
              <w:ind w:firstLine="0" w:firstLineChars="0"/>
              <w:jc w:val="center"/>
              <w:rPr>
                <w:rFonts w:ascii="Times New Roman" w:cs="Times New Roman"/>
                <w:sz w:val="21"/>
                <w:szCs w:val="21"/>
              </w:rPr>
            </w:pPr>
            <w:r>
              <w:rPr>
                <w:rFonts w:ascii="Times New Roman" w:cs="Times New Roman"/>
                <w:sz w:val="21"/>
                <w:szCs w:val="21"/>
              </w:rPr>
              <w:t>（三）气体钻井、水基钻井液钻井、油基钻井液钻井等钻井作业应全程采用岩屑不落地工艺对钻井岩屑进行分类收集、储存和转运。</w:t>
            </w:r>
          </w:p>
          <w:p>
            <w:pPr>
              <w:spacing w:line="240" w:lineRule="auto"/>
              <w:ind w:firstLine="0" w:firstLineChars="0"/>
              <w:jc w:val="center"/>
              <w:rPr>
                <w:rFonts w:ascii="Times New Roman" w:cs="Times New Roman"/>
                <w:sz w:val="21"/>
                <w:szCs w:val="21"/>
              </w:rPr>
            </w:pPr>
            <w:r>
              <w:rPr>
                <w:rFonts w:ascii="Times New Roman" w:cs="Times New Roman"/>
                <w:sz w:val="21"/>
                <w:szCs w:val="21"/>
              </w:rPr>
              <w:t>（四）水基岩屑应首先进行固液分离，降低含水率，回收其中的液相并重复利用，剩余固相优先考虑资源化综合利用，同时加强其暂存、预处理、转运等过程的环境管理，避免二次污染。外送加工利用水基岩屑，应符合接纳企业对原材料的质量和规格要求，同时接纳企业应具有相关环保手续；企业自身加工利用水基岩屑，应符合国家行业技术政策和相关环保要求；利用水基岩屑加工制作成产品外售，应符合产品质量标准。无害化填埋水基岩屑，其填埋场所应符合《土壤污染防治行动计划》、《一般工业固体废弃物贮存、处置场污染控制标准》（GB18599-2001）的相关规定。</w:t>
            </w:r>
          </w:p>
          <w:p>
            <w:pPr>
              <w:spacing w:line="240" w:lineRule="auto"/>
              <w:ind w:firstLine="0" w:firstLineChars="0"/>
              <w:jc w:val="center"/>
              <w:rPr>
                <w:rFonts w:ascii="Times New Roman" w:cs="Times New Roman"/>
                <w:sz w:val="21"/>
                <w:szCs w:val="21"/>
              </w:rPr>
            </w:pPr>
            <w:r>
              <w:rPr>
                <w:rFonts w:ascii="Times New Roman" w:cs="Times New Roman"/>
                <w:sz w:val="21"/>
                <w:szCs w:val="21"/>
              </w:rPr>
              <w:t>（五）油基岩屑应首先进行再生利用，回收其中的基础油和油基钻井液并重复使用；回收基础油和油基钻井液宜采用离心、热脱附、萃取、洗净分离等工艺技术。</w:t>
            </w:r>
          </w:p>
          <w:p>
            <w:pPr>
              <w:spacing w:line="240" w:lineRule="auto"/>
              <w:ind w:firstLine="0" w:firstLineChars="0"/>
              <w:jc w:val="center"/>
              <w:rPr>
                <w:rFonts w:ascii="Times New Roman" w:cs="Times New Roman"/>
                <w:sz w:val="21"/>
                <w:szCs w:val="21"/>
              </w:rPr>
            </w:pPr>
            <w:r>
              <w:rPr>
                <w:rFonts w:ascii="Times New Roman" w:cs="Times New Roman"/>
                <w:sz w:val="21"/>
                <w:szCs w:val="21"/>
              </w:rPr>
              <w:t>（六）油基岩屑处置后的产物若符合相关国家污染物排放（控制）标准或技术规范要求，且符合国家、地方制定或行业通行的被替代原料生产的产品质量标准的，不作为固体废物管理，按照相应的产品管理，除此之外，均按危险废物进行管理；国家或地方法律法规、标准等另有规定的从其规定。</w:t>
            </w:r>
          </w:p>
          <w:p>
            <w:pPr>
              <w:spacing w:line="240" w:lineRule="auto"/>
              <w:ind w:firstLine="0" w:firstLineChars="0"/>
              <w:jc w:val="center"/>
              <w:rPr>
                <w:rFonts w:ascii="Times New Roman" w:cs="Times New Roman"/>
                <w:sz w:val="21"/>
                <w:szCs w:val="21"/>
              </w:rPr>
            </w:pPr>
            <w:r>
              <w:rPr>
                <w:rFonts w:ascii="Times New Roman" w:cs="Times New Roman"/>
                <w:sz w:val="21"/>
                <w:szCs w:val="21"/>
              </w:rPr>
              <w:t>（七）固体废物处理处置过程应符合国家和地方污染控制标准及相关技术规范要求，避免和减少二次污染。对产生的二次污染，应按照国家和地方环境保护法规和标准的规定进行治理。</w:t>
            </w:r>
          </w:p>
          <w:p>
            <w:pPr>
              <w:spacing w:line="240" w:lineRule="auto"/>
              <w:ind w:firstLine="0" w:firstLineChars="0"/>
              <w:jc w:val="center"/>
              <w:rPr>
                <w:rFonts w:ascii="Times New Roman" w:cs="Times New Roman"/>
                <w:sz w:val="21"/>
                <w:szCs w:val="21"/>
              </w:rPr>
            </w:pPr>
            <w:r>
              <w:rPr>
                <w:rFonts w:ascii="Times New Roman" w:cs="Times New Roman"/>
                <w:sz w:val="21"/>
                <w:szCs w:val="21"/>
              </w:rPr>
              <w:t>（八）固体废物收集、贮存、处理处置设施和场所应按照相关标准规范和环境影响评价文件的要求采取防渗措施，并定期开展跟踪监测。</w:t>
            </w:r>
          </w:p>
          <w:p>
            <w:pPr>
              <w:spacing w:line="240" w:lineRule="auto"/>
              <w:ind w:firstLine="0" w:firstLineChars="0"/>
              <w:jc w:val="center"/>
              <w:rPr>
                <w:rFonts w:ascii="Times New Roman" w:cs="Times New Roman"/>
                <w:sz w:val="21"/>
                <w:szCs w:val="21"/>
              </w:rPr>
            </w:pPr>
            <w:r>
              <w:rPr>
                <w:rFonts w:ascii="Times New Roman" w:cs="Times New Roman"/>
                <w:sz w:val="21"/>
                <w:szCs w:val="21"/>
              </w:rPr>
              <w:t>（九）严格执行危险废物转移联单制度。转移危险废物的（向县内本单位转移除外），危险废物产生单位必须按照相关规定填写危险废物转移联单。</w:t>
            </w:r>
          </w:p>
        </w:tc>
        <w:tc>
          <w:tcPr>
            <w:tcW w:w="627" w:type="pct"/>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本项目采用清洁化操作平台，并采取泥浆不落地措施。水基泥浆</w:t>
            </w:r>
            <w:r>
              <w:rPr>
                <w:rFonts w:hint="eastAsia" w:ascii="Times New Roman" w:cs="Times New Roman"/>
                <w:bCs/>
                <w:sz w:val="21"/>
                <w:szCs w:val="21"/>
              </w:rPr>
              <w:t>就近交给依法取得生态环境部门关于利用和处置相关工业固体废物项目环评批复、具有处理处置相应固体废物能力并配套建设有废气、废水、固废等污染物治理设施的单位进行资源化利用。油基泥浆暂存于危废暂存间，定期交由资质单位处置。</w:t>
            </w:r>
          </w:p>
        </w:tc>
        <w:tc>
          <w:tcPr>
            <w:tcW w:w="401" w:type="pct"/>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88" w:hRule="atLeast"/>
          <w:jc w:val="center"/>
        </w:trPr>
        <w:tc>
          <w:tcPr>
            <w:tcW w:w="646" w:type="pct"/>
            <w:vMerge w:val="continue"/>
            <w:vAlign w:val="center"/>
          </w:tcPr>
          <w:p>
            <w:pPr>
              <w:spacing w:line="240" w:lineRule="auto"/>
              <w:ind w:firstLine="0" w:firstLineChars="0"/>
              <w:jc w:val="center"/>
              <w:rPr>
                <w:rFonts w:ascii="Times New Roman" w:cs="Times New Roman"/>
                <w:sz w:val="21"/>
                <w:szCs w:val="21"/>
              </w:rPr>
            </w:pPr>
          </w:p>
        </w:tc>
        <w:tc>
          <w:tcPr>
            <w:tcW w:w="3326" w:type="pct"/>
            <w:vAlign w:val="center"/>
          </w:tcPr>
          <w:p>
            <w:pPr>
              <w:pStyle w:val="132"/>
              <w:rPr>
                <w:b/>
                <w:bCs/>
                <w:szCs w:val="21"/>
              </w:rPr>
            </w:pPr>
            <w:r>
              <w:rPr>
                <w:rFonts w:hint="eastAsia"/>
                <w:b/>
                <w:bCs/>
                <w:szCs w:val="21"/>
              </w:rPr>
              <w:t>大气</w:t>
            </w:r>
            <w:r>
              <w:rPr>
                <w:b/>
                <w:bCs/>
                <w:szCs w:val="21"/>
              </w:rPr>
              <w:t>污染防治</w:t>
            </w:r>
            <w:r>
              <w:rPr>
                <w:rFonts w:hint="eastAsia"/>
                <w:b/>
                <w:bCs/>
                <w:szCs w:val="21"/>
              </w:rPr>
              <w:t>：</w:t>
            </w:r>
          </w:p>
          <w:p>
            <w:pPr>
              <w:pStyle w:val="132"/>
            </w:pPr>
            <w:r>
              <w:t>（一）重视并做好油基岩屑暂存、转运和处理处置过程中异味的控制。</w:t>
            </w:r>
          </w:p>
          <w:p>
            <w:pPr>
              <w:pStyle w:val="132"/>
            </w:pPr>
            <w:r>
              <w:t>（二）压裂柴油动力机组燃油废气排放应满足国家相关标准要求</w:t>
            </w:r>
            <w:r>
              <w:rPr>
                <w:rFonts w:hint="eastAsia"/>
              </w:rPr>
              <w:t>。</w:t>
            </w:r>
          </w:p>
        </w:tc>
        <w:tc>
          <w:tcPr>
            <w:tcW w:w="627" w:type="pct"/>
            <w:vAlign w:val="center"/>
          </w:tcPr>
          <w:p>
            <w:pPr>
              <w:spacing w:line="240" w:lineRule="auto"/>
              <w:ind w:firstLine="0" w:firstLineChars="0"/>
              <w:jc w:val="center"/>
              <w:rPr>
                <w:rFonts w:ascii="Times New Roman" w:cs="Times New Roman"/>
                <w:sz w:val="21"/>
                <w:szCs w:val="21"/>
              </w:rPr>
            </w:pPr>
            <w:r>
              <w:rPr>
                <w:rFonts w:hint="eastAsia" w:ascii="Times New Roman" w:cs="Times New Roman"/>
                <w:bCs/>
                <w:sz w:val="21"/>
                <w:szCs w:val="21"/>
              </w:rPr>
              <w:t>油基泥浆存于危废暂存间，</w:t>
            </w:r>
            <w:r>
              <w:rPr>
                <w:rFonts w:ascii="Times New Roman" w:cs="Times New Roman"/>
                <w:bCs/>
                <w:sz w:val="21"/>
                <w:szCs w:val="21"/>
              </w:rPr>
              <w:t>压裂柴油动力机组燃油废气排放满足国家相关标准</w:t>
            </w:r>
          </w:p>
        </w:tc>
        <w:tc>
          <w:tcPr>
            <w:tcW w:w="401" w:type="pct"/>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48" w:hRule="atLeast"/>
          <w:jc w:val="center"/>
        </w:trPr>
        <w:tc>
          <w:tcPr>
            <w:tcW w:w="646" w:type="pct"/>
            <w:vMerge w:val="continue"/>
            <w:vAlign w:val="center"/>
          </w:tcPr>
          <w:p>
            <w:pPr>
              <w:spacing w:line="240" w:lineRule="auto"/>
              <w:ind w:firstLine="0" w:firstLineChars="0"/>
              <w:jc w:val="center"/>
              <w:rPr>
                <w:rFonts w:ascii="Times New Roman" w:cs="Times New Roman"/>
                <w:sz w:val="21"/>
                <w:szCs w:val="21"/>
              </w:rPr>
            </w:pPr>
          </w:p>
        </w:tc>
        <w:tc>
          <w:tcPr>
            <w:tcW w:w="3326" w:type="pct"/>
            <w:vAlign w:val="center"/>
          </w:tcPr>
          <w:p>
            <w:pPr>
              <w:pStyle w:val="132"/>
              <w:rPr>
                <w:b/>
                <w:bCs/>
                <w:szCs w:val="21"/>
              </w:rPr>
            </w:pPr>
            <w:r>
              <w:rPr>
                <w:rFonts w:hint="eastAsia"/>
                <w:b/>
                <w:bCs/>
                <w:szCs w:val="21"/>
              </w:rPr>
              <w:t>噪声</w:t>
            </w:r>
            <w:r>
              <w:rPr>
                <w:b/>
                <w:bCs/>
                <w:szCs w:val="21"/>
              </w:rPr>
              <w:t>污染防治</w:t>
            </w:r>
            <w:r>
              <w:rPr>
                <w:rFonts w:hint="eastAsia"/>
                <w:b/>
                <w:bCs/>
                <w:szCs w:val="21"/>
              </w:rPr>
              <w:t>：</w:t>
            </w:r>
          </w:p>
          <w:p>
            <w:pPr>
              <w:pStyle w:val="132"/>
            </w:pPr>
            <w:r>
              <w:t>（一）优先使用网电，采用低噪声设备，宜在柴油机和发电机上安装高效消声设备，从源头上降低噪声。</w:t>
            </w:r>
          </w:p>
          <w:p>
            <w:pPr>
              <w:pStyle w:val="132"/>
            </w:pPr>
            <w:r>
              <w:t>（二）合理安排压裂作业时间，压裂作业施工宜在昼间进行。在压裂及测试放喷阶段，针对噪声超标的居民点，应采取功能置换、设置隔声屏障、安装通风式隔声窗或临时撤离等措施，减轻和控制噪声对其的不利影响。</w:t>
            </w:r>
          </w:p>
        </w:tc>
        <w:tc>
          <w:tcPr>
            <w:tcW w:w="627" w:type="pct"/>
            <w:vAlign w:val="center"/>
          </w:tcPr>
          <w:p>
            <w:pPr>
              <w:pStyle w:val="138"/>
              <w:rPr>
                <w:rFonts w:ascii="Times New Roman" w:hAnsi="Times New Roman"/>
                <w:szCs w:val="21"/>
              </w:rPr>
            </w:pPr>
            <w:r>
              <w:rPr>
                <w:rFonts w:hint="eastAsia" w:ascii="Times New Roman" w:hAnsi="Times New Roman"/>
                <w:szCs w:val="21"/>
              </w:rPr>
              <w:t>本</w:t>
            </w:r>
            <w:r>
              <w:rPr>
                <w:rFonts w:ascii="Times New Roman" w:hAnsi="Times New Roman"/>
                <w:szCs w:val="21"/>
              </w:rPr>
              <w:t>项目</w:t>
            </w:r>
            <w:r>
              <w:rPr>
                <w:rFonts w:ascii="Times New Roman"/>
                <w:kern w:val="2"/>
                <w:shd w:val="clear" w:color="auto" w:fill="FFFFFF"/>
              </w:rPr>
              <w:t>使用网电</w:t>
            </w:r>
            <w:r>
              <w:rPr>
                <w:rFonts w:hint="eastAsia" w:ascii="Times New Roman"/>
                <w:kern w:val="2"/>
                <w:shd w:val="clear" w:color="auto" w:fill="FFFFFF"/>
              </w:rPr>
              <w:t>，</w:t>
            </w:r>
            <w:r>
              <w:rPr>
                <w:rFonts w:ascii="Times New Roman"/>
                <w:kern w:val="2"/>
                <w:shd w:val="clear" w:color="auto" w:fill="FFFFFF"/>
              </w:rPr>
              <w:t>压裂作业施工在昼间进行</w:t>
            </w:r>
          </w:p>
        </w:tc>
        <w:tc>
          <w:tcPr>
            <w:tcW w:w="401" w:type="pct"/>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bl>
    <w:p>
      <w:pPr>
        <w:pStyle w:val="112"/>
        <w:ind w:firstLine="480"/>
      </w:pPr>
      <w:r>
        <w:t>经上表分析，项目建设与</w:t>
      </w:r>
      <w:r>
        <w:rPr>
          <w:rFonts w:hint="eastAsia"/>
          <w:bCs/>
        </w:rPr>
        <w:t>《四川省页岩气开采业污染防治技术政策》</w:t>
      </w:r>
      <w:r>
        <w:t>相符。</w:t>
      </w:r>
    </w:p>
    <w:p>
      <w:pPr>
        <w:keepNext/>
        <w:keepLines/>
        <w:ind w:firstLine="0" w:firstLineChars="0"/>
        <w:outlineLvl w:val="2"/>
        <w:rPr>
          <w:rFonts w:ascii="Times New Roman" w:cs="Times New Roman"/>
          <w:b/>
          <w:szCs w:val="32"/>
        </w:rPr>
      </w:pPr>
      <w:r>
        <w:rPr>
          <w:rFonts w:ascii="Times New Roman" w:cs="Times New Roman"/>
          <w:b/>
          <w:szCs w:val="32"/>
        </w:rPr>
        <w:t>1.8.1</w:t>
      </w:r>
      <w:r>
        <w:rPr>
          <w:rFonts w:hint="eastAsia" w:ascii="Times New Roman" w:cs="Times New Roman"/>
          <w:b/>
          <w:szCs w:val="32"/>
        </w:rPr>
        <w:t>3</w:t>
      </w:r>
      <w:r>
        <w:rPr>
          <w:rFonts w:ascii="Times New Roman" w:cs="Times New Roman"/>
          <w:b/>
          <w:szCs w:val="32"/>
        </w:rPr>
        <w:t>本项目</w:t>
      </w:r>
      <w:r>
        <w:rPr>
          <w:rFonts w:hint="eastAsia" w:ascii="Times New Roman" w:cs="Times New Roman"/>
          <w:b/>
          <w:szCs w:val="32"/>
        </w:rPr>
        <w:t>与四川省</w:t>
      </w:r>
      <w:r>
        <w:rPr>
          <w:rFonts w:ascii="Times New Roman" w:cs="Times New Roman"/>
          <w:b/>
          <w:bCs/>
          <w:szCs w:val="32"/>
        </w:rPr>
        <w:t>国土空间规划</w:t>
      </w:r>
      <w:r>
        <w:rPr>
          <w:rFonts w:hint="eastAsia" w:ascii="Times New Roman" w:cs="Times New Roman"/>
          <w:b/>
          <w:bCs/>
          <w:szCs w:val="32"/>
        </w:rPr>
        <w:t>“三区三线”划定成果</w:t>
      </w:r>
      <w:r>
        <w:rPr>
          <w:rFonts w:ascii="Times New Roman" w:cs="Times New Roman"/>
          <w:b/>
          <w:szCs w:val="32"/>
        </w:rPr>
        <w:t>符合性分析</w:t>
      </w:r>
    </w:p>
    <w:p>
      <w:pPr>
        <w:pStyle w:val="112"/>
        <w:ind w:firstLine="480"/>
      </w:pPr>
      <w:r>
        <w:rPr>
          <w:rFonts w:hint="eastAsia"/>
          <w:bCs/>
        </w:rPr>
        <w:t>根据</w:t>
      </w:r>
      <w:r>
        <w:rPr>
          <w:bCs/>
        </w:rPr>
        <w:t>四川省国土空间规划“三区三线”划定成果</w:t>
      </w:r>
      <w:r>
        <w:rPr>
          <w:rFonts w:hint="eastAsia"/>
          <w:bCs/>
        </w:rPr>
        <w:t>，本项目不涉及占用四川省各类重大项目的</w:t>
      </w:r>
      <w:r>
        <w:rPr>
          <w:bCs/>
        </w:rPr>
        <w:t>农业空间、生态空间、城镇空间</w:t>
      </w:r>
      <w:r>
        <w:rPr>
          <w:rFonts w:hint="eastAsia"/>
          <w:bCs/>
        </w:rPr>
        <w:t>三种类型的国土空间，不在城镇开发边界范围内，</w:t>
      </w:r>
      <w:r>
        <w:rPr>
          <w:rFonts w:hint="eastAsia"/>
          <w:bCs/>
          <w:color w:val="FF0000"/>
        </w:rPr>
        <w:t>项目管线临时占地涉及永久基本农田，建设单位将依法办理相关用地手续，新增临时占地施工结束后进行复垦，</w:t>
      </w:r>
      <w:r>
        <w:rPr>
          <w:bCs/>
          <w:color w:val="FF0000"/>
        </w:rPr>
        <w:t>同时项目不涉及生态保护红线和城镇开发边界控制线</w:t>
      </w:r>
      <w:r>
        <w:rPr>
          <w:rFonts w:hint="eastAsia"/>
          <w:bCs/>
        </w:rPr>
        <w:t>，</w:t>
      </w:r>
      <w:r>
        <w:rPr>
          <w:bCs/>
        </w:rPr>
        <w:t>项目</w:t>
      </w:r>
      <w:r>
        <w:rPr>
          <w:rFonts w:hint="eastAsia"/>
          <w:bCs/>
        </w:rPr>
        <w:t>符合</w:t>
      </w:r>
      <w:r>
        <w:rPr>
          <w:bCs/>
        </w:rPr>
        <w:t>四川省国土空间规划“三区三线”划定成果</w:t>
      </w:r>
      <w:r>
        <w:rPr>
          <w:rFonts w:hint="eastAsia"/>
          <w:bCs/>
        </w:rPr>
        <w:t>要求</w:t>
      </w:r>
      <w:r>
        <w:rPr>
          <w:rFonts w:hint="eastAsia"/>
        </w:rPr>
        <w:t>。</w:t>
      </w:r>
    </w:p>
    <w:p>
      <w:pPr>
        <w:keepNext/>
        <w:keepLines/>
        <w:ind w:firstLine="0" w:firstLineChars="0"/>
        <w:outlineLvl w:val="2"/>
        <w:rPr>
          <w:rFonts w:ascii="Times New Roman" w:cs="Times New Roman"/>
          <w:b/>
          <w:szCs w:val="32"/>
        </w:rPr>
      </w:pPr>
      <w:r>
        <w:rPr>
          <w:rFonts w:ascii="Times New Roman" w:cs="Times New Roman"/>
          <w:b/>
          <w:szCs w:val="32"/>
        </w:rPr>
        <w:t>1.8.1</w:t>
      </w:r>
      <w:r>
        <w:rPr>
          <w:rFonts w:hint="eastAsia" w:ascii="Times New Roman" w:cs="Times New Roman"/>
          <w:b/>
          <w:szCs w:val="32"/>
        </w:rPr>
        <w:t>4</w:t>
      </w:r>
      <w:r>
        <w:rPr>
          <w:rFonts w:ascii="Times New Roman" w:cs="Times New Roman"/>
          <w:b/>
          <w:szCs w:val="32"/>
        </w:rPr>
        <w:t>本项目</w:t>
      </w:r>
      <w:r>
        <w:rPr>
          <w:rFonts w:hint="eastAsia" w:ascii="Times New Roman" w:cs="Times New Roman"/>
          <w:b/>
          <w:szCs w:val="32"/>
        </w:rPr>
        <w:t>《国家级公益林管理办法》（国家林业局财政部林资发〔2017〕34 号印发）</w:t>
      </w:r>
      <w:r>
        <w:rPr>
          <w:rFonts w:ascii="Times New Roman" w:cs="Times New Roman"/>
          <w:b/>
          <w:szCs w:val="32"/>
        </w:rPr>
        <w:t>符合性分析</w:t>
      </w:r>
    </w:p>
    <w:p>
      <w:pPr>
        <w:pStyle w:val="112"/>
        <w:ind w:firstLine="480"/>
        <w:rPr>
          <w:bCs/>
          <w:szCs w:val="24"/>
        </w:rPr>
      </w:pPr>
      <w:r>
        <w:rPr>
          <w:bCs/>
          <w:szCs w:val="24"/>
        </w:rPr>
        <w:t>根据《国家级公益林管理办法》（国家林业局财政部林资发〔2017〕34 号印发）：严格控制勘查、开采矿藏和工程建设使用国家级公益林地。确需使用的，严格按照《建设项目使用林地审核审批管理办法》有关规定办理使用林地手续。涉及林木采伐的，按相关规定依法办理林木采伐手续。</w:t>
      </w:r>
    </w:p>
    <w:p>
      <w:pPr>
        <w:pStyle w:val="112"/>
        <w:ind w:firstLine="480"/>
      </w:pPr>
      <w:r>
        <w:rPr>
          <w:rFonts w:hint="eastAsia"/>
          <w:bCs/>
          <w:color w:val="FF0000"/>
        </w:rPr>
        <w:t>本项目涉及的普陆4集气平台未占用</w:t>
      </w:r>
      <w:r>
        <w:rPr>
          <w:bCs/>
          <w:color w:val="FF0000"/>
        </w:rPr>
        <w:t>公益林</w:t>
      </w:r>
      <w:r>
        <w:rPr>
          <w:rFonts w:hint="eastAsia"/>
          <w:bCs/>
          <w:color w:val="FF0000"/>
        </w:rPr>
        <w:t>，</w:t>
      </w:r>
      <w:r>
        <w:rPr>
          <w:bCs/>
          <w:color w:val="FF0000"/>
        </w:rPr>
        <w:t>但</w:t>
      </w:r>
      <w:r>
        <w:rPr>
          <w:rFonts w:hint="eastAsia"/>
          <w:bCs/>
          <w:color w:val="FF0000"/>
        </w:rPr>
        <w:t>平台周围</w:t>
      </w:r>
      <w:r>
        <w:rPr>
          <w:bCs/>
          <w:color w:val="FF0000"/>
        </w:rPr>
        <w:t>200m范围分布有公益林，</w:t>
      </w:r>
      <w:r>
        <w:rPr>
          <w:bCs/>
        </w:rPr>
        <w:t>因此本项目施工期通过采取严格措施保护公益林（如：封山育林、人工造林等），符合《国家级公益林管理办法》（国家林业局财政部林资发〔2017〕34 号印发）相关要求。</w:t>
      </w:r>
    </w:p>
    <w:p>
      <w:pPr>
        <w:keepNext/>
        <w:keepLines/>
        <w:ind w:firstLine="0" w:firstLineChars="0"/>
        <w:outlineLvl w:val="2"/>
        <w:rPr>
          <w:rFonts w:ascii="Times New Roman" w:cs="Times New Roman"/>
          <w:b/>
          <w:szCs w:val="32"/>
        </w:rPr>
      </w:pPr>
      <w:r>
        <w:rPr>
          <w:rFonts w:ascii="Times New Roman" w:cs="Times New Roman"/>
          <w:b/>
          <w:szCs w:val="32"/>
        </w:rPr>
        <w:t>1.8.1</w:t>
      </w:r>
      <w:r>
        <w:rPr>
          <w:rFonts w:hint="eastAsia" w:ascii="Times New Roman" w:cs="Times New Roman"/>
          <w:b/>
          <w:szCs w:val="32"/>
        </w:rPr>
        <w:t>5</w:t>
      </w:r>
      <w:r>
        <w:rPr>
          <w:rFonts w:ascii="Times New Roman" w:cs="Times New Roman"/>
          <w:b/>
          <w:szCs w:val="32"/>
        </w:rPr>
        <w:t>本项目与</w:t>
      </w:r>
      <w:r>
        <w:rPr>
          <w:rFonts w:ascii="Times New Roman" w:cs="Times New Roman"/>
          <w:b/>
          <w:bCs/>
          <w:szCs w:val="32"/>
        </w:rPr>
        <w:t>《宣汉县2022年创建国家生态文明建设示范县实施方案》</w:t>
      </w:r>
      <w:r>
        <w:rPr>
          <w:rFonts w:ascii="Times New Roman" w:cs="Times New Roman"/>
          <w:b/>
          <w:szCs w:val="32"/>
        </w:rPr>
        <w:t>符合性分析</w:t>
      </w:r>
    </w:p>
    <w:p>
      <w:pPr>
        <w:pStyle w:val="112"/>
        <w:ind w:firstLine="480"/>
      </w:pPr>
      <w:r>
        <w:rPr>
          <w:bCs/>
          <w:szCs w:val="24"/>
        </w:rPr>
        <w:t>项目与中共宣汉县委办公室 宣汉县人民政府办公室 关于印发《宣汉县 2022 年创建国家生态文明建设示范县实施方案》的通知</w:t>
      </w:r>
      <w:r>
        <w:rPr>
          <w:rFonts w:hint="eastAsia"/>
          <w:bCs/>
          <w:szCs w:val="24"/>
        </w:rPr>
        <w:t>（宣县委办发</w:t>
      </w:r>
      <w:r>
        <w:rPr>
          <w:rFonts w:hint="eastAsia"/>
          <w:bCs/>
          <w:szCs w:val="24"/>
          <w:lang w:eastAsia="zh-CN"/>
        </w:rPr>
        <w:t>〔2022〕</w:t>
      </w:r>
      <w:r>
        <w:rPr>
          <w:rFonts w:hint="eastAsia"/>
          <w:bCs/>
          <w:szCs w:val="24"/>
        </w:rPr>
        <w:t>33号）符合性分析见</w:t>
      </w:r>
      <w:r>
        <w:t>如下：</w:t>
      </w:r>
    </w:p>
    <w:p>
      <w:pPr>
        <w:pStyle w:val="37"/>
        <w:rPr>
          <w:rFonts w:cs="Times New Roman"/>
        </w:rPr>
      </w:pPr>
      <w:r>
        <w:rPr>
          <w:rFonts w:cs="Times New Roman"/>
        </w:rPr>
        <w:t>表1.8-</w:t>
      </w:r>
      <w:r>
        <w:rPr>
          <w:rFonts w:hint="eastAsia" w:cs="Times New Roman"/>
        </w:rPr>
        <w:t>7</w:t>
      </w:r>
      <w:r>
        <w:rPr>
          <w:rFonts w:cs="Times New Roman"/>
        </w:rPr>
        <w:t xml:space="preserve">  与</w:t>
      </w:r>
      <w:r>
        <w:rPr>
          <w:rFonts w:hint="eastAsia" w:cs="Times New Roman"/>
          <w:bCs/>
        </w:rPr>
        <w:t>宣县委办发</w:t>
      </w:r>
      <w:r>
        <w:rPr>
          <w:rFonts w:hint="eastAsia" w:cs="Times New Roman"/>
          <w:bCs/>
          <w:lang w:eastAsia="zh-CN"/>
        </w:rPr>
        <w:t>〔2022〕</w:t>
      </w:r>
      <w:r>
        <w:rPr>
          <w:rFonts w:hint="eastAsia" w:cs="Times New Roman"/>
          <w:bCs/>
        </w:rPr>
        <w:t>33号</w:t>
      </w:r>
      <w:r>
        <w:rPr>
          <w:rFonts w:cs="Times New Roman"/>
        </w:rPr>
        <w:t>符合性</w:t>
      </w:r>
    </w:p>
    <w:tbl>
      <w:tblPr>
        <w:tblStyle w:val="57"/>
        <w:tblW w:w="526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37"/>
        <w:gridCol w:w="5855"/>
        <w:gridCol w:w="1104"/>
        <w:gridCol w:w="7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3" w:hRule="atLeast"/>
          <w:tblHeader/>
          <w:jc w:val="center"/>
        </w:trPr>
        <w:tc>
          <w:tcPr>
            <w:tcW w:w="646" w:type="pct"/>
            <w:vAlign w:val="center"/>
          </w:tcPr>
          <w:p>
            <w:pPr>
              <w:spacing w:line="240" w:lineRule="auto"/>
              <w:ind w:firstLine="0" w:firstLineChars="0"/>
              <w:jc w:val="center"/>
              <w:rPr>
                <w:rFonts w:ascii="Times New Roman" w:cs="Times New Roman"/>
                <w:b/>
                <w:sz w:val="21"/>
                <w:szCs w:val="21"/>
              </w:rPr>
            </w:pPr>
            <w:r>
              <w:rPr>
                <w:rFonts w:ascii="Times New Roman" w:cs="Times New Roman"/>
                <w:b/>
                <w:bCs/>
                <w:sz w:val="21"/>
                <w:szCs w:val="21"/>
              </w:rPr>
              <w:t>实施方案</w:t>
            </w:r>
          </w:p>
        </w:tc>
        <w:tc>
          <w:tcPr>
            <w:tcW w:w="3326" w:type="pct"/>
            <w:vAlign w:val="center"/>
          </w:tcPr>
          <w:p>
            <w:pPr>
              <w:spacing w:line="240" w:lineRule="auto"/>
              <w:ind w:firstLine="0" w:firstLineChars="0"/>
              <w:jc w:val="center"/>
              <w:rPr>
                <w:rFonts w:ascii="Times New Roman" w:cs="Times New Roman"/>
                <w:b/>
                <w:sz w:val="21"/>
                <w:szCs w:val="21"/>
              </w:rPr>
            </w:pPr>
            <w:r>
              <w:rPr>
                <w:rFonts w:ascii="Times New Roman" w:cs="Times New Roman"/>
                <w:b/>
                <w:sz w:val="21"/>
                <w:szCs w:val="21"/>
              </w:rPr>
              <w:t>相关要求</w:t>
            </w:r>
          </w:p>
        </w:tc>
        <w:tc>
          <w:tcPr>
            <w:tcW w:w="627" w:type="pct"/>
            <w:vAlign w:val="center"/>
          </w:tcPr>
          <w:p>
            <w:pPr>
              <w:spacing w:line="240" w:lineRule="auto"/>
              <w:ind w:firstLine="0" w:firstLineChars="0"/>
              <w:jc w:val="center"/>
              <w:rPr>
                <w:rFonts w:ascii="Times New Roman" w:cs="Times New Roman"/>
                <w:b/>
                <w:sz w:val="21"/>
                <w:szCs w:val="21"/>
              </w:rPr>
            </w:pPr>
            <w:r>
              <w:rPr>
                <w:rFonts w:ascii="Times New Roman" w:cs="Times New Roman"/>
                <w:b/>
                <w:sz w:val="21"/>
                <w:szCs w:val="21"/>
              </w:rPr>
              <w:t>本项目情况</w:t>
            </w:r>
          </w:p>
        </w:tc>
        <w:tc>
          <w:tcPr>
            <w:tcW w:w="401" w:type="pct"/>
            <w:vAlign w:val="center"/>
          </w:tcPr>
          <w:p>
            <w:pPr>
              <w:spacing w:line="240" w:lineRule="auto"/>
              <w:ind w:firstLine="0" w:firstLineChars="0"/>
              <w:jc w:val="center"/>
              <w:rPr>
                <w:rFonts w:ascii="Times New Roman" w:cs="Times New Roman"/>
                <w:b/>
                <w:sz w:val="21"/>
                <w:szCs w:val="21"/>
              </w:rPr>
            </w:pPr>
            <w:r>
              <w:rPr>
                <w:rFonts w:ascii="Times New Roman" w:cs="Times New Roman"/>
                <w:b/>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48" w:hRule="atLeast"/>
          <w:jc w:val="center"/>
        </w:trPr>
        <w:tc>
          <w:tcPr>
            <w:tcW w:w="646" w:type="pct"/>
            <w:vMerge w:val="restart"/>
            <w:vAlign w:val="center"/>
          </w:tcPr>
          <w:p>
            <w:pPr>
              <w:spacing w:line="240" w:lineRule="auto"/>
              <w:ind w:firstLine="0" w:firstLineChars="0"/>
              <w:jc w:val="center"/>
              <w:rPr>
                <w:rFonts w:ascii="Times New Roman" w:cs="Times New Roman"/>
                <w:sz w:val="21"/>
                <w:szCs w:val="21"/>
              </w:rPr>
            </w:pPr>
            <w:r>
              <w:rPr>
                <w:rFonts w:ascii="Times New Roman" w:cs="Times New Roman"/>
                <w:bCs/>
                <w:sz w:val="21"/>
                <w:szCs w:val="21"/>
              </w:rPr>
              <w:t>中共宣汉县委办公室 宣汉县人民政府办公室 关于印发《宣汉县 2022 年创建国家生态文明建设示范县实施方案》的通知（</w:t>
            </w:r>
            <w:r>
              <w:rPr>
                <w:rFonts w:hint="eastAsia" w:ascii="Times New Roman" w:cs="Times New Roman"/>
                <w:bCs/>
                <w:sz w:val="21"/>
                <w:szCs w:val="21"/>
              </w:rPr>
              <w:t>宣县委办发</w:t>
            </w:r>
            <w:r>
              <w:rPr>
                <w:rFonts w:hint="eastAsia" w:ascii="Times New Roman" w:cs="Times New Roman"/>
                <w:bCs/>
                <w:sz w:val="21"/>
                <w:szCs w:val="21"/>
                <w:lang w:eastAsia="zh-CN"/>
              </w:rPr>
              <w:t>〔2022〕</w:t>
            </w:r>
            <w:r>
              <w:rPr>
                <w:rFonts w:hint="eastAsia" w:ascii="Times New Roman" w:cs="Times New Roman"/>
                <w:bCs/>
                <w:sz w:val="21"/>
                <w:szCs w:val="21"/>
              </w:rPr>
              <w:t>33号</w:t>
            </w:r>
            <w:r>
              <w:rPr>
                <w:rFonts w:ascii="Times New Roman" w:cs="Times New Roman"/>
                <w:bCs/>
                <w:sz w:val="21"/>
                <w:szCs w:val="21"/>
              </w:rPr>
              <w:t>）</w:t>
            </w:r>
          </w:p>
        </w:tc>
        <w:tc>
          <w:tcPr>
            <w:tcW w:w="3326" w:type="pct"/>
            <w:vAlign w:val="center"/>
          </w:tcPr>
          <w:p>
            <w:pPr>
              <w:ind w:firstLine="422"/>
              <w:jc w:val="center"/>
              <w:rPr>
                <w:rFonts w:ascii="Times New Roman" w:cs="Times New Roman"/>
                <w:b/>
                <w:bCs/>
                <w:sz w:val="21"/>
                <w:szCs w:val="21"/>
              </w:rPr>
            </w:pPr>
            <w:r>
              <w:rPr>
                <w:rFonts w:ascii="Times New Roman" w:cs="Times New Roman"/>
                <w:b/>
                <w:bCs/>
                <w:sz w:val="21"/>
                <w:szCs w:val="21"/>
              </w:rPr>
              <w:t>环境空气质量</w:t>
            </w:r>
            <w:r>
              <w:rPr>
                <w:rFonts w:hint="eastAsia" w:ascii="Times New Roman" w:cs="Times New Roman"/>
                <w:b/>
                <w:bCs/>
                <w:sz w:val="21"/>
                <w:szCs w:val="21"/>
              </w:rPr>
              <w:t>：</w:t>
            </w:r>
          </w:p>
          <w:p>
            <w:pPr>
              <w:spacing w:line="240" w:lineRule="auto"/>
              <w:ind w:firstLine="0" w:firstLineChars="0"/>
              <w:jc w:val="center"/>
              <w:rPr>
                <w:rFonts w:ascii="Times New Roman" w:cs="Times New Roman"/>
                <w:sz w:val="21"/>
                <w:szCs w:val="21"/>
              </w:rPr>
            </w:pPr>
            <w:r>
              <w:rPr>
                <w:sz w:val="21"/>
                <w:szCs w:val="21"/>
              </w:rPr>
              <w:t>严格按照《达州市环境空气质量提升攻坚行动方案》有关工作要求，持续开展移动源、工业源、扬尘源和生活源污染防治，大力推进重点行业超低排放改造，强化重点排放单位清洁生产改造，积极有效应对重污染天气，确保环境空气质量持续改善，完成上级下达的各项目标任务</w:t>
            </w:r>
            <w:r>
              <w:rPr>
                <w:rFonts w:hint="eastAsia"/>
                <w:sz w:val="21"/>
                <w:szCs w:val="21"/>
              </w:rPr>
              <w:t>。</w:t>
            </w:r>
          </w:p>
        </w:tc>
        <w:tc>
          <w:tcPr>
            <w:tcW w:w="627" w:type="pct"/>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项目</w:t>
            </w:r>
            <w:r>
              <w:rPr>
                <w:rFonts w:hint="eastAsia" w:ascii="Times New Roman" w:cs="Times New Roman"/>
                <w:sz w:val="21"/>
                <w:szCs w:val="21"/>
              </w:rPr>
              <w:t>施工</w:t>
            </w:r>
            <w:r>
              <w:rPr>
                <w:rFonts w:ascii="Times New Roman" w:cs="Times New Roman"/>
                <w:sz w:val="21"/>
                <w:szCs w:val="21"/>
              </w:rPr>
              <w:t>期</w:t>
            </w:r>
            <w:r>
              <w:rPr>
                <w:rFonts w:hint="eastAsia" w:ascii="Times New Roman" w:cs="Times New Roman"/>
                <w:sz w:val="21"/>
                <w:szCs w:val="21"/>
              </w:rPr>
              <w:t>、</w:t>
            </w:r>
            <w:r>
              <w:rPr>
                <w:rFonts w:ascii="Times New Roman" w:cs="Times New Roman"/>
                <w:sz w:val="21"/>
                <w:szCs w:val="21"/>
              </w:rPr>
              <w:t>运营期废气经采取相应治理措施后达标排放</w:t>
            </w:r>
          </w:p>
        </w:tc>
        <w:tc>
          <w:tcPr>
            <w:tcW w:w="401" w:type="pct"/>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9" w:hRule="atLeast"/>
          <w:jc w:val="center"/>
        </w:trPr>
        <w:tc>
          <w:tcPr>
            <w:tcW w:w="646" w:type="pct"/>
            <w:vMerge w:val="continue"/>
            <w:vAlign w:val="center"/>
          </w:tcPr>
          <w:p>
            <w:pPr>
              <w:spacing w:line="240" w:lineRule="auto"/>
              <w:ind w:firstLine="0" w:firstLineChars="0"/>
              <w:jc w:val="center"/>
              <w:rPr>
                <w:rFonts w:ascii="Times New Roman" w:cs="Times New Roman"/>
                <w:sz w:val="21"/>
                <w:szCs w:val="21"/>
              </w:rPr>
            </w:pPr>
          </w:p>
        </w:tc>
        <w:tc>
          <w:tcPr>
            <w:tcW w:w="3326" w:type="pct"/>
            <w:vAlign w:val="center"/>
          </w:tcPr>
          <w:p>
            <w:pPr>
              <w:spacing w:line="240" w:lineRule="auto"/>
              <w:ind w:firstLine="0" w:firstLineChars="0"/>
              <w:jc w:val="center"/>
              <w:rPr>
                <w:rFonts w:ascii="Times New Roman" w:cs="Times New Roman"/>
                <w:b/>
                <w:bCs/>
                <w:sz w:val="21"/>
                <w:szCs w:val="21"/>
              </w:rPr>
            </w:pPr>
            <w:r>
              <w:rPr>
                <w:rFonts w:ascii="Times New Roman" w:cs="Times New Roman"/>
                <w:b/>
                <w:bCs/>
                <w:sz w:val="21"/>
                <w:szCs w:val="21"/>
              </w:rPr>
              <w:t>水环境质量</w:t>
            </w:r>
            <w:r>
              <w:rPr>
                <w:rFonts w:hint="eastAsia" w:ascii="Times New Roman" w:cs="Times New Roman"/>
                <w:b/>
                <w:bCs/>
                <w:sz w:val="21"/>
                <w:szCs w:val="21"/>
              </w:rPr>
              <w:t>：</w:t>
            </w:r>
          </w:p>
          <w:p>
            <w:pPr>
              <w:spacing w:line="240" w:lineRule="auto"/>
              <w:ind w:firstLine="0" w:firstLineChars="0"/>
              <w:jc w:val="center"/>
              <w:rPr>
                <w:rFonts w:ascii="Times New Roman" w:cs="Times New Roman"/>
                <w:sz w:val="21"/>
                <w:szCs w:val="21"/>
              </w:rPr>
            </w:pPr>
            <w:r>
              <w:rPr>
                <w:rFonts w:ascii="Times New Roman" w:cs="Times New Roman"/>
                <w:sz w:val="21"/>
                <w:szCs w:val="21"/>
              </w:rPr>
              <w:t>全力打好碧水保卫战。切实加强新宁河流域水环境管理，推进新宁河流域水质持续稳定达Ⅲ类以上；持续开展重点流域涉水企业执法监察、环境隐患排查、入河排污口检查、水体水质监测工作，持续改善水环境质量。完成各项水环境整治年度考核任务，确保县域内河流水质达到Ⅲ类及以上标准，行政区域内无劣Ⅴ类水体和黑臭水体。</w:t>
            </w:r>
          </w:p>
        </w:tc>
        <w:tc>
          <w:tcPr>
            <w:tcW w:w="627" w:type="pct"/>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本项目废水不外排，对地表水影响</w:t>
            </w:r>
            <w:r>
              <w:rPr>
                <w:rFonts w:hint="eastAsia" w:ascii="Times New Roman" w:cs="Times New Roman"/>
                <w:bCs/>
                <w:sz w:val="21"/>
                <w:szCs w:val="21"/>
              </w:rPr>
              <w:t>。</w:t>
            </w:r>
          </w:p>
        </w:tc>
        <w:tc>
          <w:tcPr>
            <w:tcW w:w="401" w:type="pct"/>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88" w:hRule="atLeast"/>
          <w:jc w:val="center"/>
        </w:trPr>
        <w:tc>
          <w:tcPr>
            <w:tcW w:w="646" w:type="pct"/>
            <w:vMerge w:val="continue"/>
            <w:vAlign w:val="center"/>
          </w:tcPr>
          <w:p>
            <w:pPr>
              <w:spacing w:line="240" w:lineRule="auto"/>
              <w:ind w:firstLine="0" w:firstLineChars="0"/>
              <w:jc w:val="center"/>
              <w:rPr>
                <w:rFonts w:ascii="Times New Roman" w:cs="Times New Roman"/>
                <w:sz w:val="21"/>
                <w:szCs w:val="21"/>
              </w:rPr>
            </w:pPr>
          </w:p>
        </w:tc>
        <w:tc>
          <w:tcPr>
            <w:tcW w:w="3326" w:type="pct"/>
            <w:vAlign w:val="center"/>
          </w:tcPr>
          <w:p>
            <w:pPr>
              <w:pStyle w:val="132"/>
              <w:rPr>
                <w:b/>
                <w:bCs/>
                <w:szCs w:val="21"/>
              </w:rPr>
            </w:pPr>
            <w:r>
              <w:rPr>
                <w:b/>
                <w:bCs/>
                <w:szCs w:val="21"/>
              </w:rPr>
              <w:t>着力强化生态系统保护</w:t>
            </w:r>
            <w:r>
              <w:rPr>
                <w:rFonts w:hint="eastAsia"/>
                <w:b/>
                <w:bCs/>
                <w:szCs w:val="21"/>
              </w:rPr>
              <w:t>：</w:t>
            </w:r>
          </w:p>
          <w:p>
            <w:pPr>
              <w:pStyle w:val="132"/>
            </w:pPr>
            <w:r>
              <w:t>加强生态系统保护力度，严守生态保护红线，严控矿山开采，治理水土流失，适度控制开发强度，最大限度保护自然资源，进一步提高我县生物丰度指数、植被覆盖指数、水网密度指数、土地胁迫指数、污染负荷指数和环境限制指数，确保我县生态环境状况指数不低于60%</w:t>
            </w:r>
            <w:r>
              <w:rPr>
                <w:rFonts w:hint="eastAsia"/>
              </w:rPr>
              <w:t>。</w:t>
            </w:r>
          </w:p>
        </w:tc>
        <w:tc>
          <w:tcPr>
            <w:tcW w:w="627" w:type="pct"/>
            <w:vAlign w:val="center"/>
          </w:tcPr>
          <w:p>
            <w:pPr>
              <w:spacing w:line="240" w:lineRule="auto"/>
              <w:ind w:firstLine="0" w:firstLineChars="0"/>
              <w:jc w:val="center"/>
              <w:rPr>
                <w:rFonts w:ascii="Times New Roman" w:cs="Times New Roman"/>
                <w:sz w:val="21"/>
                <w:szCs w:val="21"/>
              </w:rPr>
            </w:pPr>
            <w:r>
              <w:rPr>
                <w:rFonts w:ascii="Times New Roman" w:cs="Times New Roman"/>
                <w:bCs/>
                <w:sz w:val="21"/>
                <w:szCs w:val="21"/>
              </w:rPr>
              <w:t>项目与</w:t>
            </w:r>
            <w:r>
              <w:rPr>
                <w:rFonts w:hint="eastAsia" w:ascii="Times New Roman" w:cs="Times New Roman"/>
                <w:bCs/>
                <w:sz w:val="21"/>
                <w:szCs w:val="21"/>
              </w:rPr>
              <w:t>生态保护红线保护要求</w:t>
            </w:r>
            <w:r>
              <w:rPr>
                <w:rFonts w:ascii="Times New Roman" w:cs="Times New Roman"/>
                <w:bCs/>
                <w:sz w:val="21"/>
                <w:szCs w:val="21"/>
              </w:rPr>
              <w:t>是相协调的</w:t>
            </w:r>
          </w:p>
        </w:tc>
        <w:tc>
          <w:tcPr>
            <w:tcW w:w="401" w:type="pct"/>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48" w:hRule="atLeast"/>
          <w:jc w:val="center"/>
        </w:trPr>
        <w:tc>
          <w:tcPr>
            <w:tcW w:w="646" w:type="pct"/>
            <w:vMerge w:val="continue"/>
            <w:vAlign w:val="center"/>
          </w:tcPr>
          <w:p>
            <w:pPr>
              <w:spacing w:line="240" w:lineRule="auto"/>
              <w:ind w:firstLine="0" w:firstLineChars="0"/>
              <w:jc w:val="center"/>
              <w:rPr>
                <w:rFonts w:ascii="Times New Roman" w:cs="Times New Roman"/>
                <w:sz w:val="21"/>
                <w:szCs w:val="21"/>
              </w:rPr>
            </w:pPr>
          </w:p>
        </w:tc>
        <w:tc>
          <w:tcPr>
            <w:tcW w:w="3326" w:type="pct"/>
            <w:vAlign w:val="center"/>
          </w:tcPr>
          <w:p>
            <w:pPr>
              <w:pStyle w:val="132"/>
              <w:rPr>
                <w:b/>
                <w:bCs/>
                <w:szCs w:val="21"/>
              </w:rPr>
            </w:pPr>
            <w:r>
              <w:rPr>
                <w:b/>
                <w:bCs/>
                <w:szCs w:val="21"/>
              </w:rPr>
              <w:t>扎实抓好环境风险防控</w:t>
            </w:r>
            <w:r>
              <w:rPr>
                <w:rFonts w:hint="eastAsia"/>
                <w:b/>
                <w:bCs/>
                <w:szCs w:val="21"/>
              </w:rPr>
              <w:t>：</w:t>
            </w:r>
          </w:p>
          <w:p>
            <w:pPr>
              <w:pStyle w:val="132"/>
            </w:pPr>
            <w:r>
              <w:t>危险废物利用处置率。加强医疗机构、天然气开采、机动车维修、化工园区等危险废物产生单位的环境监管，推进涉危企业严格执行危化品和危险废物相关管理制度，全面实施危险废物在线申报登记制度，开展危险废物、医疗废物专项执法检查，确保危险废物收集率达100%、处置率达100%。</w:t>
            </w:r>
          </w:p>
        </w:tc>
        <w:tc>
          <w:tcPr>
            <w:tcW w:w="627" w:type="pct"/>
            <w:vAlign w:val="center"/>
          </w:tcPr>
          <w:p>
            <w:pPr>
              <w:pStyle w:val="138"/>
              <w:rPr>
                <w:rFonts w:ascii="Times New Roman" w:hAnsi="Times New Roman"/>
                <w:szCs w:val="21"/>
              </w:rPr>
            </w:pPr>
            <w:r>
              <w:rPr>
                <w:rFonts w:hint="eastAsia" w:ascii="Times New Roman" w:hAnsi="Times New Roman"/>
                <w:szCs w:val="21"/>
              </w:rPr>
              <w:t>本</w:t>
            </w:r>
            <w:r>
              <w:rPr>
                <w:rFonts w:ascii="Times New Roman" w:hAnsi="Times New Roman"/>
                <w:szCs w:val="21"/>
              </w:rPr>
              <w:t>项目</w:t>
            </w:r>
            <w:r>
              <w:rPr>
                <w:rFonts w:hint="eastAsia" w:ascii="Times New Roman"/>
                <w:kern w:val="2"/>
                <w:shd w:val="clear" w:color="auto" w:fill="FFFFFF"/>
              </w:rPr>
              <w:t>危险</w:t>
            </w:r>
            <w:r>
              <w:rPr>
                <w:rFonts w:ascii="Times New Roman"/>
                <w:kern w:val="2"/>
                <w:shd w:val="clear" w:color="auto" w:fill="FFFFFF"/>
              </w:rPr>
              <w:t>废物</w:t>
            </w:r>
            <w:r>
              <w:rPr>
                <w:rFonts w:hint="eastAsia" w:ascii="Times New Roman"/>
                <w:bCs/>
                <w:kern w:val="2"/>
                <w:shd w:val="clear" w:color="auto" w:fill="FFFFFF"/>
              </w:rPr>
              <w:t>暂存于危废暂存间，定期交由资质单位处置。</w:t>
            </w:r>
          </w:p>
        </w:tc>
        <w:tc>
          <w:tcPr>
            <w:tcW w:w="401" w:type="pct"/>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符合</w:t>
            </w:r>
          </w:p>
        </w:tc>
      </w:tr>
    </w:tbl>
    <w:p>
      <w:pPr>
        <w:pStyle w:val="112"/>
        <w:ind w:firstLine="480"/>
      </w:pPr>
      <w:r>
        <w:t>经上表分析，项目建设与</w:t>
      </w:r>
      <w:r>
        <w:rPr>
          <w:bCs/>
          <w:szCs w:val="24"/>
        </w:rPr>
        <w:t>中共宣汉县委办公室 宣汉县人民政府办公室 关于印发《宣汉县 2022 年创建国家生态文明建设示范县实施方案》的通知</w:t>
      </w:r>
      <w:r>
        <w:rPr>
          <w:rFonts w:hint="eastAsia"/>
          <w:bCs/>
          <w:szCs w:val="24"/>
        </w:rPr>
        <w:t>（宣县委办发</w:t>
      </w:r>
      <w:r>
        <w:rPr>
          <w:rFonts w:hint="eastAsia"/>
          <w:bCs/>
          <w:szCs w:val="24"/>
          <w:lang w:eastAsia="zh-CN"/>
        </w:rPr>
        <w:t>〔2022〕</w:t>
      </w:r>
      <w:r>
        <w:rPr>
          <w:rFonts w:hint="eastAsia"/>
          <w:bCs/>
          <w:szCs w:val="24"/>
        </w:rPr>
        <w:t>33号）</w:t>
      </w:r>
      <w:r>
        <w:t>相符。</w:t>
      </w:r>
    </w:p>
    <w:p>
      <w:pPr>
        <w:keepNext/>
        <w:keepLines/>
        <w:spacing w:before="120"/>
        <w:ind w:firstLine="0" w:firstLineChars="0"/>
        <w:outlineLvl w:val="1"/>
        <w:rPr>
          <w:rFonts w:ascii="Times New Roman" w:cs="Times New Roman"/>
          <w:b/>
          <w:bCs/>
          <w:sz w:val="28"/>
          <w:szCs w:val="32"/>
        </w:rPr>
      </w:pPr>
      <w:bookmarkStart w:id="89" w:name="_Toc12288389"/>
      <w:bookmarkStart w:id="90" w:name="_Toc19815938"/>
      <w:bookmarkStart w:id="91" w:name="_Toc81515258"/>
      <w:r>
        <w:rPr>
          <w:rFonts w:ascii="Times New Roman" w:cs="Times New Roman"/>
          <w:b/>
          <w:bCs/>
          <w:sz w:val="28"/>
          <w:szCs w:val="32"/>
        </w:rPr>
        <w:t>1.9 污染控制与环境保护目标</w:t>
      </w:r>
      <w:bookmarkEnd w:id="89"/>
      <w:bookmarkEnd w:id="90"/>
      <w:bookmarkEnd w:id="91"/>
    </w:p>
    <w:p>
      <w:pPr>
        <w:keepNext/>
        <w:keepLines/>
        <w:ind w:firstLine="0" w:firstLineChars="0"/>
        <w:outlineLvl w:val="2"/>
        <w:rPr>
          <w:rFonts w:ascii="Times New Roman" w:cs="Times New Roman"/>
          <w:b/>
          <w:szCs w:val="32"/>
        </w:rPr>
      </w:pPr>
      <w:bookmarkStart w:id="92" w:name="_Toc19815939"/>
      <w:r>
        <w:rPr>
          <w:rFonts w:ascii="Times New Roman" w:cs="Times New Roman"/>
          <w:b/>
          <w:szCs w:val="32"/>
        </w:rPr>
        <w:t>1.9.1 污染控制目标</w:t>
      </w:r>
      <w:bookmarkEnd w:id="92"/>
    </w:p>
    <w:p>
      <w:pPr>
        <w:pStyle w:val="112"/>
        <w:ind w:firstLine="480"/>
      </w:pPr>
      <w:r>
        <w:t>1、控制场站各种污染物排放量，做到达标排放。</w:t>
      </w:r>
    </w:p>
    <w:p>
      <w:pPr>
        <w:pStyle w:val="112"/>
        <w:ind w:firstLine="480"/>
      </w:pPr>
      <w:r>
        <w:t>2、控制和减轻管沟开挖及施工临时便道建设对地表植被、土壤的破坏及造成的水土流失，特别注意控制对丘陵、山区的生态环境敏感区的影响。</w:t>
      </w:r>
    </w:p>
    <w:p>
      <w:pPr>
        <w:pStyle w:val="112"/>
        <w:ind w:firstLine="480"/>
      </w:pPr>
      <w:r>
        <w:t>3、防止由于施工活动地表水体及地下水环境。</w:t>
      </w:r>
    </w:p>
    <w:p>
      <w:pPr>
        <w:pStyle w:val="112"/>
        <w:ind w:firstLine="480"/>
      </w:pPr>
      <w:r>
        <w:t>4、控制和减轻管沟开挖建设对管道沿线一般林地及农业生态系统的影响，尽量减少对林木的砍伐，并落实植被及农田恢复的措施工作。</w:t>
      </w:r>
    </w:p>
    <w:p>
      <w:pPr>
        <w:pStyle w:val="112"/>
        <w:ind w:firstLine="480"/>
      </w:pPr>
      <w:r>
        <w:t>5、控制和减轻施工活动对管道沿线及站场周围居民的影响。</w:t>
      </w:r>
    </w:p>
    <w:p>
      <w:pPr>
        <w:keepNext/>
        <w:keepLines/>
        <w:ind w:firstLine="0" w:firstLineChars="0"/>
        <w:outlineLvl w:val="2"/>
        <w:rPr>
          <w:rFonts w:ascii="Times New Roman" w:cs="Times New Roman"/>
          <w:b/>
          <w:szCs w:val="32"/>
        </w:rPr>
      </w:pPr>
      <w:bookmarkStart w:id="93" w:name="_Toc19815940"/>
      <w:r>
        <w:rPr>
          <w:rFonts w:ascii="Times New Roman" w:cs="Times New Roman"/>
          <w:b/>
          <w:szCs w:val="32"/>
        </w:rPr>
        <w:t>1.9.2 环境保护目标</w:t>
      </w:r>
      <w:bookmarkEnd w:id="93"/>
    </w:p>
    <w:p>
      <w:pPr>
        <w:pStyle w:val="112"/>
        <w:ind w:firstLine="482"/>
        <w:rPr>
          <w:b/>
          <w:bCs/>
        </w:rPr>
      </w:pPr>
      <w:r>
        <w:rPr>
          <w:b/>
          <w:bCs/>
        </w:rPr>
        <w:t>1、大气环境敏感目标</w:t>
      </w:r>
    </w:p>
    <w:p>
      <w:pPr>
        <w:pStyle w:val="112"/>
        <w:ind w:firstLine="480"/>
      </w:pPr>
      <w:r>
        <w:t>本项目大气环境敏感目标</w:t>
      </w:r>
      <w:r>
        <w:rPr>
          <w:rFonts w:hint="eastAsia"/>
        </w:rPr>
        <w:t>为以</w:t>
      </w:r>
      <w:r>
        <w:t>普陆4集气平台为中心，边长5km矩形区域、管线200m评价范围内的人口集中区、学校</w:t>
      </w:r>
      <w:r>
        <w:rPr>
          <w:rFonts w:hint="eastAsia"/>
        </w:rPr>
        <w:t>等</w:t>
      </w:r>
      <w:r>
        <w:t>社会关注区等。</w:t>
      </w:r>
    </w:p>
    <w:p>
      <w:pPr>
        <w:pStyle w:val="112"/>
        <w:ind w:firstLine="482"/>
        <w:rPr>
          <w:b/>
          <w:bCs/>
        </w:rPr>
      </w:pPr>
      <w:r>
        <w:rPr>
          <w:b/>
          <w:bCs/>
        </w:rPr>
        <w:t>2、地表水环境敏感目标</w:t>
      </w:r>
    </w:p>
    <w:p>
      <w:pPr>
        <w:pStyle w:val="112"/>
        <w:ind w:firstLine="480"/>
        <w:rPr>
          <w:szCs w:val="24"/>
        </w:rPr>
      </w:pPr>
      <w:r>
        <w:t>普陆4集气平台</w:t>
      </w:r>
      <w:r>
        <w:rPr>
          <w:rFonts w:hint="eastAsia"/>
        </w:rPr>
        <w:t>、</w:t>
      </w:r>
      <w:r>
        <w:t>普陆4集气平台~P107集气站集气管道</w:t>
      </w:r>
      <w:r>
        <w:rPr>
          <w:rFonts w:hint="eastAsia"/>
        </w:rPr>
        <w:t>均</w:t>
      </w:r>
      <w:r>
        <w:rPr>
          <w:szCs w:val="24"/>
        </w:rPr>
        <w:t>未穿越地表水水源保护区，评价范围内不涉及地表水水源保护区。</w:t>
      </w:r>
    </w:p>
    <w:p>
      <w:pPr>
        <w:pStyle w:val="112"/>
        <w:ind w:firstLine="480"/>
        <w:rPr>
          <w:szCs w:val="24"/>
        </w:rPr>
      </w:pPr>
      <w:r>
        <w:rPr>
          <w:szCs w:val="24"/>
        </w:rPr>
        <w:t>普陆4集气平台为</w:t>
      </w:r>
      <w:r>
        <w:rPr>
          <w:rFonts w:hint="eastAsia"/>
          <w:szCs w:val="24"/>
        </w:rPr>
        <w:t>有人</w:t>
      </w:r>
      <w:r>
        <w:rPr>
          <w:szCs w:val="24"/>
        </w:rPr>
        <w:t>值守井站。</w:t>
      </w:r>
      <w:r>
        <w:t>本项目运营期产生的气田水</w:t>
      </w:r>
      <w:r>
        <w:rPr>
          <w:rFonts w:hint="eastAsia"/>
        </w:rPr>
        <w:t>暂存于污水缓冲罐</w:t>
      </w:r>
      <w:r>
        <w:t>，然后通过密闭罐车拉运至大湾403污水站处理达到《气田水回注方法》（SY/T 6596</w:t>
      </w:r>
      <w:r>
        <w:rPr>
          <w:rFonts w:hint="eastAsia"/>
        </w:rPr>
        <w:t>-</w:t>
      </w:r>
      <w:r>
        <w:t>2016）中注入水基本要求后管输至毛开1井回注站回注处理，不外排</w:t>
      </w:r>
      <w:r>
        <w:rPr>
          <w:rFonts w:hint="eastAsia"/>
        </w:rPr>
        <w:t>；值守</w:t>
      </w:r>
      <w:r>
        <w:t>人员生活</w:t>
      </w:r>
      <w:r>
        <w:rPr>
          <w:rFonts w:hint="eastAsia"/>
        </w:rPr>
        <w:t>污水经</w:t>
      </w:r>
      <w:r>
        <w:t>生态环保厕所收集后，用作周边农肥，不外排</w:t>
      </w:r>
      <w:r>
        <w:rPr>
          <w:szCs w:val="24"/>
        </w:rPr>
        <w:t>。项目最近地表水体为普陆4集气平台</w:t>
      </w:r>
      <w:r>
        <w:rPr>
          <w:rFonts w:hint="eastAsia"/>
          <w:szCs w:val="24"/>
        </w:rPr>
        <w:t>西北</w:t>
      </w:r>
      <w:r>
        <w:rPr>
          <w:szCs w:val="24"/>
        </w:rPr>
        <w:t>侧</w:t>
      </w:r>
      <w:r>
        <w:rPr>
          <w:rFonts w:hint="eastAsia"/>
          <w:szCs w:val="24"/>
        </w:rPr>
        <w:t>1600m处</w:t>
      </w:r>
      <w:r>
        <w:rPr>
          <w:szCs w:val="24"/>
        </w:rPr>
        <w:t>的</w:t>
      </w:r>
      <w:r>
        <w:rPr>
          <w:rFonts w:hint="eastAsia"/>
          <w:szCs w:val="24"/>
        </w:rPr>
        <w:t>中</w:t>
      </w:r>
      <w:r>
        <w:rPr>
          <w:szCs w:val="24"/>
        </w:rPr>
        <w:t>河和西南侧</w:t>
      </w:r>
      <w:r>
        <w:rPr>
          <w:rFonts w:hint="eastAsia"/>
          <w:szCs w:val="24"/>
        </w:rPr>
        <w:t>5100m处</w:t>
      </w:r>
      <w:r>
        <w:rPr>
          <w:szCs w:val="24"/>
        </w:rPr>
        <w:t>的</w:t>
      </w:r>
      <w:r>
        <w:rPr>
          <w:rFonts w:hint="eastAsia"/>
          <w:szCs w:val="24"/>
        </w:rPr>
        <w:t>后</w:t>
      </w:r>
      <w:r>
        <w:rPr>
          <w:szCs w:val="24"/>
        </w:rPr>
        <w:t>河，为本项目地表水敏感目标。</w:t>
      </w:r>
    </w:p>
    <w:p>
      <w:pPr>
        <w:pStyle w:val="112"/>
        <w:ind w:firstLine="482"/>
        <w:rPr>
          <w:b/>
          <w:bCs/>
          <w:szCs w:val="24"/>
        </w:rPr>
      </w:pPr>
      <w:r>
        <w:rPr>
          <w:b/>
          <w:bCs/>
          <w:szCs w:val="24"/>
        </w:rPr>
        <w:t>3、地下水环境敏感目标</w:t>
      </w:r>
    </w:p>
    <w:p>
      <w:pPr>
        <w:pStyle w:val="112"/>
        <w:ind w:firstLine="480"/>
        <w:rPr>
          <w:szCs w:val="24"/>
        </w:rPr>
      </w:pPr>
      <w:r>
        <w:rPr>
          <w:szCs w:val="24"/>
        </w:rPr>
        <w:t>本次评价对评价范围内村庄用水进行了详细调查：管线两侧200m范围内不涉及划定的地下水水源保护区、准保护区，普陆4集气平台</w:t>
      </w:r>
      <w:r>
        <w:rPr>
          <w:rFonts w:hint="eastAsia"/>
          <w:szCs w:val="24"/>
        </w:rPr>
        <w:t>地下水评价范围内</w:t>
      </w:r>
      <w:r>
        <w:rPr>
          <w:szCs w:val="24"/>
        </w:rPr>
        <w:t>有部分农户水井作为分散式饮用水源</w:t>
      </w:r>
      <w:r>
        <w:rPr>
          <w:rFonts w:hint="eastAsia"/>
          <w:szCs w:val="24"/>
        </w:rPr>
        <w:t>（共计13口水井）</w:t>
      </w:r>
      <w:r>
        <w:rPr>
          <w:szCs w:val="24"/>
        </w:rPr>
        <w:t>。</w:t>
      </w:r>
    </w:p>
    <w:p>
      <w:pPr>
        <w:pStyle w:val="112"/>
        <w:ind w:firstLine="482"/>
        <w:rPr>
          <w:b/>
          <w:bCs/>
          <w:szCs w:val="24"/>
        </w:rPr>
      </w:pPr>
      <w:r>
        <w:rPr>
          <w:b/>
          <w:bCs/>
          <w:szCs w:val="24"/>
        </w:rPr>
        <w:t>4、声环境敏感目标</w:t>
      </w:r>
    </w:p>
    <w:p>
      <w:pPr>
        <w:pStyle w:val="112"/>
        <w:ind w:firstLine="480"/>
        <w:rPr>
          <w:szCs w:val="24"/>
        </w:rPr>
      </w:pPr>
      <w:r>
        <w:rPr>
          <w:szCs w:val="24"/>
        </w:rPr>
        <w:t>经现场踏勘</w:t>
      </w:r>
      <w:r>
        <w:rPr>
          <w:rFonts w:hint="eastAsia"/>
          <w:szCs w:val="24"/>
        </w:rPr>
        <w:t>，本项目</w:t>
      </w:r>
      <w:r>
        <w:rPr>
          <w:szCs w:val="24"/>
        </w:rPr>
        <w:t>普陆4集气平台厂界外200m范围内的分散居民及集气管道两侧200m范围内散住居民。</w:t>
      </w:r>
    </w:p>
    <w:p>
      <w:pPr>
        <w:pStyle w:val="112"/>
        <w:ind w:firstLine="482"/>
        <w:rPr>
          <w:b/>
          <w:bCs/>
          <w:szCs w:val="24"/>
        </w:rPr>
      </w:pPr>
      <w:r>
        <w:rPr>
          <w:b/>
          <w:bCs/>
          <w:szCs w:val="24"/>
        </w:rPr>
        <w:t>5、土壤环境敏感目标</w:t>
      </w:r>
    </w:p>
    <w:p>
      <w:pPr>
        <w:pStyle w:val="112"/>
        <w:ind w:firstLine="480"/>
        <w:rPr>
          <w:szCs w:val="24"/>
        </w:rPr>
      </w:pPr>
      <w:r>
        <w:rPr>
          <w:szCs w:val="24"/>
        </w:rPr>
        <w:t>项目土壤环境保护目标为项目占地范围内以及占地范围外0.2km内的耕地。</w:t>
      </w:r>
    </w:p>
    <w:p>
      <w:pPr>
        <w:pStyle w:val="112"/>
        <w:ind w:firstLine="482"/>
        <w:rPr>
          <w:b/>
          <w:bCs/>
          <w:szCs w:val="24"/>
        </w:rPr>
      </w:pPr>
      <w:r>
        <w:rPr>
          <w:b/>
          <w:bCs/>
          <w:szCs w:val="24"/>
        </w:rPr>
        <w:t>6、生态环境敏感目标</w:t>
      </w:r>
    </w:p>
    <w:p>
      <w:pPr>
        <w:pStyle w:val="112"/>
        <w:ind w:firstLine="480"/>
        <w:rPr>
          <w:szCs w:val="24"/>
        </w:rPr>
      </w:pPr>
      <w:r>
        <w:rPr>
          <w:szCs w:val="24"/>
        </w:rPr>
        <w:t>项目总体不在城镇总体规划城镇建设用地范围内，属于农村区域。井场周边无珍稀动植物、自然风景区。区域植被覆盖率高，土壤水土保持性能较好，水土流失量小。</w:t>
      </w:r>
    </w:p>
    <w:p>
      <w:pPr>
        <w:pStyle w:val="112"/>
        <w:ind w:firstLine="480"/>
        <w:rPr>
          <w:szCs w:val="24"/>
        </w:rPr>
      </w:pPr>
      <w:r>
        <w:rPr>
          <w:szCs w:val="24"/>
        </w:rPr>
        <w:t>经现场调查，井场周边</w:t>
      </w:r>
      <w:r>
        <w:rPr>
          <w:rFonts w:hint="eastAsia"/>
          <w:szCs w:val="24"/>
        </w:rPr>
        <w:t>20</w:t>
      </w:r>
      <w:r>
        <w:rPr>
          <w:szCs w:val="24"/>
        </w:rPr>
        <w:t>00m范围内未发现国家及省级重点保护野生动植物，也未发现有适合重点保护野生动物栖息地、繁殖地、觅食地分布，也不涉及各级自然保护区、森林公园和风景名胜区等生态敏感区</w:t>
      </w:r>
      <w:r>
        <w:rPr>
          <w:rFonts w:hint="eastAsia"/>
          <w:szCs w:val="24"/>
        </w:rPr>
        <w:t>，</w:t>
      </w:r>
      <w:r>
        <w:rPr>
          <w:szCs w:val="24"/>
        </w:rPr>
        <w:t>主要生态保护目标为评价范围内的</w:t>
      </w:r>
      <w:r>
        <w:rPr>
          <w:rFonts w:hint="eastAsia"/>
          <w:color w:val="FF0000"/>
        </w:rPr>
        <w:t>二级国家级公益林和水土流失重点治理区</w:t>
      </w:r>
      <w:r>
        <w:rPr>
          <w:szCs w:val="24"/>
        </w:rPr>
        <w:t>。</w:t>
      </w:r>
    </w:p>
    <w:p>
      <w:pPr>
        <w:pStyle w:val="112"/>
        <w:ind w:firstLine="482"/>
        <w:rPr>
          <w:b/>
          <w:bCs/>
          <w:szCs w:val="24"/>
        </w:rPr>
      </w:pPr>
      <w:r>
        <w:rPr>
          <w:b/>
          <w:bCs/>
          <w:szCs w:val="24"/>
        </w:rPr>
        <w:t>7、环境风险敏感目标</w:t>
      </w:r>
    </w:p>
    <w:p>
      <w:pPr>
        <w:pStyle w:val="112"/>
        <w:ind w:firstLine="480"/>
      </w:pPr>
      <w:r>
        <w:t>本项目大气环境风险保护目标为站场周边5</w:t>
      </w:r>
      <w:r>
        <w:rPr>
          <w:rFonts w:hint="eastAsia"/>
        </w:rPr>
        <w:t>k</w:t>
      </w:r>
      <w:r>
        <w:t>m范围内的人口集中区、学校医院等社会关注区</w:t>
      </w:r>
      <w:r>
        <w:rPr>
          <w:rFonts w:hint="eastAsia"/>
        </w:rPr>
        <w:t>以及本项目</w:t>
      </w:r>
      <w:r>
        <w:t>管线两侧</w:t>
      </w:r>
      <w:r>
        <w:rPr>
          <w:rFonts w:hint="eastAsia"/>
        </w:rPr>
        <w:t>2</w:t>
      </w:r>
      <w:r>
        <w:t>00m范围内的人口集中区、学校医院等社会关注区。</w:t>
      </w:r>
    </w:p>
    <w:p>
      <w:pPr>
        <w:pStyle w:val="37"/>
        <w:rPr>
          <w:rFonts w:cs="Times New Roman"/>
        </w:rPr>
        <w:sectPr>
          <w:headerReference r:id="rId17" w:type="default"/>
          <w:footerReference r:id="rId18" w:type="default"/>
          <w:pgSz w:w="11906" w:h="16838"/>
          <w:pgMar w:top="1440" w:right="1800" w:bottom="1440" w:left="1800" w:header="851" w:footer="992" w:gutter="0"/>
          <w:cols w:space="425" w:num="1"/>
          <w:docGrid w:type="lines" w:linePitch="312" w:charSpace="0"/>
        </w:sectPr>
      </w:pPr>
    </w:p>
    <w:p>
      <w:pPr>
        <w:pStyle w:val="37"/>
        <w:ind w:firstLine="480"/>
        <w:rPr>
          <w:rFonts w:cs="Times New Roman"/>
        </w:rPr>
      </w:pPr>
      <w:r>
        <w:rPr>
          <w:rFonts w:cs="Times New Roman"/>
        </w:rPr>
        <w:t>表</w:t>
      </w:r>
      <w:r>
        <w:rPr>
          <w:rFonts w:cs="Times New Roman"/>
          <w:bCs/>
        </w:rPr>
        <w:t>1.9-</w:t>
      </w:r>
      <w:r>
        <w:rPr>
          <w:rFonts w:hint="eastAsia" w:cs="Times New Roman"/>
          <w:bCs/>
        </w:rPr>
        <w:t>1</w:t>
      </w:r>
      <w:r>
        <w:rPr>
          <w:rFonts w:cs="Times New Roman"/>
          <w:bCs/>
        </w:rPr>
        <w:t xml:space="preserve">  </w:t>
      </w:r>
      <w:r>
        <w:rPr>
          <w:rFonts w:cs="Times New Roman"/>
        </w:rPr>
        <w:t>普陆4集气平台站场主要环境敏感目标一览表</w:t>
      </w:r>
    </w:p>
    <w:tbl>
      <w:tblPr>
        <w:tblStyle w:val="57"/>
        <w:tblW w:w="50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73"/>
        <w:gridCol w:w="1439"/>
        <w:gridCol w:w="2593"/>
        <w:gridCol w:w="1294"/>
        <w:gridCol w:w="1154"/>
        <w:gridCol w:w="1151"/>
        <w:gridCol w:w="1719"/>
        <w:gridCol w:w="3167"/>
        <w:gridCol w:w="717"/>
        <w:gridCol w:w="137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 w:hRule="atLeast"/>
          <w:jc w:val="center"/>
        </w:trPr>
        <w:tc>
          <w:tcPr>
            <w:tcW w:w="189" w:type="pct"/>
            <w:vMerge w:val="restart"/>
            <w:tcBorders>
              <w:top w:val="single" w:color="000000" w:sz="1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r>
              <w:rPr>
                <w:rFonts w:ascii="Times New Roman" w:cs="Times New Roman"/>
                <w:b/>
                <w:sz w:val="21"/>
                <w:szCs w:val="21"/>
              </w:rPr>
              <w:t>序号</w:t>
            </w:r>
          </w:p>
        </w:tc>
        <w:tc>
          <w:tcPr>
            <w:tcW w:w="474" w:type="pct"/>
            <w:vMerge w:val="restart"/>
            <w:tcBorders>
              <w:top w:val="single" w:color="000000" w:sz="1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r>
              <w:rPr>
                <w:rFonts w:ascii="Times New Roman" w:cs="Times New Roman"/>
                <w:b/>
                <w:sz w:val="21"/>
                <w:szCs w:val="21"/>
              </w:rPr>
              <w:t>环境要素</w:t>
            </w:r>
          </w:p>
        </w:tc>
        <w:tc>
          <w:tcPr>
            <w:tcW w:w="854" w:type="pct"/>
            <w:vMerge w:val="restart"/>
            <w:tcBorders>
              <w:top w:val="single" w:color="000000" w:sz="1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r>
              <w:rPr>
                <w:rFonts w:ascii="Times New Roman" w:cs="Times New Roman"/>
                <w:b/>
                <w:sz w:val="21"/>
                <w:szCs w:val="21"/>
              </w:rPr>
              <w:t>保护目标</w:t>
            </w:r>
          </w:p>
        </w:tc>
        <w:tc>
          <w:tcPr>
            <w:tcW w:w="806" w:type="pct"/>
            <w:gridSpan w:val="2"/>
            <w:tcBorders>
              <w:top w:val="single" w:color="000000" w:sz="1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r>
              <w:rPr>
                <w:rFonts w:ascii="Times New Roman" w:cs="Times New Roman"/>
                <w:b/>
                <w:sz w:val="21"/>
                <w:szCs w:val="21"/>
              </w:rPr>
              <w:t>距离最近点坐标</w:t>
            </w:r>
          </w:p>
        </w:tc>
        <w:tc>
          <w:tcPr>
            <w:tcW w:w="379" w:type="pct"/>
            <w:vMerge w:val="restart"/>
            <w:tcBorders>
              <w:top w:val="single" w:color="000000" w:sz="1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r>
              <w:rPr>
                <w:rFonts w:ascii="Times New Roman" w:cs="Times New Roman"/>
                <w:b/>
                <w:sz w:val="21"/>
                <w:szCs w:val="21"/>
              </w:rPr>
              <w:t>保护对象</w:t>
            </w:r>
          </w:p>
        </w:tc>
        <w:tc>
          <w:tcPr>
            <w:tcW w:w="566" w:type="pct"/>
            <w:vMerge w:val="restart"/>
            <w:tcBorders>
              <w:top w:val="single" w:color="000000" w:sz="1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r>
              <w:rPr>
                <w:rFonts w:ascii="Times New Roman" w:cs="Times New Roman"/>
                <w:b/>
                <w:sz w:val="21"/>
                <w:szCs w:val="21"/>
              </w:rPr>
              <w:t>保护内容</w:t>
            </w:r>
          </w:p>
        </w:tc>
        <w:tc>
          <w:tcPr>
            <w:tcW w:w="1043" w:type="pct"/>
            <w:vMerge w:val="restart"/>
            <w:tcBorders>
              <w:top w:val="single" w:color="000000" w:sz="1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r>
              <w:rPr>
                <w:rFonts w:ascii="Times New Roman" w:cs="Times New Roman"/>
                <w:b/>
                <w:sz w:val="21"/>
                <w:szCs w:val="21"/>
              </w:rPr>
              <w:t>环境功能区</w:t>
            </w:r>
          </w:p>
        </w:tc>
        <w:tc>
          <w:tcPr>
            <w:tcW w:w="689" w:type="pct"/>
            <w:gridSpan w:val="2"/>
            <w:tcBorders>
              <w:top w:val="single" w:color="000000" w:sz="1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b/>
                <w:sz w:val="21"/>
                <w:szCs w:val="21"/>
              </w:rPr>
            </w:pPr>
            <w:r>
              <w:rPr>
                <w:rFonts w:ascii="Times New Roman" w:cs="Times New Roman"/>
                <w:b/>
                <w:sz w:val="21"/>
                <w:szCs w:val="21"/>
              </w:rPr>
              <w:t>相对</w:t>
            </w:r>
            <w:r>
              <w:rPr>
                <w:rFonts w:hint="eastAsia" w:ascii="Times New Roman" w:cs="Times New Roman"/>
                <w:b/>
                <w:sz w:val="21"/>
                <w:szCs w:val="21"/>
              </w:rPr>
              <w:t>站场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vMerge w:val="continue"/>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474"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854"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r>
              <w:rPr>
                <w:rFonts w:ascii="Times New Roman" w:cs="Times New Roman"/>
                <w:b/>
                <w:sz w:val="21"/>
                <w:szCs w:val="21"/>
              </w:rPr>
              <w:t>X</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r>
              <w:rPr>
                <w:rFonts w:ascii="Times New Roman" w:cs="Times New Roman"/>
                <w:b/>
                <w:sz w:val="21"/>
                <w:szCs w:val="21"/>
              </w:rPr>
              <w:t>Y</w:t>
            </w:r>
          </w:p>
        </w:tc>
        <w:tc>
          <w:tcPr>
            <w:tcW w:w="379"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566"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1043"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r>
              <w:rPr>
                <w:rFonts w:ascii="Times New Roman" w:cs="Times New Roman"/>
                <w:b/>
                <w:sz w:val="21"/>
                <w:szCs w:val="21"/>
              </w:rPr>
              <w:t>方位</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b/>
                <w:sz w:val="21"/>
                <w:szCs w:val="21"/>
              </w:rPr>
            </w:pPr>
            <w:r>
              <w:rPr>
                <w:rFonts w:ascii="Times New Roman" w:cs="Times New Roman"/>
                <w:b/>
                <w:sz w:val="21"/>
                <w:szCs w:val="21"/>
              </w:rPr>
              <w:t>距离（m）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1</w:t>
            </w:r>
          </w:p>
        </w:tc>
        <w:tc>
          <w:tcPr>
            <w:tcW w:w="474" w:type="pct"/>
            <w:vMerge w:val="restart"/>
            <w:tcBorders>
              <w:top w:val="single" w:color="000000" w:sz="2" w:space="0"/>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r>
              <w:rPr>
                <w:rFonts w:ascii="Times New Roman" w:cs="Times New Roman"/>
                <w:sz w:val="21"/>
                <w:szCs w:val="21"/>
              </w:rPr>
              <w:t>环境空气</w:t>
            </w:r>
            <w:r>
              <w:rPr>
                <w:rFonts w:hint="eastAsia" w:ascii="Times New Roman" w:cs="Times New Roman"/>
                <w:sz w:val="21"/>
                <w:szCs w:val="21"/>
              </w:rPr>
              <w:t>、</w:t>
            </w:r>
            <w:r>
              <w:rPr>
                <w:rFonts w:ascii="Times New Roman" w:cs="Times New Roman"/>
                <w:sz w:val="21"/>
                <w:szCs w:val="21"/>
              </w:rPr>
              <w:t>环境风险</w:t>
            </w: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上帽顶梁农户</w:t>
            </w:r>
            <w:r>
              <w:rPr>
                <w:rFonts w:hint="eastAsia" w:ascii="Times New Roman" w:cs="Times New Roman"/>
                <w:sz w:val="21"/>
                <w:szCs w:val="21"/>
              </w:rPr>
              <w:t>1#</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100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-210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15</w:t>
            </w:r>
            <w:r>
              <w:rPr>
                <w:rFonts w:ascii="Times New Roman" w:cs="Times New Roman"/>
                <w:sz w:val="21"/>
                <w:szCs w:val="21"/>
              </w:rPr>
              <w:t>户</w:t>
            </w:r>
            <w:r>
              <w:rPr>
                <w:rFonts w:hint="eastAsia" w:ascii="Times New Roman" w:cs="Times New Roman"/>
                <w:sz w:val="21"/>
                <w:szCs w:val="21"/>
              </w:rPr>
              <w:t>50</w:t>
            </w:r>
            <w:r>
              <w:rPr>
                <w:rFonts w:ascii="Times New Roman" w:cs="Times New Roman"/>
                <w:sz w:val="21"/>
                <w:szCs w:val="21"/>
              </w:rPr>
              <w:t>人</w:t>
            </w:r>
          </w:p>
        </w:tc>
        <w:tc>
          <w:tcPr>
            <w:tcW w:w="1043" w:type="pct"/>
            <w:vMerge w:val="restart"/>
            <w:tcBorders>
              <w:top w:val="single" w:color="000000" w:sz="2" w:space="0"/>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《环境空气质量标准》（GB3095-2012）二级标准</w:t>
            </w: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2</w:t>
            </w:r>
          </w:p>
        </w:tc>
        <w:tc>
          <w:tcPr>
            <w:tcW w:w="474" w:type="pct"/>
            <w:vMerge w:val="continue"/>
            <w:tcBorders>
              <w:top w:val="single" w:color="000000" w:sz="2" w:space="0"/>
              <w:left w:val="single" w:color="000000" w:sz="2" w:space="0"/>
              <w:right w:val="single" w:color="000000" w:sz="2" w:space="0"/>
            </w:tcBorders>
            <w:vAlign w:val="center"/>
          </w:tcPr>
          <w:p>
            <w:pPr>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垭豁丘农户</w:t>
            </w:r>
            <w:r>
              <w:rPr>
                <w:rFonts w:hint="eastAsia" w:ascii="Times New Roman" w:cs="Times New Roman"/>
                <w:sz w:val="21"/>
                <w:szCs w:val="21"/>
              </w:rPr>
              <w:t>2#</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910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-555</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10</w:t>
            </w:r>
            <w:r>
              <w:rPr>
                <w:rFonts w:ascii="Times New Roman" w:cs="Times New Roman"/>
                <w:sz w:val="21"/>
                <w:szCs w:val="21"/>
              </w:rPr>
              <w:t>户</w:t>
            </w:r>
            <w:r>
              <w:rPr>
                <w:rFonts w:hint="eastAsia" w:ascii="Times New Roman" w:cs="Times New Roman"/>
                <w:sz w:val="21"/>
                <w:szCs w:val="21"/>
              </w:rPr>
              <w:t>35</w:t>
            </w:r>
            <w:r>
              <w:rPr>
                <w:rFonts w:ascii="Times New Roman" w:cs="Times New Roman"/>
                <w:sz w:val="21"/>
                <w:szCs w:val="21"/>
              </w:rPr>
              <w:t>人</w:t>
            </w:r>
          </w:p>
        </w:tc>
        <w:tc>
          <w:tcPr>
            <w:tcW w:w="1043" w:type="pct"/>
            <w:vMerge w:val="continue"/>
            <w:tcBorders>
              <w:top w:val="single" w:color="000000" w:sz="2" w:space="0"/>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3</w:t>
            </w:r>
          </w:p>
        </w:tc>
        <w:tc>
          <w:tcPr>
            <w:tcW w:w="474" w:type="pct"/>
            <w:vMerge w:val="continue"/>
            <w:tcBorders>
              <w:top w:val="single" w:color="000000" w:sz="2" w:space="0"/>
              <w:left w:val="single" w:color="000000" w:sz="2" w:space="0"/>
              <w:right w:val="single" w:color="000000" w:sz="2" w:space="0"/>
            </w:tcBorders>
            <w:vAlign w:val="center"/>
          </w:tcPr>
          <w:p>
            <w:pPr>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沙坝村农户</w:t>
            </w:r>
            <w:r>
              <w:rPr>
                <w:rFonts w:hint="eastAsia" w:ascii="Times New Roman" w:cs="Times New Roman"/>
                <w:sz w:val="21"/>
                <w:szCs w:val="21"/>
              </w:rPr>
              <w:t>3#</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1390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-460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150</w:t>
            </w:r>
            <w:r>
              <w:rPr>
                <w:rFonts w:ascii="Times New Roman" w:cs="Times New Roman"/>
                <w:sz w:val="21"/>
                <w:szCs w:val="21"/>
              </w:rPr>
              <w:t>户</w:t>
            </w:r>
            <w:r>
              <w:rPr>
                <w:rFonts w:hint="eastAsia" w:ascii="Times New Roman" w:cs="Times New Roman"/>
                <w:sz w:val="21"/>
                <w:szCs w:val="21"/>
              </w:rPr>
              <w:t>550</w:t>
            </w:r>
            <w:r>
              <w:rPr>
                <w:rFonts w:ascii="Times New Roman" w:cs="Times New Roman"/>
                <w:sz w:val="21"/>
                <w:szCs w:val="21"/>
              </w:rPr>
              <w:t>人</w:t>
            </w:r>
          </w:p>
        </w:tc>
        <w:tc>
          <w:tcPr>
            <w:tcW w:w="1043" w:type="pct"/>
            <w:vMerge w:val="continue"/>
            <w:tcBorders>
              <w:top w:val="single" w:color="000000" w:sz="2" w:space="0"/>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4</w:t>
            </w:r>
          </w:p>
        </w:tc>
        <w:tc>
          <w:tcPr>
            <w:tcW w:w="474" w:type="pct"/>
            <w:vMerge w:val="continue"/>
            <w:tcBorders>
              <w:top w:val="single" w:color="000000" w:sz="2" w:space="0"/>
              <w:left w:val="single" w:color="000000" w:sz="2" w:space="0"/>
              <w:right w:val="single" w:color="000000" w:sz="2" w:space="0"/>
            </w:tcBorders>
            <w:vAlign w:val="center"/>
          </w:tcPr>
          <w:p>
            <w:pPr>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吴家坪农户4#</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1670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-1380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2</w:t>
            </w:r>
            <w:r>
              <w:rPr>
                <w:rFonts w:ascii="Times New Roman" w:cs="Times New Roman"/>
                <w:sz w:val="21"/>
                <w:szCs w:val="21"/>
              </w:rPr>
              <w:t>0户</w:t>
            </w:r>
            <w:r>
              <w:rPr>
                <w:rFonts w:hint="eastAsia" w:ascii="Times New Roman" w:cs="Times New Roman"/>
                <w:sz w:val="21"/>
                <w:szCs w:val="21"/>
              </w:rPr>
              <w:t>60</w:t>
            </w:r>
            <w:r>
              <w:rPr>
                <w:rFonts w:ascii="Times New Roman" w:cs="Times New Roman"/>
                <w:sz w:val="21"/>
                <w:szCs w:val="21"/>
              </w:rPr>
              <w:t>人</w:t>
            </w:r>
          </w:p>
        </w:tc>
        <w:tc>
          <w:tcPr>
            <w:tcW w:w="1043" w:type="pct"/>
            <w:vMerge w:val="continue"/>
            <w:tcBorders>
              <w:top w:val="single" w:color="000000" w:sz="2" w:space="0"/>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256</w:t>
            </w:r>
            <w:r>
              <w:rPr>
                <w:rFonts w:ascii="Times New Roman" w:cs="Times New Roman"/>
                <w:sz w:val="21"/>
                <w:szCs w:val="21"/>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5</w:t>
            </w:r>
          </w:p>
        </w:tc>
        <w:tc>
          <w:tcPr>
            <w:tcW w:w="474" w:type="pct"/>
            <w:vMerge w:val="continue"/>
            <w:tcBorders>
              <w:top w:val="single" w:color="000000" w:sz="2" w:space="0"/>
              <w:left w:val="single" w:color="000000" w:sz="2" w:space="0"/>
              <w:right w:val="single" w:color="000000" w:sz="2" w:space="0"/>
            </w:tcBorders>
            <w:vAlign w:val="center"/>
          </w:tcPr>
          <w:p>
            <w:pPr>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王家坡农户5#</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2560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-1080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25</w:t>
            </w:r>
            <w:r>
              <w:rPr>
                <w:rFonts w:ascii="Times New Roman" w:cs="Times New Roman"/>
                <w:sz w:val="21"/>
                <w:szCs w:val="21"/>
              </w:rPr>
              <w:t>户</w:t>
            </w:r>
            <w:r>
              <w:rPr>
                <w:rFonts w:hint="eastAsia" w:ascii="Times New Roman" w:cs="Times New Roman"/>
                <w:sz w:val="21"/>
                <w:szCs w:val="21"/>
              </w:rPr>
              <w:t>80</w:t>
            </w:r>
            <w:r>
              <w:rPr>
                <w:rFonts w:ascii="Times New Roman" w:cs="Times New Roman"/>
                <w:sz w:val="21"/>
                <w:szCs w:val="21"/>
              </w:rPr>
              <w:t>人</w:t>
            </w:r>
          </w:p>
        </w:tc>
        <w:tc>
          <w:tcPr>
            <w:tcW w:w="1043" w:type="pct"/>
            <w:vMerge w:val="continue"/>
            <w:tcBorders>
              <w:top w:val="single" w:color="000000" w:sz="2" w:space="0"/>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2840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6</w:t>
            </w:r>
          </w:p>
        </w:tc>
        <w:tc>
          <w:tcPr>
            <w:tcW w:w="474" w:type="pct"/>
            <w:vMerge w:val="continue"/>
            <w:tcBorders>
              <w:top w:val="single" w:color="000000" w:sz="2" w:space="0"/>
              <w:left w:val="single" w:color="000000" w:sz="2" w:space="0"/>
              <w:right w:val="single" w:color="000000" w:sz="2" w:space="0"/>
            </w:tcBorders>
            <w:vAlign w:val="center"/>
          </w:tcPr>
          <w:p>
            <w:pPr>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金佛寺</w:t>
            </w:r>
            <w:r>
              <w:rPr>
                <w:rFonts w:ascii="Times New Roman" w:cs="Times New Roman"/>
                <w:sz w:val="21"/>
                <w:szCs w:val="21"/>
              </w:rPr>
              <w:t>农户</w:t>
            </w:r>
            <w:r>
              <w:rPr>
                <w:rFonts w:hint="eastAsia" w:ascii="Times New Roman" w:cs="Times New Roman"/>
                <w:sz w:val="21"/>
                <w:szCs w:val="21"/>
              </w:rPr>
              <w:t>6#</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3460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-1730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5</w:t>
            </w:r>
            <w:r>
              <w:rPr>
                <w:rFonts w:ascii="Times New Roman" w:cs="Times New Roman"/>
                <w:sz w:val="21"/>
                <w:szCs w:val="21"/>
              </w:rPr>
              <w:t>户</w:t>
            </w:r>
            <w:r>
              <w:rPr>
                <w:rFonts w:hint="eastAsia" w:ascii="Times New Roman" w:cs="Times New Roman"/>
                <w:sz w:val="21"/>
                <w:szCs w:val="21"/>
              </w:rPr>
              <w:t>15</w:t>
            </w:r>
            <w:r>
              <w:rPr>
                <w:rFonts w:ascii="Times New Roman" w:cs="Times New Roman"/>
                <w:sz w:val="21"/>
                <w:szCs w:val="21"/>
              </w:rPr>
              <w:t>人</w:t>
            </w:r>
          </w:p>
        </w:tc>
        <w:tc>
          <w:tcPr>
            <w:tcW w:w="1043" w:type="pct"/>
            <w:vMerge w:val="continue"/>
            <w:tcBorders>
              <w:top w:val="single" w:color="000000" w:sz="2" w:space="0"/>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3940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7</w:t>
            </w:r>
          </w:p>
        </w:tc>
        <w:tc>
          <w:tcPr>
            <w:tcW w:w="474" w:type="pct"/>
            <w:vMerge w:val="continue"/>
            <w:tcBorders>
              <w:top w:val="single" w:color="000000" w:sz="2" w:space="0"/>
              <w:left w:val="single" w:color="000000" w:sz="2" w:space="0"/>
              <w:right w:val="single" w:color="000000" w:sz="2" w:space="0"/>
            </w:tcBorders>
            <w:vAlign w:val="center"/>
          </w:tcPr>
          <w:p>
            <w:pPr>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白果坪</w:t>
            </w:r>
            <w:r>
              <w:rPr>
                <w:rFonts w:ascii="Times New Roman" w:cs="Times New Roman"/>
                <w:sz w:val="21"/>
                <w:szCs w:val="21"/>
              </w:rPr>
              <w:t>农户</w:t>
            </w:r>
            <w:r>
              <w:rPr>
                <w:rFonts w:hint="eastAsia" w:ascii="Times New Roman" w:cs="Times New Roman"/>
                <w:sz w:val="21"/>
                <w:szCs w:val="21"/>
              </w:rPr>
              <w:t>7#</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4000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-2290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25</w:t>
            </w:r>
            <w:r>
              <w:rPr>
                <w:rFonts w:ascii="Times New Roman" w:cs="Times New Roman"/>
                <w:sz w:val="21"/>
                <w:szCs w:val="21"/>
              </w:rPr>
              <w:t>户</w:t>
            </w:r>
            <w:r>
              <w:rPr>
                <w:rFonts w:hint="eastAsia" w:ascii="Times New Roman" w:cs="Times New Roman"/>
                <w:sz w:val="21"/>
                <w:szCs w:val="21"/>
              </w:rPr>
              <w:t>80</w:t>
            </w:r>
            <w:r>
              <w:rPr>
                <w:rFonts w:ascii="Times New Roman" w:cs="Times New Roman"/>
                <w:sz w:val="21"/>
                <w:szCs w:val="21"/>
              </w:rPr>
              <w:t>人</w:t>
            </w:r>
          </w:p>
        </w:tc>
        <w:tc>
          <w:tcPr>
            <w:tcW w:w="1043" w:type="pct"/>
            <w:vMerge w:val="continue"/>
            <w:tcBorders>
              <w:top w:val="single" w:color="000000" w:sz="2" w:space="0"/>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4770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8</w:t>
            </w:r>
          </w:p>
        </w:tc>
        <w:tc>
          <w:tcPr>
            <w:tcW w:w="474" w:type="pct"/>
            <w:vMerge w:val="continue"/>
            <w:tcBorders>
              <w:top w:val="single" w:color="000000" w:sz="2" w:space="0"/>
              <w:left w:val="single" w:color="000000" w:sz="2" w:space="0"/>
              <w:right w:val="single" w:color="000000" w:sz="2" w:space="0"/>
            </w:tcBorders>
            <w:vAlign w:val="center"/>
          </w:tcPr>
          <w:p>
            <w:pPr>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罗家湾</w:t>
            </w:r>
            <w:r>
              <w:rPr>
                <w:rFonts w:ascii="Times New Roman" w:cs="Times New Roman"/>
                <w:sz w:val="21"/>
                <w:szCs w:val="21"/>
              </w:rPr>
              <w:t>农户</w:t>
            </w:r>
            <w:r>
              <w:rPr>
                <w:rFonts w:hint="eastAsia" w:ascii="Times New Roman" w:cs="Times New Roman"/>
                <w:sz w:val="21"/>
                <w:szCs w:val="21"/>
              </w:rPr>
              <w:t>8#</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450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-1770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5</w:t>
            </w:r>
            <w:r>
              <w:rPr>
                <w:rFonts w:ascii="Times New Roman" w:cs="Times New Roman"/>
                <w:sz w:val="21"/>
                <w:szCs w:val="21"/>
              </w:rPr>
              <w:t>户</w:t>
            </w:r>
            <w:r>
              <w:rPr>
                <w:rFonts w:hint="eastAsia" w:ascii="Times New Roman" w:cs="Times New Roman"/>
                <w:sz w:val="21"/>
                <w:szCs w:val="21"/>
              </w:rPr>
              <w:t>20</w:t>
            </w:r>
            <w:r>
              <w:rPr>
                <w:rFonts w:ascii="Times New Roman" w:cs="Times New Roman"/>
                <w:sz w:val="21"/>
                <w:szCs w:val="21"/>
              </w:rPr>
              <w:t>人</w:t>
            </w:r>
          </w:p>
        </w:tc>
        <w:tc>
          <w:tcPr>
            <w:tcW w:w="1043" w:type="pct"/>
            <w:vMerge w:val="continue"/>
            <w:tcBorders>
              <w:top w:val="single" w:color="000000" w:sz="2" w:space="0"/>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1910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9</w:t>
            </w:r>
          </w:p>
        </w:tc>
        <w:tc>
          <w:tcPr>
            <w:tcW w:w="474" w:type="pct"/>
            <w:vMerge w:val="continue"/>
            <w:tcBorders>
              <w:top w:val="single" w:color="000000" w:sz="2" w:space="0"/>
              <w:left w:val="single" w:color="000000" w:sz="2" w:space="0"/>
              <w:right w:val="single" w:color="000000" w:sz="2" w:space="0"/>
            </w:tcBorders>
            <w:vAlign w:val="center"/>
          </w:tcPr>
          <w:p>
            <w:pPr>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张家湾</w:t>
            </w:r>
            <w:r>
              <w:rPr>
                <w:rFonts w:ascii="Times New Roman" w:cs="Times New Roman"/>
                <w:sz w:val="21"/>
                <w:szCs w:val="21"/>
              </w:rPr>
              <w:t>农户</w:t>
            </w:r>
            <w:r>
              <w:rPr>
                <w:rFonts w:hint="eastAsia" w:ascii="Times New Roman" w:cs="Times New Roman"/>
                <w:sz w:val="21"/>
                <w:szCs w:val="21"/>
              </w:rPr>
              <w:t>9#</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780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-2220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70</w:t>
            </w:r>
            <w:r>
              <w:rPr>
                <w:rFonts w:ascii="Times New Roman" w:cs="Times New Roman"/>
                <w:sz w:val="21"/>
                <w:szCs w:val="21"/>
              </w:rPr>
              <w:t>户</w:t>
            </w:r>
            <w:r>
              <w:rPr>
                <w:rFonts w:hint="eastAsia" w:ascii="Times New Roman" w:cs="Times New Roman"/>
                <w:sz w:val="21"/>
                <w:szCs w:val="21"/>
              </w:rPr>
              <w:t>240</w:t>
            </w:r>
            <w:r>
              <w:rPr>
                <w:rFonts w:ascii="Times New Roman" w:cs="Times New Roman"/>
                <w:sz w:val="21"/>
                <w:szCs w:val="21"/>
              </w:rPr>
              <w:t>人</w:t>
            </w:r>
          </w:p>
        </w:tc>
        <w:tc>
          <w:tcPr>
            <w:tcW w:w="1043" w:type="pct"/>
            <w:vMerge w:val="continue"/>
            <w:tcBorders>
              <w:top w:val="single" w:color="000000" w:sz="2" w:space="0"/>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2370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10</w:t>
            </w:r>
          </w:p>
        </w:tc>
        <w:tc>
          <w:tcPr>
            <w:tcW w:w="474" w:type="pct"/>
            <w:vMerge w:val="continue"/>
            <w:tcBorders>
              <w:top w:val="single" w:color="000000" w:sz="2" w:space="0"/>
              <w:left w:val="single" w:color="000000" w:sz="2" w:space="0"/>
              <w:right w:val="single" w:color="000000" w:sz="2" w:space="0"/>
            </w:tcBorders>
            <w:vAlign w:val="center"/>
          </w:tcPr>
          <w:p>
            <w:pPr>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陈子坪</w:t>
            </w:r>
            <w:r>
              <w:rPr>
                <w:rFonts w:ascii="Times New Roman" w:cs="Times New Roman"/>
                <w:sz w:val="21"/>
                <w:szCs w:val="21"/>
              </w:rPr>
              <w:t>农户</w:t>
            </w:r>
            <w:r>
              <w:rPr>
                <w:rFonts w:hint="eastAsia" w:ascii="Times New Roman" w:cs="Times New Roman"/>
                <w:sz w:val="21"/>
                <w:szCs w:val="21"/>
              </w:rPr>
              <w:t>10#</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1690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-2730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20</w:t>
            </w:r>
            <w:r>
              <w:rPr>
                <w:rFonts w:ascii="Times New Roman" w:cs="Times New Roman"/>
                <w:sz w:val="21"/>
                <w:szCs w:val="21"/>
              </w:rPr>
              <w:t>户</w:t>
            </w:r>
            <w:r>
              <w:rPr>
                <w:rFonts w:hint="eastAsia" w:ascii="Times New Roman" w:cs="Times New Roman"/>
                <w:sz w:val="21"/>
                <w:szCs w:val="21"/>
              </w:rPr>
              <w:t>65</w:t>
            </w:r>
            <w:r>
              <w:rPr>
                <w:rFonts w:ascii="Times New Roman" w:cs="Times New Roman"/>
                <w:sz w:val="21"/>
                <w:szCs w:val="21"/>
              </w:rPr>
              <w:t>人</w:t>
            </w:r>
          </w:p>
        </w:tc>
        <w:tc>
          <w:tcPr>
            <w:tcW w:w="1043" w:type="pct"/>
            <w:vMerge w:val="continue"/>
            <w:tcBorders>
              <w:top w:val="single" w:color="000000" w:sz="2" w:space="0"/>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2870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11</w:t>
            </w:r>
          </w:p>
        </w:tc>
        <w:tc>
          <w:tcPr>
            <w:tcW w:w="474" w:type="pct"/>
            <w:vMerge w:val="continue"/>
            <w:tcBorders>
              <w:top w:val="single" w:color="000000" w:sz="2" w:space="0"/>
              <w:left w:val="single" w:color="000000" w:sz="2" w:space="0"/>
              <w:right w:val="single" w:color="000000" w:sz="2" w:space="0"/>
            </w:tcBorders>
            <w:vAlign w:val="center"/>
          </w:tcPr>
          <w:p>
            <w:pPr>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龙凤村</w:t>
            </w:r>
            <w:r>
              <w:rPr>
                <w:rFonts w:ascii="Times New Roman" w:cs="Times New Roman"/>
                <w:sz w:val="21"/>
                <w:szCs w:val="21"/>
              </w:rPr>
              <w:t>农户</w:t>
            </w:r>
            <w:r>
              <w:rPr>
                <w:rFonts w:hint="eastAsia" w:ascii="Times New Roman" w:cs="Times New Roman"/>
                <w:sz w:val="21"/>
                <w:szCs w:val="21"/>
              </w:rPr>
              <w:t>11#</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2210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-1940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8</w:t>
            </w:r>
            <w:r>
              <w:rPr>
                <w:rFonts w:ascii="Times New Roman" w:cs="Times New Roman"/>
                <w:sz w:val="21"/>
                <w:szCs w:val="21"/>
              </w:rPr>
              <w:t>0户</w:t>
            </w:r>
            <w:r>
              <w:rPr>
                <w:rFonts w:hint="eastAsia" w:ascii="Times New Roman" w:cs="Times New Roman"/>
                <w:sz w:val="21"/>
                <w:szCs w:val="21"/>
              </w:rPr>
              <w:t>265</w:t>
            </w:r>
            <w:r>
              <w:rPr>
                <w:rFonts w:ascii="Times New Roman" w:cs="Times New Roman"/>
                <w:sz w:val="21"/>
                <w:szCs w:val="21"/>
              </w:rPr>
              <w:t>人</w:t>
            </w:r>
          </w:p>
        </w:tc>
        <w:tc>
          <w:tcPr>
            <w:tcW w:w="1043" w:type="pct"/>
            <w:vMerge w:val="continue"/>
            <w:tcBorders>
              <w:top w:val="single" w:color="000000" w:sz="2" w:space="0"/>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2980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12</w:t>
            </w:r>
          </w:p>
        </w:tc>
        <w:tc>
          <w:tcPr>
            <w:tcW w:w="474" w:type="pct"/>
            <w:vMerge w:val="continue"/>
            <w:tcBorders>
              <w:top w:val="single" w:color="000000" w:sz="2" w:space="0"/>
              <w:left w:val="single" w:color="000000" w:sz="2" w:space="0"/>
              <w:right w:val="single" w:color="000000" w:sz="2" w:space="0"/>
            </w:tcBorders>
            <w:vAlign w:val="center"/>
          </w:tcPr>
          <w:p>
            <w:pPr>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王家山</w:t>
            </w:r>
            <w:r>
              <w:rPr>
                <w:rFonts w:ascii="Times New Roman" w:cs="Times New Roman"/>
                <w:sz w:val="21"/>
                <w:szCs w:val="21"/>
              </w:rPr>
              <w:t>农户</w:t>
            </w:r>
            <w:r>
              <w:rPr>
                <w:rFonts w:hint="eastAsia" w:ascii="Times New Roman" w:cs="Times New Roman"/>
                <w:sz w:val="21"/>
                <w:szCs w:val="21"/>
              </w:rPr>
              <w:t>12#</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2500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-2480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30</w:t>
            </w:r>
            <w:r>
              <w:rPr>
                <w:rFonts w:ascii="Times New Roman" w:cs="Times New Roman"/>
                <w:sz w:val="21"/>
                <w:szCs w:val="21"/>
              </w:rPr>
              <w:t>户</w:t>
            </w:r>
            <w:r>
              <w:rPr>
                <w:rFonts w:hint="eastAsia" w:ascii="Times New Roman" w:cs="Times New Roman"/>
                <w:sz w:val="21"/>
                <w:szCs w:val="21"/>
              </w:rPr>
              <w:t>95</w:t>
            </w:r>
            <w:r>
              <w:rPr>
                <w:rFonts w:ascii="Times New Roman" w:cs="Times New Roman"/>
                <w:sz w:val="21"/>
                <w:szCs w:val="21"/>
              </w:rPr>
              <w:t>人</w:t>
            </w:r>
          </w:p>
        </w:tc>
        <w:tc>
          <w:tcPr>
            <w:tcW w:w="1043" w:type="pct"/>
            <w:vMerge w:val="continue"/>
            <w:tcBorders>
              <w:top w:val="single" w:color="000000" w:sz="2" w:space="0"/>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3610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13</w:t>
            </w:r>
          </w:p>
        </w:tc>
        <w:tc>
          <w:tcPr>
            <w:tcW w:w="474" w:type="pct"/>
            <w:vMerge w:val="continue"/>
            <w:tcBorders>
              <w:top w:val="single" w:color="000000" w:sz="2" w:space="0"/>
              <w:left w:val="single" w:color="000000" w:sz="2" w:space="0"/>
              <w:right w:val="single" w:color="000000" w:sz="2" w:space="0"/>
            </w:tcBorders>
            <w:vAlign w:val="center"/>
          </w:tcPr>
          <w:p>
            <w:pPr>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龙凤坪</w:t>
            </w:r>
            <w:r>
              <w:rPr>
                <w:rFonts w:ascii="Times New Roman" w:cs="Times New Roman"/>
                <w:sz w:val="21"/>
                <w:szCs w:val="21"/>
              </w:rPr>
              <w:t>农户</w:t>
            </w:r>
            <w:r>
              <w:rPr>
                <w:rFonts w:hint="eastAsia" w:ascii="Times New Roman" w:cs="Times New Roman"/>
                <w:sz w:val="21"/>
                <w:szCs w:val="21"/>
              </w:rPr>
              <w:t>13#</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3140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-2890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15</w:t>
            </w:r>
            <w:r>
              <w:rPr>
                <w:rFonts w:ascii="Times New Roman" w:cs="Times New Roman"/>
                <w:sz w:val="21"/>
                <w:szCs w:val="21"/>
              </w:rPr>
              <w:t>户</w:t>
            </w:r>
            <w:r>
              <w:rPr>
                <w:rFonts w:hint="eastAsia" w:ascii="Times New Roman" w:cs="Times New Roman"/>
                <w:sz w:val="21"/>
                <w:szCs w:val="21"/>
              </w:rPr>
              <w:t>50</w:t>
            </w:r>
            <w:r>
              <w:rPr>
                <w:rFonts w:ascii="Times New Roman" w:cs="Times New Roman"/>
                <w:sz w:val="21"/>
                <w:szCs w:val="21"/>
              </w:rPr>
              <w:t>人</w:t>
            </w:r>
          </w:p>
        </w:tc>
        <w:tc>
          <w:tcPr>
            <w:tcW w:w="1043" w:type="pct"/>
            <w:vMerge w:val="continue"/>
            <w:tcBorders>
              <w:top w:val="single" w:color="000000" w:sz="2" w:space="0"/>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4240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14</w:t>
            </w:r>
          </w:p>
        </w:tc>
        <w:tc>
          <w:tcPr>
            <w:tcW w:w="474" w:type="pct"/>
            <w:vMerge w:val="continue"/>
            <w:tcBorders>
              <w:top w:val="single" w:color="000000" w:sz="2" w:space="0"/>
              <w:left w:val="single" w:color="000000" w:sz="2" w:space="0"/>
              <w:right w:val="single" w:color="000000" w:sz="2" w:space="0"/>
            </w:tcBorders>
            <w:vAlign w:val="center"/>
          </w:tcPr>
          <w:p>
            <w:pPr>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伍家山</w:t>
            </w:r>
            <w:r>
              <w:rPr>
                <w:rFonts w:ascii="Times New Roman" w:cs="Times New Roman"/>
                <w:sz w:val="21"/>
                <w:szCs w:val="21"/>
              </w:rPr>
              <w:t>农户</w:t>
            </w:r>
            <w:r>
              <w:rPr>
                <w:rFonts w:hint="eastAsia" w:ascii="Times New Roman" w:cs="Times New Roman"/>
                <w:sz w:val="21"/>
                <w:szCs w:val="21"/>
              </w:rPr>
              <w:t>14#</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4550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-3030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10</w:t>
            </w:r>
            <w:r>
              <w:rPr>
                <w:rFonts w:ascii="Times New Roman" w:cs="Times New Roman"/>
                <w:sz w:val="21"/>
                <w:szCs w:val="21"/>
              </w:rPr>
              <w:t>户</w:t>
            </w:r>
            <w:r>
              <w:rPr>
                <w:rFonts w:hint="eastAsia" w:ascii="Times New Roman" w:cs="Times New Roman"/>
                <w:sz w:val="21"/>
                <w:szCs w:val="21"/>
              </w:rPr>
              <w:t>35</w:t>
            </w:r>
            <w:r>
              <w:rPr>
                <w:rFonts w:ascii="Times New Roman" w:cs="Times New Roman"/>
                <w:sz w:val="21"/>
                <w:szCs w:val="21"/>
              </w:rPr>
              <w:t>人</w:t>
            </w:r>
          </w:p>
        </w:tc>
        <w:tc>
          <w:tcPr>
            <w:tcW w:w="1043" w:type="pct"/>
            <w:vMerge w:val="continue"/>
            <w:tcBorders>
              <w:top w:val="single" w:color="000000" w:sz="2" w:space="0"/>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5500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15</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鲜家坪</w:t>
            </w:r>
            <w:r>
              <w:rPr>
                <w:rFonts w:ascii="Times New Roman" w:cs="Times New Roman"/>
                <w:sz w:val="21"/>
                <w:szCs w:val="21"/>
              </w:rPr>
              <w:t>农户</w:t>
            </w:r>
            <w:r>
              <w:rPr>
                <w:rFonts w:hint="eastAsia" w:ascii="Times New Roman" w:cs="Times New Roman"/>
                <w:sz w:val="21"/>
                <w:szCs w:val="21"/>
              </w:rPr>
              <w:t>15#</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-1620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50</w:t>
            </w:r>
            <w:r>
              <w:rPr>
                <w:rFonts w:ascii="Times New Roman" w:cs="Times New Roman"/>
                <w:sz w:val="21"/>
                <w:szCs w:val="21"/>
              </w:rPr>
              <w:t>户</w:t>
            </w:r>
            <w:r>
              <w:rPr>
                <w:rFonts w:hint="eastAsia" w:ascii="Times New Roman" w:cs="Times New Roman"/>
                <w:sz w:val="21"/>
                <w:szCs w:val="21"/>
              </w:rPr>
              <w:t>155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1620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16</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塔垭村</w:t>
            </w:r>
            <w:r>
              <w:rPr>
                <w:rFonts w:ascii="Times New Roman" w:cs="Times New Roman"/>
                <w:sz w:val="21"/>
                <w:szCs w:val="21"/>
              </w:rPr>
              <w:t>农户</w:t>
            </w:r>
            <w:r>
              <w:rPr>
                <w:rFonts w:hint="eastAsia" w:ascii="Times New Roman" w:cs="Times New Roman"/>
                <w:sz w:val="21"/>
                <w:szCs w:val="21"/>
              </w:rPr>
              <w:t>16#</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-1900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70</w:t>
            </w:r>
            <w:r>
              <w:rPr>
                <w:rFonts w:ascii="Times New Roman" w:cs="Times New Roman"/>
                <w:sz w:val="21"/>
                <w:szCs w:val="21"/>
              </w:rPr>
              <w:t>户</w:t>
            </w:r>
            <w:r>
              <w:rPr>
                <w:rFonts w:hint="eastAsia" w:ascii="Times New Roman" w:cs="Times New Roman"/>
                <w:sz w:val="21"/>
                <w:szCs w:val="21"/>
              </w:rPr>
              <w:t>250</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1900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17</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胡家坪</w:t>
            </w:r>
            <w:r>
              <w:rPr>
                <w:rFonts w:ascii="Times New Roman" w:cs="Times New Roman"/>
                <w:sz w:val="21"/>
                <w:szCs w:val="21"/>
              </w:rPr>
              <w:t>农户</w:t>
            </w:r>
            <w:r>
              <w:rPr>
                <w:rFonts w:hint="eastAsia" w:ascii="Times New Roman" w:cs="Times New Roman"/>
                <w:sz w:val="21"/>
                <w:szCs w:val="21"/>
              </w:rPr>
              <w:t>17#</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-3530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20</w:t>
            </w:r>
            <w:r>
              <w:rPr>
                <w:rFonts w:ascii="Times New Roman" w:cs="Times New Roman"/>
                <w:sz w:val="21"/>
                <w:szCs w:val="21"/>
              </w:rPr>
              <w:t>户</w:t>
            </w:r>
            <w:r>
              <w:rPr>
                <w:rFonts w:hint="eastAsia" w:ascii="Times New Roman" w:cs="Times New Roman"/>
                <w:sz w:val="21"/>
                <w:szCs w:val="21"/>
              </w:rPr>
              <w:t>65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3530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1</w:t>
            </w:r>
            <w:r>
              <w:rPr>
                <w:rFonts w:hint="eastAsia" w:ascii="Times New Roman" w:cs="Times New Roman"/>
                <w:sz w:val="21"/>
                <w:szCs w:val="21"/>
              </w:rPr>
              <w:t>8</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铁尖村</w:t>
            </w:r>
            <w:r>
              <w:rPr>
                <w:rFonts w:ascii="Times New Roman" w:cs="Times New Roman"/>
                <w:sz w:val="21"/>
                <w:szCs w:val="21"/>
              </w:rPr>
              <w:t>农户</w:t>
            </w:r>
            <w:r>
              <w:rPr>
                <w:rFonts w:hint="eastAsia" w:ascii="Times New Roman" w:cs="Times New Roman"/>
                <w:sz w:val="21"/>
                <w:szCs w:val="21"/>
              </w:rPr>
              <w:t>18#</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-4270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15</w:t>
            </w:r>
            <w:r>
              <w:rPr>
                <w:rFonts w:ascii="Times New Roman" w:cs="Times New Roman"/>
                <w:sz w:val="21"/>
                <w:szCs w:val="21"/>
              </w:rPr>
              <w:t>户</w:t>
            </w:r>
            <w:r>
              <w:rPr>
                <w:rFonts w:hint="eastAsia" w:ascii="Times New Roman" w:cs="Times New Roman"/>
                <w:sz w:val="21"/>
                <w:szCs w:val="21"/>
              </w:rPr>
              <w:t>50</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4270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19</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李家坪农户</w:t>
            </w:r>
            <w:r>
              <w:rPr>
                <w:rFonts w:hint="eastAsia" w:ascii="Times New Roman" w:cs="Times New Roman"/>
                <w:sz w:val="21"/>
                <w:szCs w:val="21"/>
              </w:rPr>
              <w:t>19#</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-4850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75</w:t>
            </w:r>
            <w:r>
              <w:rPr>
                <w:rFonts w:ascii="Times New Roman" w:cs="Times New Roman"/>
                <w:sz w:val="21"/>
                <w:szCs w:val="21"/>
              </w:rPr>
              <w:t>户</w:t>
            </w:r>
            <w:r>
              <w:rPr>
                <w:rFonts w:hint="eastAsia" w:ascii="Times New Roman" w:cs="Times New Roman"/>
                <w:sz w:val="21"/>
                <w:szCs w:val="21"/>
              </w:rPr>
              <w:t>260</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4850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20</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hAnsi="宋体" w:cs="Times New Roman"/>
                <w:sz w:val="21"/>
                <w:szCs w:val="21"/>
              </w:rPr>
            </w:pPr>
            <w:r>
              <w:rPr>
                <w:rFonts w:ascii="Times New Roman" w:cs="Times New Roman"/>
                <w:sz w:val="21"/>
                <w:szCs w:val="21"/>
              </w:rPr>
              <w:t>罗家塝农户</w:t>
            </w:r>
            <w:r>
              <w:rPr>
                <w:rFonts w:hint="eastAsia" w:ascii="Times New Roman" w:cs="Times New Roman"/>
                <w:sz w:val="21"/>
                <w:szCs w:val="21"/>
              </w:rPr>
              <w:t>20#</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-970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-580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50</w:t>
            </w:r>
            <w:r>
              <w:rPr>
                <w:rFonts w:ascii="Times New Roman" w:cs="Times New Roman"/>
                <w:sz w:val="21"/>
                <w:szCs w:val="21"/>
              </w:rPr>
              <w:t>户</w:t>
            </w:r>
            <w:r>
              <w:rPr>
                <w:rFonts w:hint="eastAsia" w:ascii="Times New Roman" w:cs="Times New Roman"/>
                <w:sz w:val="21"/>
                <w:szCs w:val="21"/>
              </w:rPr>
              <w:t>155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r>
              <w:rPr>
                <w:rFonts w:hint="eastAsia" w:ascii="Times New Roman" w:cs="Times New Roman"/>
                <w:b/>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1150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21</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hAnsi="宋体" w:cs="Times New Roman"/>
                <w:sz w:val="21"/>
                <w:szCs w:val="21"/>
              </w:rPr>
            </w:pPr>
            <w:r>
              <w:rPr>
                <w:rFonts w:hAnsi="宋体" w:cs="Times New Roman"/>
                <w:sz w:val="21"/>
                <w:szCs w:val="21"/>
              </w:rPr>
              <w:t>下塝</w:t>
            </w:r>
            <w:r>
              <w:rPr>
                <w:rFonts w:ascii="Times New Roman" w:cs="Times New Roman"/>
                <w:sz w:val="21"/>
                <w:szCs w:val="21"/>
              </w:rPr>
              <w:t>农户</w:t>
            </w:r>
            <w:r>
              <w:rPr>
                <w:rFonts w:hint="eastAsia" w:ascii="Times New Roman" w:cs="Times New Roman"/>
                <w:sz w:val="21"/>
                <w:szCs w:val="21"/>
              </w:rPr>
              <w:t>21#</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-540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660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13</w:t>
            </w:r>
            <w:r>
              <w:rPr>
                <w:rFonts w:ascii="Times New Roman" w:cs="Times New Roman"/>
                <w:sz w:val="21"/>
                <w:szCs w:val="21"/>
              </w:rPr>
              <w:t>户</w:t>
            </w:r>
            <w:r>
              <w:rPr>
                <w:rFonts w:hint="eastAsia" w:ascii="Times New Roman" w:cs="Times New Roman"/>
                <w:sz w:val="21"/>
                <w:szCs w:val="21"/>
              </w:rPr>
              <w:t>55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870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22</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hAnsi="宋体" w:cs="Times New Roman"/>
                <w:sz w:val="21"/>
                <w:szCs w:val="21"/>
              </w:rPr>
            </w:pPr>
            <w:r>
              <w:rPr>
                <w:rFonts w:hint="eastAsia" w:ascii="Times New Roman" w:cs="Times New Roman"/>
                <w:sz w:val="21"/>
                <w:szCs w:val="21"/>
              </w:rPr>
              <w:t>慈云寺</w:t>
            </w:r>
            <w:r>
              <w:rPr>
                <w:rFonts w:ascii="Times New Roman" w:cs="Times New Roman"/>
                <w:sz w:val="21"/>
                <w:szCs w:val="21"/>
              </w:rPr>
              <w:t>农户</w:t>
            </w:r>
            <w:r>
              <w:rPr>
                <w:rFonts w:hint="eastAsia" w:ascii="Times New Roman" w:cs="Times New Roman"/>
                <w:sz w:val="21"/>
                <w:szCs w:val="21"/>
              </w:rPr>
              <w:t>22#</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-1380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-850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20</w:t>
            </w:r>
            <w:r>
              <w:rPr>
                <w:rFonts w:ascii="Times New Roman" w:cs="Times New Roman"/>
                <w:sz w:val="21"/>
                <w:szCs w:val="21"/>
              </w:rPr>
              <w:t>户</w:t>
            </w:r>
            <w:r>
              <w:rPr>
                <w:rFonts w:hint="eastAsia" w:ascii="Times New Roman" w:cs="Times New Roman"/>
                <w:sz w:val="21"/>
                <w:szCs w:val="21"/>
              </w:rPr>
              <w:t>65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1680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23</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北斗村</w:t>
            </w:r>
            <w:r>
              <w:rPr>
                <w:rFonts w:ascii="Times New Roman" w:cs="Times New Roman"/>
                <w:sz w:val="21"/>
                <w:szCs w:val="21"/>
              </w:rPr>
              <w:t>农户</w:t>
            </w:r>
            <w:r>
              <w:rPr>
                <w:rFonts w:hint="eastAsia" w:ascii="Times New Roman" w:cs="Times New Roman"/>
                <w:sz w:val="21"/>
                <w:szCs w:val="21"/>
              </w:rPr>
              <w:t>23#</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-1900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-1810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15</w:t>
            </w:r>
            <w:r>
              <w:rPr>
                <w:rFonts w:ascii="Times New Roman" w:cs="Times New Roman"/>
                <w:sz w:val="21"/>
                <w:szCs w:val="21"/>
              </w:rPr>
              <w:t>户</w:t>
            </w:r>
            <w:r>
              <w:rPr>
                <w:rFonts w:hint="eastAsia" w:ascii="Times New Roman" w:cs="Times New Roman"/>
                <w:sz w:val="21"/>
                <w:szCs w:val="21"/>
              </w:rPr>
              <w:t>50</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2660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24</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干河沟</w:t>
            </w:r>
            <w:r>
              <w:rPr>
                <w:rFonts w:ascii="Times New Roman" w:cs="Times New Roman"/>
                <w:sz w:val="21"/>
                <w:szCs w:val="21"/>
              </w:rPr>
              <w:t>农户</w:t>
            </w:r>
            <w:r>
              <w:rPr>
                <w:rFonts w:hint="eastAsia" w:ascii="Times New Roman" w:cs="Times New Roman"/>
                <w:sz w:val="21"/>
                <w:szCs w:val="21"/>
              </w:rPr>
              <w:t>24#</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-2500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-1870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约25户75人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3050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25</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普光镇慈云小学</w:t>
            </w:r>
            <w:r>
              <w:rPr>
                <w:rFonts w:hint="eastAsia" w:ascii="Times New Roman" w:cs="Times New Roman"/>
                <w:sz w:val="21"/>
                <w:szCs w:val="21"/>
              </w:rPr>
              <w:t>25#</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-970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-1320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学校</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师生约</w:t>
            </w:r>
            <w:r>
              <w:rPr>
                <w:rFonts w:hint="eastAsia" w:ascii="Times New Roman" w:cs="Times New Roman"/>
                <w:sz w:val="21"/>
                <w:szCs w:val="21"/>
              </w:rPr>
              <w:t>200人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1690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26</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大田湾</w:t>
            </w:r>
            <w:r>
              <w:rPr>
                <w:rFonts w:ascii="Times New Roman" w:cs="Times New Roman"/>
                <w:sz w:val="21"/>
                <w:szCs w:val="21"/>
              </w:rPr>
              <w:t>农户</w:t>
            </w:r>
            <w:r>
              <w:rPr>
                <w:rFonts w:hint="eastAsia" w:ascii="Times New Roman" w:cs="Times New Roman"/>
                <w:sz w:val="21"/>
                <w:szCs w:val="21"/>
              </w:rPr>
              <w:t>26#</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-1300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-2070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50</w:t>
            </w:r>
            <w:r>
              <w:rPr>
                <w:rFonts w:ascii="Times New Roman" w:cs="Times New Roman"/>
                <w:sz w:val="21"/>
                <w:szCs w:val="21"/>
              </w:rPr>
              <w:t>户</w:t>
            </w:r>
            <w:r>
              <w:rPr>
                <w:rFonts w:hint="eastAsia" w:ascii="Times New Roman" w:cs="Times New Roman"/>
                <w:sz w:val="21"/>
                <w:szCs w:val="21"/>
              </w:rPr>
              <w:t>160</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2490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27</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塔垭豁</w:t>
            </w:r>
            <w:r>
              <w:rPr>
                <w:rFonts w:ascii="Times New Roman" w:cs="Times New Roman"/>
                <w:sz w:val="21"/>
                <w:szCs w:val="21"/>
              </w:rPr>
              <w:t>农户</w:t>
            </w:r>
            <w:r>
              <w:rPr>
                <w:rFonts w:hint="eastAsia" w:ascii="Times New Roman" w:cs="Times New Roman"/>
                <w:sz w:val="21"/>
                <w:szCs w:val="21"/>
              </w:rPr>
              <w:t>27#</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-960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-2430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20</w:t>
            </w:r>
            <w:r>
              <w:rPr>
                <w:rFonts w:ascii="Times New Roman" w:cs="Times New Roman"/>
                <w:sz w:val="21"/>
                <w:szCs w:val="21"/>
              </w:rPr>
              <w:t>户</w:t>
            </w:r>
            <w:r>
              <w:rPr>
                <w:rFonts w:hint="eastAsia" w:ascii="Times New Roman" w:cs="Times New Roman"/>
                <w:sz w:val="21"/>
                <w:szCs w:val="21"/>
              </w:rPr>
              <w:t>65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2680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28</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环山子</w:t>
            </w:r>
            <w:r>
              <w:rPr>
                <w:rFonts w:ascii="Times New Roman" w:cs="Times New Roman"/>
                <w:sz w:val="21"/>
                <w:szCs w:val="21"/>
              </w:rPr>
              <w:t>农户</w:t>
            </w:r>
            <w:r>
              <w:rPr>
                <w:rFonts w:hint="eastAsia" w:ascii="Times New Roman" w:cs="Times New Roman"/>
                <w:sz w:val="21"/>
                <w:szCs w:val="21"/>
              </w:rPr>
              <w:t>28#</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-690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-1880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25</w:t>
            </w:r>
            <w:r>
              <w:rPr>
                <w:rFonts w:ascii="Times New Roman" w:cs="Times New Roman"/>
                <w:sz w:val="21"/>
                <w:szCs w:val="21"/>
              </w:rPr>
              <w:t>户</w:t>
            </w:r>
            <w:r>
              <w:rPr>
                <w:rFonts w:hint="eastAsia" w:ascii="Times New Roman" w:cs="Times New Roman"/>
                <w:sz w:val="21"/>
                <w:szCs w:val="21"/>
              </w:rPr>
              <w:t>80</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2050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29</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塔垭口</w:t>
            </w:r>
            <w:r>
              <w:rPr>
                <w:rFonts w:ascii="Times New Roman" w:cs="Times New Roman"/>
                <w:sz w:val="21"/>
                <w:szCs w:val="21"/>
              </w:rPr>
              <w:t>农户</w:t>
            </w:r>
            <w:r>
              <w:rPr>
                <w:rFonts w:hint="eastAsia" w:ascii="Times New Roman" w:cs="Times New Roman"/>
                <w:sz w:val="21"/>
                <w:szCs w:val="21"/>
              </w:rPr>
              <w:t>29#</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-790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-2650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15</w:t>
            </w:r>
            <w:r>
              <w:rPr>
                <w:rFonts w:ascii="Times New Roman" w:cs="Times New Roman"/>
                <w:sz w:val="21"/>
                <w:szCs w:val="21"/>
              </w:rPr>
              <w:t>户</w:t>
            </w:r>
            <w:r>
              <w:rPr>
                <w:rFonts w:hint="eastAsia" w:ascii="Times New Roman" w:cs="Times New Roman"/>
                <w:sz w:val="21"/>
                <w:szCs w:val="21"/>
              </w:rPr>
              <w:t>50</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2880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30</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普光镇岳家小学</w:t>
            </w:r>
            <w:r>
              <w:rPr>
                <w:rFonts w:hint="eastAsia" w:ascii="Times New Roman" w:cs="Times New Roman"/>
                <w:sz w:val="21"/>
                <w:szCs w:val="21"/>
              </w:rPr>
              <w:t>30#</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-2440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-2280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学校</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师生约</w:t>
            </w:r>
            <w:r>
              <w:rPr>
                <w:rFonts w:hint="eastAsia" w:ascii="Times New Roman" w:cs="Times New Roman"/>
                <w:sz w:val="21"/>
                <w:szCs w:val="21"/>
              </w:rPr>
              <w:t>150人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3420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31</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岳家坡</w:t>
            </w:r>
            <w:r>
              <w:rPr>
                <w:rFonts w:ascii="Times New Roman" w:cs="Times New Roman"/>
                <w:sz w:val="21"/>
                <w:szCs w:val="21"/>
              </w:rPr>
              <w:t>农户</w:t>
            </w:r>
            <w:r>
              <w:rPr>
                <w:rFonts w:hint="eastAsia" w:ascii="Times New Roman" w:cs="Times New Roman"/>
                <w:sz w:val="21"/>
                <w:szCs w:val="21"/>
              </w:rPr>
              <w:t>31#</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-3100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-2230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50</w:t>
            </w:r>
            <w:r>
              <w:rPr>
                <w:rFonts w:ascii="Times New Roman" w:cs="Times New Roman"/>
                <w:sz w:val="21"/>
                <w:szCs w:val="21"/>
              </w:rPr>
              <w:t>户</w:t>
            </w:r>
            <w:r>
              <w:rPr>
                <w:rFonts w:hint="eastAsia" w:ascii="Times New Roman" w:cs="Times New Roman"/>
                <w:sz w:val="21"/>
                <w:szCs w:val="21"/>
              </w:rPr>
              <w:t>160</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3890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32</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土地岩农户</w:t>
            </w:r>
            <w:r>
              <w:rPr>
                <w:rFonts w:hint="eastAsia" w:ascii="Times New Roman" w:cs="Times New Roman"/>
                <w:sz w:val="21"/>
                <w:szCs w:val="21"/>
              </w:rPr>
              <w:t>32#</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-2950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-2960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15</w:t>
            </w:r>
            <w:r>
              <w:rPr>
                <w:rFonts w:ascii="Times New Roman" w:cs="Times New Roman"/>
                <w:sz w:val="21"/>
                <w:szCs w:val="21"/>
              </w:rPr>
              <w:t>户</w:t>
            </w:r>
            <w:r>
              <w:rPr>
                <w:rFonts w:hint="eastAsia" w:ascii="Times New Roman" w:cs="Times New Roman"/>
                <w:sz w:val="21"/>
                <w:szCs w:val="21"/>
              </w:rPr>
              <w:t>50</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4170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33</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普光镇</w:t>
            </w:r>
            <w:r>
              <w:rPr>
                <w:rFonts w:hint="eastAsia" w:ascii="Times New Roman" w:cs="Times New Roman"/>
                <w:sz w:val="21"/>
                <w:szCs w:val="21"/>
              </w:rPr>
              <w:t>徐</w:t>
            </w:r>
            <w:r>
              <w:rPr>
                <w:rFonts w:ascii="Times New Roman" w:cs="Times New Roman"/>
                <w:sz w:val="21"/>
                <w:szCs w:val="21"/>
              </w:rPr>
              <w:t>家小学</w:t>
            </w:r>
            <w:r>
              <w:rPr>
                <w:rFonts w:hint="eastAsia" w:ascii="Times New Roman" w:cs="Times New Roman"/>
                <w:sz w:val="21"/>
                <w:szCs w:val="21"/>
              </w:rPr>
              <w:t>33#</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-180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-3290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学校</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师生约</w:t>
            </w:r>
            <w:r>
              <w:rPr>
                <w:rFonts w:hint="eastAsia" w:ascii="Times New Roman" w:cs="Times New Roman"/>
                <w:sz w:val="21"/>
                <w:szCs w:val="21"/>
              </w:rPr>
              <w:t>120人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3560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34</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彭家坡</w:t>
            </w:r>
            <w:r>
              <w:rPr>
                <w:rFonts w:ascii="Times New Roman" w:cs="Times New Roman"/>
                <w:sz w:val="21"/>
                <w:szCs w:val="21"/>
              </w:rPr>
              <w:t>农户</w:t>
            </w:r>
            <w:r>
              <w:rPr>
                <w:rFonts w:hint="eastAsia" w:ascii="Times New Roman" w:cs="Times New Roman"/>
                <w:sz w:val="21"/>
                <w:szCs w:val="21"/>
              </w:rPr>
              <w:t>34#</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-4010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-2230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3</w:t>
            </w:r>
            <w:r>
              <w:rPr>
                <w:rFonts w:ascii="Times New Roman" w:cs="Times New Roman"/>
                <w:sz w:val="21"/>
                <w:szCs w:val="21"/>
              </w:rPr>
              <w:t>户</w:t>
            </w:r>
            <w:r>
              <w:rPr>
                <w:rFonts w:hint="eastAsia" w:ascii="Times New Roman" w:cs="Times New Roman"/>
                <w:sz w:val="21"/>
                <w:szCs w:val="21"/>
              </w:rPr>
              <w:t>10</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4790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35</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普光镇场镇35#</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-4830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-2960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场镇居民</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1.5万</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5730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36</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陡梯村</w:t>
            </w:r>
            <w:r>
              <w:rPr>
                <w:rFonts w:ascii="Times New Roman" w:cs="Times New Roman"/>
                <w:sz w:val="21"/>
                <w:szCs w:val="21"/>
              </w:rPr>
              <w:t>农户</w:t>
            </w:r>
            <w:r>
              <w:rPr>
                <w:rFonts w:hint="eastAsia" w:ascii="Times New Roman" w:cs="Times New Roman"/>
                <w:sz w:val="21"/>
                <w:szCs w:val="21"/>
              </w:rPr>
              <w:t>36#</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-4250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-3350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15</w:t>
            </w:r>
            <w:r>
              <w:rPr>
                <w:rFonts w:ascii="Times New Roman" w:cs="Times New Roman"/>
                <w:sz w:val="21"/>
                <w:szCs w:val="21"/>
              </w:rPr>
              <w:t>户</w:t>
            </w:r>
            <w:r>
              <w:rPr>
                <w:rFonts w:hint="eastAsia" w:ascii="Times New Roman" w:cs="Times New Roman"/>
                <w:sz w:val="21"/>
                <w:szCs w:val="21"/>
              </w:rPr>
              <w:t>50</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5480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37</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李家岩</w:t>
            </w:r>
            <w:r>
              <w:rPr>
                <w:rFonts w:ascii="Times New Roman" w:cs="Times New Roman"/>
                <w:sz w:val="21"/>
                <w:szCs w:val="21"/>
              </w:rPr>
              <w:t>农户</w:t>
            </w:r>
            <w:r>
              <w:rPr>
                <w:rFonts w:hint="eastAsia" w:ascii="Times New Roman" w:cs="Times New Roman"/>
                <w:sz w:val="21"/>
                <w:szCs w:val="21"/>
              </w:rPr>
              <w:t>37#</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-4090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-4110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30</w:t>
            </w:r>
            <w:r>
              <w:rPr>
                <w:rFonts w:ascii="Times New Roman" w:cs="Times New Roman"/>
                <w:sz w:val="21"/>
                <w:szCs w:val="21"/>
              </w:rPr>
              <w:t>户</w:t>
            </w:r>
            <w:r>
              <w:rPr>
                <w:rFonts w:hint="eastAsia" w:ascii="Times New Roman" w:cs="Times New Roman"/>
                <w:sz w:val="21"/>
                <w:szCs w:val="21"/>
              </w:rPr>
              <w:t>95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5740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38</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流杯湾</w:t>
            </w:r>
            <w:r>
              <w:rPr>
                <w:rFonts w:ascii="Times New Roman" w:cs="Times New Roman"/>
                <w:sz w:val="21"/>
                <w:szCs w:val="21"/>
              </w:rPr>
              <w:t>农户</w:t>
            </w:r>
            <w:r>
              <w:rPr>
                <w:rFonts w:hint="eastAsia" w:ascii="Times New Roman" w:cs="Times New Roman"/>
                <w:sz w:val="21"/>
                <w:szCs w:val="21"/>
              </w:rPr>
              <w:t>38#</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-4270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-1300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30</w:t>
            </w:r>
            <w:r>
              <w:rPr>
                <w:rFonts w:ascii="Times New Roman" w:cs="Times New Roman"/>
                <w:sz w:val="21"/>
                <w:szCs w:val="21"/>
              </w:rPr>
              <w:t>户</w:t>
            </w:r>
            <w:r>
              <w:rPr>
                <w:rFonts w:hint="eastAsia" w:ascii="Times New Roman" w:cs="Times New Roman"/>
                <w:sz w:val="21"/>
                <w:szCs w:val="21"/>
              </w:rPr>
              <w:t>95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4570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39</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大树林</w:t>
            </w:r>
            <w:r>
              <w:rPr>
                <w:rFonts w:ascii="Times New Roman" w:cs="Times New Roman"/>
                <w:sz w:val="21"/>
                <w:szCs w:val="21"/>
              </w:rPr>
              <w:t>农户</w:t>
            </w:r>
            <w:r>
              <w:rPr>
                <w:rFonts w:hint="eastAsia" w:ascii="Times New Roman" w:cs="Times New Roman"/>
                <w:sz w:val="21"/>
                <w:szCs w:val="21"/>
              </w:rPr>
              <w:t>39#</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-4540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-500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20</w:t>
            </w:r>
            <w:r>
              <w:rPr>
                <w:rFonts w:ascii="Times New Roman" w:cs="Times New Roman"/>
                <w:sz w:val="21"/>
                <w:szCs w:val="21"/>
              </w:rPr>
              <w:t>户</w:t>
            </w:r>
            <w:r>
              <w:rPr>
                <w:rFonts w:hint="eastAsia" w:ascii="Times New Roman" w:cs="Times New Roman"/>
                <w:sz w:val="21"/>
                <w:szCs w:val="21"/>
              </w:rPr>
              <w:t>65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4650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40</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芭蕉村</w:t>
            </w:r>
            <w:r>
              <w:rPr>
                <w:rFonts w:ascii="Times New Roman" w:cs="Times New Roman"/>
                <w:sz w:val="21"/>
                <w:szCs w:val="21"/>
              </w:rPr>
              <w:t>农户</w:t>
            </w:r>
            <w:r>
              <w:rPr>
                <w:rFonts w:hint="eastAsia" w:ascii="Times New Roman" w:cs="Times New Roman"/>
                <w:sz w:val="21"/>
                <w:szCs w:val="21"/>
              </w:rPr>
              <w:t>40#</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-3430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-330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220</w:t>
            </w:r>
            <w:r>
              <w:rPr>
                <w:rFonts w:ascii="Times New Roman" w:cs="Times New Roman"/>
                <w:sz w:val="21"/>
                <w:szCs w:val="21"/>
              </w:rPr>
              <w:t>户</w:t>
            </w:r>
            <w:r>
              <w:rPr>
                <w:rFonts w:hint="eastAsia" w:ascii="Times New Roman" w:cs="Times New Roman"/>
                <w:sz w:val="21"/>
                <w:szCs w:val="21"/>
              </w:rPr>
              <w:t>850</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41</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孙家坝</w:t>
            </w:r>
            <w:r>
              <w:rPr>
                <w:rFonts w:ascii="Times New Roman" w:cs="Times New Roman"/>
                <w:sz w:val="21"/>
                <w:szCs w:val="21"/>
              </w:rPr>
              <w:t>农户</w:t>
            </w:r>
            <w:r>
              <w:rPr>
                <w:rFonts w:hint="eastAsia" w:ascii="Times New Roman" w:cs="Times New Roman"/>
                <w:sz w:val="21"/>
                <w:szCs w:val="21"/>
              </w:rPr>
              <w:t>41#</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-4120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15</w:t>
            </w:r>
            <w:r>
              <w:rPr>
                <w:rFonts w:ascii="Times New Roman" w:cs="Times New Roman"/>
                <w:sz w:val="21"/>
                <w:szCs w:val="21"/>
              </w:rPr>
              <w:t>户</w:t>
            </w:r>
            <w:r>
              <w:rPr>
                <w:rFonts w:hint="eastAsia" w:ascii="Times New Roman" w:cs="Times New Roman"/>
                <w:sz w:val="21"/>
                <w:szCs w:val="21"/>
              </w:rPr>
              <w:t>50</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4120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42</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王家湾</w:t>
            </w:r>
            <w:r>
              <w:rPr>
                <w:rFonts w:ascii="Times New Roman" w:cs="Times New Roman"/>
                <w:sz w:val="21"/>
                <w:szCs w:val="21"/>
              </w:rPr>
              <w:t>农户</w:t>
            </w:r>
            <w:r>
              <w:rPr>
                <w:rFonts w:hint="eastAsia" w:ascii="Times New Roman" w:cs="Times New Roman"/>
                <w:sz w:val="21"/>
                <w:szCs w:val="21"/>
              </w:rPr>
              <w:t>42#</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-2890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190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10</w:t>
            </w:r>
            <w:r>
              <w:rPr>
                <w:rFonts w:ascii="Times New Roman" w:cs="Times New Roman"/>
                <w:sz w:val="21"/>
                <w:szCs w:val="21"/>
              </w:rPr>
              <w:t>户</w:t>
            </w:r>
            <w:r>
              <w:rPr>
                <w:rFonts w:hint="eastAsia" w:ascii="Times New Roman" w:cs="Times New Roman"/>
                <w:sz w:val="21"/>
                <w:szCs w:val="21"/>
              </w:rPr>
              <w:t>35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2920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43</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盛家沟</w:t>
            </w:r>
            <w:r>
              <w:rPr>
                <w:rFonts w:ascii="Times New Roman" w:cs="Times New Roman"/>
                <w:sz w:val="21"/>
                <w:szCs w:val="21"/>
              </w:rPr>
              <w:t>农户</w:t>
            </w:r>
            <w:r>
              <w:rPr>
                <w:rFonts w:hint="eastAsia" w:ascii="Times New Roman" w:cs="Times New Roman"/>
                <w:sz w:val="21"/>
                <w:szCs w:val="21"/>
              </w:rPr>
              <w:t>43#</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-740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2450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约20户65人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3590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44</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马马上</w:t>
            </w:r>
            <w:r>
              <w:rPr>
                <w:rFonts w:ascii="Times New Roman" w:cs="Times New Roman"/>
                <w:sz w:val="21"/>
                <w:szCs w:val="21"/>
              </w:rPr>
              <w:t>农户</w:t>
            </w:r>
            <w:r>
              <w:rPr>
                <w:rFonts w:hint="eastAsia" w:ascii="Times New Roman" w:cs="Times New Roman"/>
                <w:sz w:val="21"/>
                <w:szCs w:val="21"/>
              </w:rPr>
              <w:t>44#</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-3530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1800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10</w:t>
            </w:r>
            <w:r>
              <w:rPr>
                <w:rFonts w:ascii="Times New Roman" w:cs="Times New Roman"/>
                <w:sz w:val="21"/>
                <w:szCs w:val="21"/>
              </w:rPr>
              <w:t>户</w:t>
            </w:r>
            <w:r>
              <w:rPr>
                <w:rFonts w:hint="eastAsia" w:ascii="Times New Roman" w:cs="Times New Roman"/>
                <w:sz w:val="21"/>
                <w:szCs w:val="21"/>
              </w:rPr>
              <w:t>35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45</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毛坪</w:t>
            </w:r>
            <w:r>
              <w:rPr>
                <w:rFonts w:ascii="Times New Roman" w:cs="Times New Roman"/>
                <w:sz w:val="21"/>
                <w:szCs w:val="21"/>
              </w:rPr>
              <w:t>农户</w:t>
            </w:r>
            <w:r>
              <w:rPr>
                <w:rFonts w:hint="eastAsia" w:ascii="Times New Roman" w:cs="Times New Roman"/>
                <w:sz w:val="21"/>
                <w:szCs w:val="21"/>
              </w:rPr>
              <w:t>45#</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-3200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2440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8</w:t>
            </w:r>
            <w:r>
              <w:rPr>
                <w:rFonts w:ascii="Times New Roman" w:cs="Times New Roman"/>
                <w:sz w:val="21"/>
                <w:szCs w:val="21"/>
              </w:rPr>
              <w:t>户</w:t>
            </w:r>
            <w:r>
              <w:rPr>
                <w:rFonts w:hint="eastAsia" w:ascii="Times New Roman" w:cs="Times New Roman"/>
                <w:sz w:val="21"/>
                <w:szCs w:val="21"/>
              </w:rPr>
              <w:t>30</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3990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46</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青龙</w:t>
            </w:r>
            <w:r>
              <w:rPr>
                <w:rFonts w:ascii="Times New Roman" w:cs="Times New Roman"/>
                <w:sz w:val="21"/>
                <w:szCs w:val="21"/>
              </w:rPr>
              <w:t>寨农户</w:t>
            </w:r>
            <w:r>
              <w:rPr>
                <w:rFonts w:hint="eastAsia" w:ascii="Times New Roman" w:cs="Times New Roman"/>
                <w:sz w:val="21"/>
                <w:szCs w:val="21"/>
              </w:rPr>
              <w:t>46#</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-1830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9000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50</w:t>
            </w:r>
            <w:r>
              <w:rPr>
                <w:rFonts w:ascii="Times New Roman" w:cs="Times New Roman"/>
                <w:sz w:val="21"/>
                <w:szCs w:val="21"/>
              </w:rPr>
              <w:t>户</w:t>
            </w:r>
            <w:r>
              <w:rPr>
                <w:rFonts w:hint="eastAsia" w:ascii="Times New Roman" w:cs="Times New Roman"/>
                <w:sz w:val="21"/>
                <w:szCs w:val="21"/>
              </w:rPr>
              <w:t>155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1990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47</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沙田湾农户</w:t>
            </w:r>
            <w:r>
              <w:rPr>
                <w:rFonts w:hint="eastAsia" w:ascii="Times New Roman" w:cs="Times New Roman"/>
                <w:sz w:val="21"/>
                <w:szCs w:val="21"/>
              </w:rPr>
              <w:t>47#</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-1000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1300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5</w:t>
            </w:r>
            <w:r>
              <w:rPr>
                <w:rFonts w:ascii="Times New Roman" w:cs="Times New Roman"/>
                <w:sz w:val="21"/>
                <w:szCs w:val="21"/>
              </w:rPr>
              <w:t>户</w:t>
            </w:r>
            <w:r>
              <w:rPr>
                <w:rFonts w:hint="eastAsia" w:ascii="Times New Roman" w:cs="Times New Roman"/>
                <w:sz w:val="21"/>
                <w:szCs w:val="21"/>
              </w:rPr>
              <w:t>15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1560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48</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斑竹林</w:t>
            </w:r>
            <w:r>
              <w:rPr>
                <w:rFonts w:ascii="Times New Roman" w:cs="Times New Roman"/>
                <w:sz w:val="21"/>
                <w:szCs w:val="21"/>
              </w:rPr>
              <w:t>农户</w:t>
            </w:r>
            <w:r>
              <w:rPr>
                <w:rFonts w:hint="eastAsia" w:ascii="Times New Roman" w:cs="Times New Roman"/>
                <w:sz w:val="21"/>
                <w:szCs w:val="21"/>
              </w:rPr>
              <w:t>48#</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-500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1660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约20户65人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1700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49</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赵家沟</w:t>
            </w:r>
            <w:r>
              <w:rPr>
                <w:rFonts w:ascii="Times New Roman" w:cs="Times New Roman"/>
                <w:sz w:val="21"/>
                <w:szCs w:val="21"/>
              </w:rPr>
              <w:t>农户</w:t>
            </w:r>
            <w:r>
              <w:rPr>
                <w:rFonts w:hint="eastAsia" w:ascii="Times New Roman" w:cs="Times New Roman"/>
                <w:sz w:val="21"/>
                <w:szCs w:val="21"/>
              </w:rPr>
              <w:t>49#</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-2390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1610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约18户55人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2920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50</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支溪村</w:t>
            </w:r>
            <w:r>
              <w:rPr>
                <w:rFonts w:ascii="Times New Roman" w:cs="Times New Roman"/>
                <w:sz w:val="21"/>
                <w:szCs w:val="21"/>
              </w:rPr>
              <w:t>农户</w:t>
            </w:r>
            <w:r>
              <w:rPr>
                <w:rFonts w:hint="eastAsia" w:ascii="Times New Roman" w:cs="Times New Roman"/>
                <w:sz w:val="21"/>
                <w:szCs w:val="21"/>
              </w:rPr>
              <w:t>50#</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-1550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2100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30</w:t>
            </w:r>
            <w:r>
              <w:rPr>
                <w:rFonts w:ascii="Times New Roman" w:cs="Times New Roman"/>
                <w:sz w:val="21"/>
                <w:szCs w:val="21"/>
              </w:rPr>
              <w:t>户</w:t>
            </w:r>
            <w:r>
              <w:rPr>
                <w:rFonts w:hint="eastAsia" w:ascii="Times New Roman" w:cs="Times New Roman"/>
                <w:sz w:val="21"/>
                <w:szCs w:val="21"/>
              </w:rPr>
              <w:t>95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2670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51</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支溪沟</w:t>
            </w:r>
            <w:r>
              <w:rPr>
                <w:rFonts w:ascii="Times New Roman" w:cs="Times New Roman"/>
                <w:sz w:val="21"/>
                <w:szCs w:val="21"/>
              </w:rPr>
              <w:t>农户</w:t>
            </w:r>
            <w:r>
              <w:rPr>
                <w:rFonts w:hint="eastAsia" w:ascii="Times New Roman" w:cs="Times New Roman"/>
                <w:sz w:val="21"/>
                <w:szCs w:val="21"/>
              </w:rPr>
              <w:t>51#</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-2210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2550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约18户55人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3390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52</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窑匠湾</w:t>
            </w:r>
            <w:r>
              <w:rPr>
                <w:rFonts w:ascii="Times New Roman" w:cs="Times New Roman"/>
                <w:sz w:val="21"/>
                <w:szCs w:val="21"/>
              </w:rPr>
              <w:t>农户</w:t>
            </w:r>
            <w:r>
              <w:rPr>
                <w:rFonts w:hint="eastAsia" w:ascii="Times New Roman" w:cs="Times New Roman"/>
                <w:sz w:val="21"/>
                <w:szCs w:val="21"/>
              </w:rPr>
              <w:t>52#</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-2840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3470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15</w:t>
            </w:r>
            <w:r>
              <w:rPr>
                <w:rFonts w:ascii="Times New Roman" w:cs="Times New Roman"/>
                <w:sz w:val="21"/>
                <w:szCs w:val="21"/>
              </w:rPr>
              <w:t>户</w:t>
            </w:r>
            <w:r>
              <w:rPr>
                <w:rFonts w:hint="eastAsia" w:ascii="Times New Roman" w:cs="Times New Roman"/>
                <w:sz w:val="21"/>
                <w:szCs w:val="21"/>
              </w:rPr>
              <w:t>50</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4450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53</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中江沱</w:t>
            </w:r>
            <w:r>
              <w:rPr>
                <w:rFonts w:ascii="Times New Roman" w:cs="Times New Roman"/>
                <w:sz w:val="21"/>
                <w:szCs w:val="21"/>
              </w:rPr>
              <w:t>农户</w:t>
            </w:r>
            <w:r>
              <w:rPr>
                <w:rFonts w:hint="eastAsia" w:ascii="Times New Roman" w:cs="Times New Roman"/>
                <w:sz w:val="21"/>
                <w:szCs w:val="21"/>
              </w:rPr>
              <w:t>53#</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-640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2450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20</w:t>
            </w:r>
            <w:r>
              <w:rPr>
                <w:rFonts w:ascii="Times New Roman" w:cs="Times New Roman"/>
                <w:sz w:val="21"/>
                <w:szCs w:val="21"/>
              </w:rPr>
              <w:t>户</w:t>
            </w:r>
            <w:r>
              <w:rPr>
                <w:rFonts w:hint="eastAsia" w:ascii="Times New Roman" w:cs="Times New Roman"/>
                <w:sz w:val="21"/>
                <w:szCs w:val="21"/>
              </w:rPr>
              <w:t>65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54</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陶家沟</w:t>
            </w:r>
            <w:r>
              <w:rPr>
                <w:rFonts w:ascii="Times New Roman" w:cs="Times New Roman"/>
                <w:sz w:val="21"/>
                <w:szCs w:val="21"/>
              </w:rPr>
              <w:t>农户</w:t>
            </w:r>
            <w:r>
              <w:rPr>
                <w:rFonts w:hint="eastAsia" w:ascii="Times New Roman" w:cs="Times New Roman"/>
                <w:sz w:val="21"/>
                <w:szCs w:val="21"/>
              </w:rPr>
              <w:t>54#</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-1610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3120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10</w:t>
            </w:r>
            <w:r>
              <w:rPr>
                <w:rFonts w:ascii="Times New Roman" w:cs="Times New Roman"/>
                <w:sz w:val="21"/>
                <w:szCs w:val="21"/>
              </w:rPr>
              <w:t>户</w:t>
            </w:r>
            <w:r>
              <w:rPr>
                <w:rFonts w:hint="eastAsia" w:ascii="Times New Roman" w:cs="Times New Roman"/>
                <w:sz w:val="21"/>
                <w:szCs w:val="21"/>
              </w:rPr>
              <w:t>35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3450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55</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无事田沟</w:t>
            </w:r>
            <w:r>
              <w:rPr>
                <w:rFonts w:ascii="Times New Roman" w:cs="Times New Roman"/>
                <w:sz w:val="21"/>
                <w:szCs w:val="21"/>
              </w:rPr>
              <w:t>农户</w:t>
            </w:r>
            <w:r>
              <w:rPr>
                <w:rFonts w:hint="eastAsia" w:ascii="Times New Roman" w:cs="Times New Roman"/>
                <w:sz w:val="21"/>
                <w:szCs w:val="21"/>
              </w:rPr>
              <w:t>55#</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-1130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3410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20</w:t>
            </w:r>
            <w:r>
              <w:rPr>
                <w:rFonts w:ascii="Times New Roman" w:cs="Times New Roman"/>
                <w:sz w:val="21"/>
                <w:szCs w:val="21"/>
              </w:rPr>
              <w:t>户</w:t>
            </w:r>
            <w:r>
              <w:rPr>
                <w:rFonts w:hint="eastAsia" w:ascii="Times New Roman" w:cs="Times New Roman"/>
                <w:sz w:val="21"/>
                <w:szCs w:val="21"/>
              </w:rPr>
              <w:t>65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3510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56</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任家坡</w:t>
            </w:r>
            <w:r>
              <w:rPr>
                <w:rFonts w:ascii="Times New Roman" w:cs="Times New Roman"/>
                <w:sz w:val="21"/>
                <w:szCs w:val="21"/>
              </w:rPr>
              <w:t>农户</w:t>
            </w:r>
            <w:r>
              <w:rPr>
                <w:rFonts w:hint="eastAsia" w:ascii="Times New Roman" w:cs="Times New Roman"/>
                <w:sz w:val="21"/>
                <w:szCs w:val="21"/>
              </w:rPr>
              <w:t>56#</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-2150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3560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10</w:t>
            </w:r>
            <w:r>
              <w:rPr>
                <w:rFonts w:ascii="Times New Roman" w:cs="Times New Roman"/>
                <w:sz w:val="21"/>
                <w:szCs w:val="21"/>
              </w:rPr>
              <w:t>户</w:t>
            </w:r>
            <w:r>
              <w:rPr>
                <w:rFonts w:hint="eastAsia" w:ascii="Times New Roman" w:cs="Times New Roman"/>
                <w:sz w:val="21"/>
                <w:szCs w:val="21"/>
              </w:rPr>
              <w:t>35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4110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57</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大梁上</w:t>
            </w:r>
            <w:r>
              <w:rPr>
                <w:rFonts w:ascii="Times New Roman" w:cs="Times New Roman"/>
                <w:sz w:val="21"/>
                <w:szCs w:val="21"/>
              </w:rPr>
              <w:t>农户</w:t>
            </w:r>
            <w:r>
              <w:rPr>
                <w:rFonts w:hint="eastAsia" w:ascii="Times New Roman" w:cs="Times New Roman"/>
                <w:sz w:val="21"/>
                <w:szCs w:val="21"/>
              </w:rPr>
              <w:t>57#</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-1730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4490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5</w:t>
            </w:r>
            <w:r>
              <w:rPr>
                <w:rFonts w:ascii="Times New Roman" w:cs="Times New Roman"/>
                <w:sz w:val="21"/>
                <w:szCs w:val="21"/>
              </w:rPr>
              <w:t>户</w:t>
            </w:r>
            <w:r>
              <w:rPr>
                <w:rFonts w:hint="eastAsia" w:ascii="Times New Roman" w:cs="Times New Roman"/>
                <w:sz w:val="21"/>
                <w:szCs w:val="21"/>
              </w:rPr>
              <w:t>15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4660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58</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独山坪</w:t>
            </w:r>
            <w:r>
              <w:rPr>
                <w:rFonts w:ascii="Times New Roman" w:cs="Times New Roman"/>
                <w:sz w:val="21"/>
                <w:szCs w:val="21"/>
              </w:rPr>
              <w:t>农户</w:t>
            </w:r>
            <w:r>
              <w:rPr>
                <w:rFonts w:hint="eastAsia" w:ascii="Times New Roman" w:cs="Times New Roman"/>
                <w:sz w:val="21"/>
                <w:szCs w:val="21"/>
              </w:rPr>
              <w:t>58#</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-2700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4510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10</w:t>
            </w:r>
            <w:r>
              <w:rPr>
                <w:rFonts w:ascii="Times New Roman" w:cs="Times New Roman"/>
                <w:sz w:val="21"/>
                <w:szCs w:val="21"/>
              </w:rPr>
              <w:t>户</w:t>
            </w:r>
            <w:r>
              <w:rPr>
                <w:rFonts w:hint="eastAsia" w:ascii="Times New Roman" w:cs="Times New Roman"/>
                <w:sz w:val="21"/>
                <w:szCs w:val="21"/>
              </w:rPr>
              <w:t>35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5490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59</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下官家沟</w:t>
            </w:r>
            <w:r>
              <w:rPr>
                <w:rFonts w:ascii="Times New Roman" w:cs="Times New Roman"/>
                <w:sz w:val="21"/>
                <w:szCs w:val="21"/>
              </w:rPr>
              <w:t>农户</w:t>
            </w:r>
            <w:r>
              <w:rPr>
                <w:rFonts w:hint="eastAsia" w:ascii="Times New Roman" w:cs="Times New Roman"/>
                <w:sz w:val="21"/>
                <w:szCs w:val="21"/>
              </w:rPr>
              <w:t>59#</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3970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约20户65人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3970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60</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窝凼农户</w:t>
            </w:r>
            <w:r>
              <w:rPr>
                <w:rFonts w:hint="eastAsia" w:ascii="Times New Roman" w:cs="Times New Roman"/>
                <w:sz w:val="21"/>
                <w:szCs w:val="21"/>
              </w:rPr>
              <w:t>60#</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740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840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30</w:t>
            </w:r>
            <w:r>
              <w:rPr>
                <w:rFonts w:ascii="Times New Roman" w:cs="Times New Roman"/>
                <w:sz w:val="21"/>
                <w:szCs w:val="21"/>
              </w:rPr>
              <w:t>户</w:t>
            </w:r>
            <w:r>
              <w:rPr>
                <w:rFonts w:hint="eastAsia" w:ascii="Times New Roman" w:cs="Times New Roman"/>
                <w:sz w:val="21"/>
                <w:szCs w:val="21"/>
              </w:rPr>
              <w:t>95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1110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61</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干子坪农户</w:t>
            </w:r>
            <w:r>
              <w:rPr>
                <w:rFonts w:hint="eastAsia" w:ascii="Times New Roman" w:cs="Times New Roman"/>
                <w:sz w:val="21"/>
                <w:szCs w:val="21"/>
              </w:rPr>
              <w:t>61#</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1150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1090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约20户65人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1550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62</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沙</w:t>
            </w:r>
            <w:r>
              <w:rPr>
                <w:rFonts w:hint="eastAsia" w:ascii="Times New Roman" w:cs="Times New Roman"/>
                <w:sz w:val="21"/>
                <w:szCs w:val="21"/>
              </w:rPr>
              <w:t>场</w:t>
            </w:r>
            <w:r>
              <w:rPr>
                <w:rFonts w:ascii="Times New Roman" w:cs="Times New Roman"/>
                <w:sz w:val="21"/>
                <w:szCs w:val="21"/>
              </w:rPr>
              <w:t>村农户</w:t>
            </w:r>
            <w:r>
              <w:rPr>
                <w:rFonts w:hint="eastAsia" w:ascii="Times New Roman" w:cs="Times New Roman"/>
                <w:sz w:val="21"/>
                <w:szCs w:val="21"/>
              </w:rPr>
              <w:t>62#</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1120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170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约25户75人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1150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63</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李家</w:t>
            </w:r>
            <w:r>
              <w:rPr>
                <w:rFonts w:ascii="Times New Roman" w:cs="Times New Roman"/>
                <w:sz w:val="21"/>
                <w:szCs w:val="21"/>
              </w:rPr>
              <w:t>坪农户</w:t>
            </w:r>
            <w:r>
              <w:rPr>
                <w:rFonts w:hint="eastAsia" w:ascii="Times New Roman" w:cs="Times New Roman"/>
                <w:sz w:val="21"/>
                <w:szCs w:val="21"/>
              </w:rPr>
              <w:t>63#</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1950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80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10</w:t>
            </w:r>
            <w:r>
              <w:rPr>
                <w:rFonts w:ascii="Times New Roman" w:cs="Times New Roman"/>
                <w:sz w:val="21"/>
                <w:szCs w:val="21"/>
              </w:rPr>
              <w:t>户</w:t>
            </w:r>
            <w:r>
              <w:rPr>
                <w:rFonts w:hint="eastAsia" w:ascii="Times New Roman" w:cs="Times New Roman"/>
                <w:sz w:val="21"/>
                <w:szCs w:val="21"/>
              </w:rPr>
              <w:t>35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2010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64</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庄子山</w:t>
            </w:r>
            <w:r>
              <w:rPr>
                <w:rFonts w:ascii="Times New Roman" w:cs="Times New Roman"/>
                <w:sz w:val="21"/>
                <w:szCs w:val="21"/>
              </w:rPr>
              <w:t>农户</w:t>
            </w:r>
            <w:r>
              <w:rPr>
                <w:rFonts w:hint="eastAsia" w:ascii="Times New Roman" w:cs="Times New Roman"/>
                <w:sz w:val="21"/>
                <w:szCs w:val="21"/>
              </w:rPr>
              <w:t>64#</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3710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220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15</w:t>
            </w:r>
            <w:r>
              <w:rPr>
                <w:rFonts w:ascii="Times New Roman" w:cs="Times New Roman"/>
                <w:sz w:val="21"/>
                <w:szCs w:val="21"/>
              </w:rPr>
              <w:t>户</w:t>
            </w:r>
            <w:r>
              <w:rPr>
                <w:rFonts w:hint="eastAsia" w:ascii="Times New Roman" w:cs="Times New Roman"/>
                <w:sz w:val="21"/>
                <w:szCs w:val="21"/>
              </w:rPr>
              <w:t>50</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3740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65</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下八字坪</w:t>
            </w:r>
            <w:r>
              <w:rPr>
                <w:rFonts w:ascii="Times New Roman" w:cs="Times New Roman"/>
                <w:sz w:val="21"/>
                <w:szCs w:val="21"/>
              </w:rPr>
              <w:t>农户</w:t>
            </w:r>
            <w:r>
              <w:rPr>
                <w:rFonts w:hint="eastAsia" w:ascii="Times New Roman" w:cs="Times New Roman"/>
                <w:sz w:val="21"/>
                <w:szCs w:val="21"/>
              </w:rPr>
              <w:t>65#</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2250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1760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10</w:t>
            </w:r>
            <w:r>
              <w:rPr>
                <w:rFonts w:ascii="Times New Roman" w:cs="Times New Roman"/>
                <w:sz w:val="21"/>
                <w:szCs w:val="21"/>
              </w:rPr>
              <w:t>户</w:t>
            </w:r>
            <w:r>
              <w:rPr>
                <w:rFonts w:hint="eastAsia" w:ascii="Times New Roman" w:cs="Times New Roman"/>
                <w:sz w:val="21"/>
                <w:szCs w:val="21"/>
              </w:rPr>
              <w:t>35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2780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66</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中庆村</w:t>
            </w:r>
            <w:r>
              <w:rPr>
                <w:rFonts w:ascii="Times New Roman" w:cs="Times New Roman"/>
                <w:sz w:val="21"/>
                <w:szCs w:val="21"/>
              </w:rPr>
              <w:t>农户</w:t>
            </w:r>
            <w:r>
              <w:rPr>
                <w:rFonts w:hint="eastAsia" w:ascii="Times New Roman" w:cs="Times New Roman"/>
                <w:sz w:val="21"/>
                <w:szCs w:val="21"/>
              </w:rPr>
              <w:t>66#</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2800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2140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20</w:t>
            </w:r>
            <w:r>
              <w:rPr>
                <w:rFonts w:ascii="Times New Roman" w:cs="Times New Roman"/>
                <w:sz w:val="21"/>
                <w:szCs w:val="21"/>
              </w:rPr>
              <w:t>户</w:t>
            </w:r>
            <w:r>
              <w:rPr>
                <w:rFonts w:hint="eastAsia" w:ascii="Times New Roman" w:cs="Times New Roman"/>
                <w:sz w:val="21"/>
                <w:szCs w:val="21"/>
              </w:rPr>
              <w:t>65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3550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67</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上八字坪</w:t>
            </w:r>
            <w:r>
              <w:rPr>
                <w:rFonts w:ascii="Times New Roman" w:cs="Times New Roman"/>
                <w:sz w:val="21"/>
                <w:szCs w:val="21"/>
              </w:rPr>
              <w:t>农户</w:t>
            </w:r>
            <w:r>
              <w:rPr>
                <w:rFonts w:hint="eastAsia" w:ascii="Times New Roman" w:cs="Times New Roman"/>
                <w:sz w:val="21"/>
                <w:szCs w:val="21"/>
              </w:rPr>
              <w:t>67#</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3000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2450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10</w:t>
            </w:r>
            <w:r>
              <w:rPr>
                <w:rFonts w:ascii="Times New Roman" w:cs="Times New Roman"/>
                <w:sz w:val="21"/>
                <w:szCs w:val="21"/>
              </w:rPr>
              <w:t>户</w:t>
            </w:r>
            <w:r>
              <w:rPr>
                <w:rFonts w:hint="eastAsia" w:ascii="Times New Roman" w:cs="Times New Roman"/>
                <w:sz w:val="21"/>
                <w:szCs w:val="21"/>
              </w:rPr>
              <w:t>35</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3970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68</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斑竹村</w:t>
            </w:r>
            <w:r>
              <w:rPr>
                <w:rFonts w:ascii="Times New Roman" w:cs="Times New Roman"/>
                <w:sz w:val="21"/>
                <w:szCs w:val="21"/>
              </w:rPr>
              <w:t>农户</w:t>
            </w:r>
            <w:r>
              <w:rPr>
                <w:rFonts w:hint="eastAsia" w:ascii="Times New Roman" w:cs="Times New Roman"/>
                <w:sz w:val="21"/>
                <w:szCs w:val="21"/>
              </w:rPr>
              <w:t>68#</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2800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2140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约150户485人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3110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69</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大书坝</w:t>
            </w:r>
            <w:r>
              <w:rPr>
                <w:rFonts w:ascii="Times New Roman" w:cs="Times New Roman"/>
                <w:sz w:val="21"/>
                <w:szCs w:val="21"/>
              </w:rPr>
              <w:t>农户</w:t>
            </w:r>
            <w:r>
              <w:rPr>
                <w:rFonts w:hint="eastAsia" w:ascii="Times New Roman" w:cs="Times New Roman"/>
                <w:sz w:val="21"/>
                <w:szCs w:val="21"/>
              </w:rPr>
              <w:t>69#</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1330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4220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约20户65人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4550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70</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农学堂</w:t>
            </w:r>
            <w:r>
              <w:rPr>
                <w:rFonts w:ascii="Times New Roman" w:cs="Times New Roman"/>
                <w:sz w:val="21"/>
                <w:szCs w:val="21"/>
              </w:rPr>
              <w:t>农户</w:t>
            </w:r>
            <w:r>
              <w:rPr>
                <w:rFonts w:hint="eastAsia" w:ascii="Times New Roman" w:cs="Times New Roman"/>
                <w:sz w:val="21"/>
                <w:szCs w:val="21"/>
              </w:rPr>
              <w:t>70#</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1930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4530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农户</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约</w:t>
            </w:r>
            <w:r>
              <w:rPr>
                <w:rFonts w:hint="eastAsia" w:ascii="Times New Roman" w:cs="Times New Roman"/>
                <w:sz w:val="21"/>
                <w:szCs w:val="21"/>
              </w:rPr>
              <w:t>15</w:t>
            </w:r>
            <w:r>
              <w:rPr>
                <w:rFonts w:ascii="Times New Roman" w:cs="Times New Roman"/>
                <w:sz w:val="21"/>
                <w:szCs w:val="21"/>
              </w:rPr>
              <w:t>户</w:t>
            </w:r>
            <w:r>
              <w:rPr>
                <w:rFonts w:hint="eastAsia" w:ascii="Times New Roman" w:cs="Times New Roman"/>
                <w:sz w:val="21"/>
                <w:szCs w:val="21"/>
              </w:rPr>
              <w:t>50</w:t>
            </w:r>
            <w:r>
              <w:rPr>
                <w:rFonts w:ascii="Times New Roman" w:cs="Times New Roman"/>
                <w:sz w:val="21"/>
                <w:szCs w:val="21"/>
              </w:rPr>
              <w:t>人</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b/>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4850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71</w:t>
            </w:r>
          </w:p>
        </w:tc>
        <w:tc>
          <w:tcPr>
            <w:tcW w:w="474" w:type="pct"/>
            <w:vMerge w:val="restart"/>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地表水</w:t>
            </w:r>
            <w:r>
              <w:rPr>
                <w:rFonts w:hint="eastAsia" w:ascii="Times New Roman" w:cs="Times New Roman"/>
                <w:sz w:val="21"/>
                <w:szCs w:val="21"/>
              </w:rPr>
              <w:t>、</w:t>
            </w:r>
            <w:r>
              <w:rPr>
                <w:rFonts w:ascii="Times New Roman" w:cs="Times New Roman"/>
                <w:sz w:val="21"/>
                <w:szCs w:val="21"/>
              </w:rPr>
              <w:t>环境风险</w:t>
            </w: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中河</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地表水</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地表水水质</w:t>
            </w:r>
          </w:p>
        </w:tc>
        <w:tc>
          <w:tcPr>
            <w:tcW w:w="1043" w:type="pct"/>
            <w:tcBorders>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《地表水环境质量标准》（GB3838-2002）</w:t>
            </w:r>
            <w:r>
              <w:rPr>
                <w:rFonts w:hint="eastAsia" w:hAnsi="宋体"/>
                <w:sz w:val="21"/>
                <w:szCs w:val="21"/>
              </w:rPr>
              <w:t>Ⅲ</w:t>
            </w:r>
            <w:r>
              <w:rPr>
                <w:rFonts w:ascii="Times New Roman" w:cs="Times New Roman"/>
                <w:sz w:val="21"/>
                <w:szCs w:val="21"/>
              </w:rPr>
              <w:t>类</w:t>
            </w: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1600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72</w:t>
            </w:r>
          </w:p>
        </w:tc>
        <w:tc>
          <w:tcPr>
            <w:tcW w:w="474" w:type="pct"/>
            <w:vMerge w:val="continue"/>
            <w:tcBorders>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后河</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地表水</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地表水水质</w:t>
            </w:r>
          </w:p>
        </w:tc>
        <w:tc>
          <w:tcPr>
            <w:tcW w:w="1043" w:type="pct"/>
            <w:tcBorders>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《地表水环境质量标准》（GB3838-2002）</w:t>
            </w:r>
            <w:r>
              <w:rPr>
                <w:rFonts w:hint="eastAsia" w:hAnsi="宋体"/>
                <w:sz w:val="21"/>
                <w:szCs w:val="21"/>
              </w:rPr>
              <w:t>Ⅲ</w:t>
            </w:r>
            <w:r>
              <w:rPr>
                <w:rFonts w:ascii="Times New Roman" w:cs="Times New Roman"/>
                <w:sz w:val="21"/>
                <w:szCs w:val="21"/>
              </w:rPr>
              <w:t>类</w:t>
            </w: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5100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73</w:t>
            </w:r>
          </w:p>
        </w:tc>
        <w:tc>
          <w:tcPr>
            <w:tcW w:w="474" w:type="pct"/>
            <w:vMerge w:val="restart"/>
            <w:tcBorders>
              <w:top w:val="single" w:color="000000" w:sz="2" w:space="0"/>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地下水环境</w:t>
            </w:r>
            <w:r>
              <w:rPr>
                <w:rFonts w:hint="eastAsia" w:ascii="Times New Roman" w:cs="Times New Roman"/>
                <w:sz w:val="21"/>
                <w:szCs w:val="21"/>
              </w:rPr>
              <w:t>、</w:t>
            </w:r>
            <w:r>
              <w:rPr>
                <w:rFonts w:ascii="Times New Roman" w:cs="Times New Roman"/>
                <w:sz w:val="21"/>
                <w:szCs w:val="21"/>
              </w:rPr>
              <w:t>环境风险</w:t>
            </w: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bCs/>
                <w:sz w:val="21"/>
                <w:szCs w:val="21"/>
              </w:rPr>
              <w:t>水井</w:t>
            </w:r>
            <w:r>
              <w:rPr>
                <w:rFonts w:hint="eastAsia" w:ascii="Times New Roman" w:cs="Times New Roman"/>
                <w:sz w:val="21"/>
                <w:szCs w:val="21"/>
              </w:rPr>
              <w:t>JC1</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2540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地下水水质</w:t>
            </w:r>
            <w:r>
              <w:rPr>
                <w:rFonts w:hint="eastAsia" w:ascii="Times New Roman" w:cs="Times New Roman"/>
                <w:sz w:val="21"/>
                <w:szCs w:val="21"/>
              </w:rPr>
              <w:t>，</w:t>
            </w:r>
            <w:r>
              <w:rPr>
                <w:rFonts w:ascii="Times New Roman" w:cs="Times New Roman"/>
                <w:sz w:val="21"/>
                <w:szCs w:val="21"/>
              </w:rPr>
              <w:t>高程</w:t>
            </w:r>
            <w:r>
              <w:rPr>
                <w:rFonts w:hint="eastAsia" w:ascii="Times New Roman" w:cs="Times New Roman"/>
                <w:sz w:val="21"/>
                <w:szCs w:val="21"/>
              </w:rPr>
              <w:t>646m</w:t>
            </w:r>
          </w:p>
        </w:tc>
        <w:tc>
          <w:tcPr>
            <w:tcW w:w="1043" w:type="pct"/>
            <w:vMerge w:val="restart"/>
            <w:tcBorders>
              <w:top w:val="single" w:color="000000" w:sz="2" w:space="0"/>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《地下水质量标准》（GB/T14848－2017）</w:t>
            </w:r>
            <w:r>
              <w:rPr>
                <w:rFonts w:hint="eastAsia" w:hAnsi="宋体"/>
                <w:sz w:val="21"/>
                <w:szCs w:val="21"/>
              </w:rPr>
              <w:t>Ⅲ</w:t>
            </w:r>
            <w:r>
              <w:rPr>
                <w:rFonts w:ascii="Times New Roman" w:cs="Times New Roman"/>
                <w:sz w:val="21"/>
                <w:szCs w:val="21"/>
              </w:rPr>
              <w:t>类标准</w:t>
            </w: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74</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bCs/>
                <w:sz w:val="21"/>
                <w:szCs w:val="21"/>
              </w:rPr>
              <w:t>水井</w:t>
            </w:r>
            <w:r>
              <w:rPr>
                <w:rFonts w:hint="eastAsia" w:ascii="Times New Roman" w:cs="Times New Roman"/>
                <w:sz w:val="21"/>
                <w:szCs w:val="21"/>
              </w:rPr>
              <w:t>JC2</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2110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-330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地下水水质</w:t>
            </w:r>
            <w:r>
              <w:rPr>
                <w:rFonts w:hint="eastAsia" w:ascii="Times New Roman" w:cs="Times New Roman"/>
                <w:sz w:val="21"/>
                <w:szCs w:val="21"/>
              </w:rPr>
              <w:t>，</w:t>
            </w:r>
            <w:r>
              <w:rPr>
                <w:rFonts w:ascii="Times New Roman" w:cs="Times New Roman"/>
                <w:sz w:val="21"/>
                <w:szCs w:val="21"/>
              </w:rPr>
              <w:t>高程650</w:t>
            </w:r>
            <w:r>
              <w:rPr>
                <w:rFonts w:hint="eastAsia" w:ascii="Times New Roman" w:cs="Times New Roman"/>
                <w:sz w:val="21"/>
                <w:szCs w:val="21"/>
              </w:rPr>
              <w:t>m</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1700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75</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bCs/>
                <w:sz w:val="21"/>
                <w:szCs w:val="21"/>
              </w:rPr>
              <w:t>水井</w:t>
            </w:r>
            <w:r>
              <w:rPr>
                <w:rFonts w:hint="eastAsia" w:ascii="Times New Roman" w:cs="Times New Roman"/>
                <w:sz w:val="21"/>
                <w:szCs w:val="21"/>
              </w:rPr>
              <w:t>JC3</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1260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1020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地下水水质</w:t>
            </w:r>
            <w:r>
              <w:rPr>
                <w:rFonts w:hint="eastAsia" w:ascii="Times New Roman" w:cs="Times New Roman"/>
                <w:sz w:val="21"/>
                <w:szCs w:val="21"/>
              </w:rPr>
              <w:t>，</w:t>
            </w:r>
            <w:r>
              <w:rPr>
                <w:rFonts w:ascii="Times New Roman" w:cs="Times New Roman"/>
                <w:sz w:val="21"/>
                <w:szCs w:val="21"/>
              </w:rPr>
              <w:t>高程</w:t>
            </w:r>
            <w:r>
              <w:rPr>
                <w:rFonts w:hint="eastAsia" w:ascii="Times New Roman" w:cs="Times New Roman"/>
                <w:sz w:val="21"/>
                <w:szCs w:val="21"/>
              </w:rPr>
              <w:t>717m</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900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76</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bCs/>
                <w:sz w:val="21"/>
                <w:szCs w:val="21"/>
              </w:rPr>
              <w:t>水井</w:t>
            </w:r>
            <w:r>
              <w:rPr>
                <w:rFonts w:hint="eastAsia" w:ascii="Times New Roman" w:cs="Times New Roman"/>
                <w:sz w:val="21"/>
                <w:szCs w:val="21"/>
              </w:rPr>
              <w:t>JC4</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3760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1400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地下水水质</w:t>
            </w:r>
            <w:r>
              <w:rPr>
                <w:rFonts w:hint="eastAsia" w:ascii="Times New Roman" w:cs="Times New Roman"/>
                <w:sz w:val="21"/>
                <w:szCs w:val="21"/>
              </w:rPr>
              <w:t>，</w:t>
            </w:r>
            <w:r>
              <w:rPr>
                <w:rFonts w:ascii="Times New Roman" w:cs="Times New Roman"/>
                <w:sz w:val="21"/>
                <w:szCs w:val="21"/>
              </w:rPr>
              <w:t>高程</w:t>
            </w:r>
            <w:r>
              <w:rPr>
                <w:rFonts w:hint="eastAsia" w:ascii="Times New Roman" w:cs="Times New Roman"/>
                <w:sz w:val="21"/>
                <w:szCs w:val="21"/>
              </w:rPr>
              <w:t>386m</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2080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77</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bCs/>
                <w:sz w:val="21"/>
                <w:szCs w:val="21"/>
              </w:rPr>
              <w:t>水井</w:t>
            </w:r>
            <w:r>
              <w:rPr>
                <w:rFonts w:hint="eastAsia" w:ascii="Times New Roman" w:cs="Times New Roman"/>
                <w:sz w:val="21"/>
                <w:szCs w:val="21"/>
              </w:rPr>
              <w:t>JC5</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3080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2450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地下水水质</w:t>
            </w:r>
            <w:r>
              <w:rPr>
                <w:rFonts w:hint="eastAsia" w:ascii="Times New Roman" w:cs="Times New Roman"/>
                <w:sz w:val="21"/>
                <w:szCs w:val="21"/>
              </w:rPr>
              <w:t>，</w:t>
            </w:r>
            <w:r>
              <w:rPr>
                <w:rFonts w:ascii="Times New Roman" w:cs="Times New Roman"/>
                <w:sz w:val="21"/>
                <w:szCs w:val="21"/>
              </w:rPr>
              <w:t>高程</w:t>
            </w:r>
            <w:r>
              <w:rPr>
                <w:rFonts w:hint="eastAsia" w:ascii="Times New Roman" w:cs="Times New Roman"/>
                <w:sz w:val="21"/>
                <w:szCs w:val="21"/>
              </w:rPr>
              <w:t>723m</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970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78</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bCs/>
                <w:sz w:val="21"/>
                <w:szCs w:val="21"/>
              </w:rPr>
              <w:t>水井</w:t>
            </w:r>
            <w:r>
              <w:rPr>
                <w:rFonts w:hint="eastAsia" w:ascii="Times New Roman" w:cs="Times New Roman"/>
                <w:sz w:val="21"/>
                <w:szCs w:val="21"/>
              </w:rPr>
              <w:t>JC6</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3740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地下水水质</w:t>
            </w:r>
            <w:r>
              <w:rPr>
                <w:rFonts w:hint="eastAsia" w:ascii="Times New Roman" w:cs="Times New Roman"/>
                <w:sz w:val="21"/>
                <w:szCs w:val="21"/>
              </w:rPr>
              <w:t>，</w:t>
            </w:r>
            <w:r>
              <w:rPr>
                <w:rFonts w:ascii="Times New Roman" w:cs="Times New Roman"/>
                <w:sz w:val="21"/>
                <w:szCs w:val="21"/>
              </w:rPr>
              <w:t>高程</w:t>
            </w:r>
            <w:r>
              <w:rPr>
                <w:rFonts w:hint="eastAsia" w:ascii="Times New Roman" w:cs="Times New Roman"/>
                <w:sz w:val="21"/>
                <w:szCs w:val="21"/>
              </w:rPr>
              <w:t>816m</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2360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79</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bCs/>
                <w:sz w:val="21"/>
                <w:szCs w:val="21"/>
              </w:rPr>
              <w:t>水井</w:t>
            </w:r>
            <w:r>
              <w:rPr>
                <w:rFonts w:hint="eastAsia" w:ascii="Times New Roman" w:cs="Times New Roman"/>
                <w:sz w:val="21"/>
                <w:szCs w:val="21"/>
              </w:rPr>
              <w:t>JC7</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1540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地下水水质</w:t>
            </w:r>
            <w:r>
              <w:rPr>
                <w:rFonts w:hint="eastAsia" w:ascii="Times New Roman" w:cs="Times New Roman"/>
                <w:sz w:val="21"/>
                <w:szCs w:val="21"/>
              </w:rPr>
              <w:t>，</w:t>
            </w:r>
            <w:r>
              <w:rPr>
                <w:rFonts w:ascii="Times New Roman" w:cs="Times New Roman"/>
                <w:sz w:val="21"/>
                <w:szCs w:val="21"/>
              </w:rPr>
              <w:t>高程</w:t>
            </w:r>
            <w:r>
              <w:rPr>
                <w:rFonts w:hint="eastAsia" w:ascii="Times New Roman" w:cs="Times New Roman"/>
                <w:sz w:val="21"/>
                <w:szCs w:val="21"/>
              </w:rPr>
              <w:t>768m</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1710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80</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bCs/>
                <w:sz w:val="21"/>
                <w:szCs w:val="21"/>
              </w:rPr>
              <w:t>水井</w:t>
            </w:r>
            <w:r>
              <w:rPr>
                <w:rFonts w:hint="eastAsia" w:ascii="Times New Roman" w:cs="Times New Roman"/>
                <w:sz w:val="21"/>
                <w:szCs w:val="21"/>
              </w:rPr>
              <w:t>JC8</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1</w:t>
            </w:r>
            <w:r>
              <w:rPr>
                <w:rFonts w:hint="eastAsia" w:ascii="Times New Roman" w:cs="Times New Roman"/>
                <w:sz w:val="21"/>
                <w:szCs w:val="21"/>
              </w:rPr>
              <w:t>920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1440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地下水水质</w:t>
            </w:r>
            <w:r>
              <w:rPr>
                <w:rFonts w:hint="eastAsia" w:ascii="Times New Roman" w:cs="Times New Roman"/>
                <w:sz w:val="21"/>
                <w:szCs w:val="21"/>
              </w:rPr>
              <w:t>，</w:t>
            </w:r>
            <w:r>
              <w:rPr>
                <w:rFonts w:ascii="Times New Roman" w:cs="Times New Roman"/>
                <w:sz w:val="21"/>
                <w:szCs w:val="21"/>
              </w:rPr>
              <w:t>高程</w:t>
            </w:r>
            <w:r>
              <w:rPr>
                <w:rFonts w:hint="eastAsia" w:ascii="Times New Roman" w:cs="Times New Roman"/>
                <w:sz w:val="21"/>
                <w:szCs w:val="21"/>
              </w:rPr>
              <w:t>345m</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2890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81</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bCs/>
                <w:sz w:val="21"/>
                <w:szCs w:val="21"/>
              </w:rPr>
              <w:t>水井</w:t>
            </w:r>
            <w:r>
              <w:rPr>
                <w:rFonts w:hint="eastAsia" w:ascii="Times New Roman" w:cs="Times New Roman"/>
                <w:sz w:val="21"/>
                <w:szCs w:val="21"/>
              </w:rPr>
              <w:t>JC9</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3940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3</w:t>
            </w:r>
            <w:r>
              <w:rPr>
                <w:rFonts w:hint="eastAsia" w:ascii="Times New Roman" w:cs="Times New Roman"/>
                <w:sz w:val="21"/>
                <w:szCs w:val="21"/>
              </w:rPr>
              <w:t>200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地下水水质</w:t>
            </w:r>
            <w:r>
              <w:rPr>
                <w:rFonts w:hint="eastAsia" w:ascii="Times New Roman" w:cs="Times New Roman"/>
                <w:sz w:val="21"/>
                <w:szCs w:val="21"/>
              </w:rPr>
              <w:t>，</w:t>
            </w:r>
            <w:r>
              <w:rPr>
                <w:rFonts w:ascii="Times New Roman" w:cs="Times New Roman"/>
                <w:sz w:val="21"/>
                <w:szCs w:val="21"/>
              </w:rPr>
              <w:t>高程</w:t>
            </w:r>
            <w:r>
              <w:rPr>
                <w:rFonts w:hint="eastAsia" w:ascii="Times New Roman" w:cs="Times New Roman"/>
                <w:sz w:val="21"/>
                <w:szCs w:val="21"/>
              </w:rPr>
              <w:t>633m</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1150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82</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水井</w:t>
            </w:r>
            <w:r>
              <w:rPr>
                <w:rFonts w:hint="eastAsia" w:ascii="Times New Roman" w:cs="Times New Roman"/>
                <w:sz w:val="21"/>
                <w:szCs w:val="21"/>
              </w:rPr>
              <w:t>JC10</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4590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地下水水质</w:t>
            </w:r>
            <w:r>
              <w:rPr>
                <w:rFonts w:hint="eastAsia" w:ascii="Times New Roman" w:cs="Times New Roman"/>
                <w:sz w:val="21"/>
                <w:szCs w:val="21"/>
              </w:rPr>
              <w:t>，</w:t>
            </w:r>
            <w:r>
              <w:rPr>
                <w:rFonts w:ascii="Times New Roman" w:cs="Times New Roman"/>
                <w:sz w:val="21"/>
                <w:szCs w:val="21"/>
              </w:rPr>
              <w:t>高程</w:t>
            </w:r>
            <w:r>
              <w:rPr>
                <w:rFonts w:hint="eastAsia" w:ascii="Times New Roman" w:cs="Times New Roman"/>
                <w:sz w:val="21"/>
                <w:szCs w:val="21"/>
              </w:rPr>
              <w:t>641m</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NE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1550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83</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水井</w:t>
            </w:r>
            <w:r>
              <w:rPr>
                <w:rFonts w:hint="eastAsia" w:ascii="Times New Roman" w:cs="Times New Roman"/>
                <w:sz w:val="21"/>
                <w:szCs w:val="21"/>
              </w:rPr>
              <w:t>JC11</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-200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-790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地下水水质</w:t>
            </w:r>
            <w:r>
              <w:rPr>
                <w:rFonts w:hint="eastAsia" w:ascii="Times New Roman" w:cs="Times New Roman"/>
                <w:sz w:val="21"/>
                <w:szCs w:val="21"/>
              </w:rPr>
              <w:t>，</w:t>
            </w:r>
            <w:r>
              <w:rPr>
                <w:rFonts w:ascii="Times New Roman" w:cs="Times New Roman"/>
                <w:sz w:val="21"/>
                <w:szCs w:val="21"/>
              </w:rPr>
              <w:t>高程</w:t>
            </w:r>
            <w:r>
              <w:rPr>
                <w:rFonts w:hint="eastAsia" w:ascii="Times New Roman" w:cs="Times New Roman"/>
                <w:sz w:val="21"/>
                <w:szCs w:val="21"/>
              </w:rPr>
              <w:t>707m</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4140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84</w:t>
            </w:r>
          </w:p>
        </w:tc>
        <w:tc>
          <w:tcPr>
            <w:tcW w:w="474"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水井</w:t>
            </w:r>
            <w:r>
              <w:rPr>
                <w:rFonts w:hint="eastAsia" w:ascii="Times New Roman" w:cs="Times New Roman"/>
                <w:sz w:val="21"/>
                <w:szCs w:val="21"/>
              </w:rPr>
              <w:t>JC12</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-1360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-350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地下水水质</w:t>
            </w:r>
            <w:r>
              <w:rPr>
                <w:rFonts w:hint="eastAsia" w:ascii="Times New Roman" w:cs="Times New Roman"/>
                <w:sz w:val="21"/>
                <w:szCs w:val="21"/>
              </w:rPr>
              <w:t>，</w:t>
            </w:r>
            <w:r>
              <w:rPr>
                <w:rFonts w:ascii="Times New Roman" w:cs="Times New Roman"/>
                <w:sz w:val="21"/>
                <w:szCs w:val="21"/>
              </w:rPr>
              <w:t>高程</w:t>
            </w:r>
            <w:r>
              <w:rPr>
                <w:rFonts w:hint="eastAsia" w:ascii="Times New Roman" w:cs="Times New Roman"/>
                <w:sz w:val="21"/>
                <w:szCs w:val="21"/>
              </w:rPr>
              <w:t>571m</w:t>
            </w:r>
          </w:p>
        </w:tc>
        <w:tc>
          <w:tcPr>
            <w:tcW w:w="1043" w:type="pct"/>
            <w:vMerge w:val="continue"/>
            <w:tcBorders>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SW</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4800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85</w:t>
            </w:r>
          </w:p>
        </w:tc>
        <w:tc>
          <w:tcPr>
            <w:tcW w:w="474" w:type="pct"/>
            <w:vMerge w:val="continue"/>
            <w:tcBorders>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bCs/>
                <w:sz w:val="21"/>
                <w:szCs w:val="21"/>
              </w:rPr>
              <w:t>水井</w:t>
            </w:r>
            <w:r>
              <w:rPr>
                <w:rFonts w:hint="eastAsia" w:ascii="Times New Roman" w:cs="Times New Roman"/>
                <w:sz w:val="21"/>
                <w:szCs w:val="21"/>
              </w:rPr>
              <w:t>JC13</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-720</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-610</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地下水水质</w:t>
            </w:r>
            <w:r>
              <w:rPr>
                <w:rFonts w:hint="eastAsia" w:ascii="Times New Roman" w:cs="Times New Roman"/>
                <w:sz w:val="21"/>
                <w:szCs w:val="21"/>
              </w:rPr>
              <w:t>，</w:t>
            </w:r>
            <w:r>
              <w:rPr>
                <w:rFonts w:ascii="Times New Roman" w:cs="Times New Roman"/>
                <w:sz w:val="21"/>
                <w:szCs w:val="21"/>
              </w:rPr>
              <w:t>高程</w:t>
            </w:r>
            <w:r>
              <w:rPr>
                <w:rFonts w:hint="eastAsia" w:ascii="Times New Roman" w:cs="Times New Roman"/>
                <w:sz w:val="21"/>
                <w:szCs w:val="21"/>
              </w:rPr>
              <w:t>668m</w:t>
            </w:r>
          </w:p>
        </w:tc>
        <w:tc>
          <w:tcPr>
            <w:tcW w:w="1043" w:type="pct"/>
            <w:vMerge w:val="continue"/>
            <w:tcBorders>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SE</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2250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86</w:t>
            </w:r>
          </w:p>
        </w:tc>
        <w:tc>
          <w:tcPr>
            <w:tcW w:w="47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土壤环境</w:t>
            </w: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周边耕地</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耕地</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w:t>
            </w:r>
          </w:p>
        </w:tc>
        <w:tc>
          <w:tcPr>
            <w:tcW w:w="1043"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《土壤环境质量 农用地土壤污染风险管控标准（试行）》（GB15618-2018）</w:t>
            </w: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87</w:t>
            </w:r>
          </w:p>
        </w:tc>
        <w:tc>
          <w:tcPr>
            <w:tcW w:w="474" w:type="pct"/>
            <w:vMerge w:val="restart"/>
            <w:tcBorders>
              <w:top w:val="single" w:color="000000" w:sz="2" w:space="0"/>
              <w:left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生态环境</w:t>
            </w: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周边</w:t>
            </w:r>
            <w:r>
              <w:rPr>
                <w:rFonts w:hint="eastAsia" w:ascii="Times New Roman" w:cs="Times New Roman"/>
                <w:sz w:val="21"/>
                <w:szCs w:val="21"/>
              </w:rPr>
              <w:t>公益</w:t>
            </w:r>
            <w:r>
              <w:rPr>
                <w:rFonts w:ascii="Times New Roman" w:cs="Times New Roman"/>
                <w:sz w:val="21"/>
                <w:szCs w:val="21"/>
              </w:rPr>
              <w:t>林</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color w:val="FF0000"/>
                <w:sz w:val="21"/>
                <w:szCs w:val="21"/>
              </w:rPr>
            </w:pPr>
            <w:r>
              <w:rPr>
                <w:rFonts w:hint="eastAsia" w:ascii="Times New Roman" w:cs="Times New Roman"/>
                <w:color w:val="FF0000"/>
                <w:sz w:val="21"/>
                <w:szCs w:val="21"/>
              </w:rPr>
              <w:t>二级国家级公益林</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w:t>
            </w:r>
          </w:p>
        </w:tc>
        <w:tc>
          <w:tcPr>
            <w:tcW w:w="1043"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w:t>
            </w: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2000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189" w:type="pct"/>
            <w:tcBorders>
              <w:top w:val="single" w:color="000000" w:sz="2" w:space="0"/>
              <w:left w:val="nil"/>
              <w:bottom w:val="single" w:color="000000" w:sz="2" w:space="0"/>
              <w:right w:val="single" w:color="000000" w:sz="2" w:space="0"/>
            </w:tcBorders>
            <w:vAlign w:val="center"/>
          </w:tcPr>
          <w:p>
            <w:pPr>
              <w:spacing w:line="240" w:lineRule="auto"/>
              <w:ind w:firstLine="0" w:firstLineChars="0"/>
              <w:jc w:val="center"/>
              <w:rPr>
                <w:rFonts w:ascii="Times New Roman" w:cs="Times New Roman"/>
                <w:color w:val="FF0000"/>
                <w:sz w:val="21"/>
                <w:szCs w:val="21"/>
              </w:rPr>
            </w:pPr>
            <w:r>
              <w:rPr>
                <w:rFonts w:hint="eastAsia" w:ascii="Times New Roman" w:cs="Times New Roman"/>
                <w:color w:val="FF0000"/>
                <w:sz w:val="21"/>
                <w:szCs w:val="21"/>
              </w:rPr>
              <w:t>88</w:t>
            </w:r>
          </w:p>
        </w:tc>
        <w:tc>
          <w:tcPr>
            <w:tcW w:w="474" w:type="pct"/>
            <w:vMerge w:val="continue"/>
            <w:tcBorders>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color w:val="FF0000"/>
                <w:sz w:val="21"/>
                <w:szCs w:val="21"/>
              </w:rPr>
            </w:pPr>
          </w:p>
        </w:tc>
        <w:tc>
          <w:tcPr>
            <w:tcW w:w="854"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color w:val="FF0000"/>
                <w:sz w:val="21"/>
                <w:szCs w:val="21"/>
              </w:rPr>
            </w:pPr>
            <w:r>
              <w:rPr>
                <w:rFonts w:hint="eastAsia" w:ascii="Times New Roman" w:cs="Times New Roman"/>
                <w:color w:val="FF0000"/>
                <w:sz w:val="21"/>
                <w:szCs w:val="21"/>
              </w:rPr>
              <w:t>水土流失重点治理区</w:t>
            </w:r>
          </w:p>
        </w:tc>
        <w:tc>
          <w:tcPr>
            <w:tcW w:w="42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color w:val="FF0000"/>
                <w:sz w:val="21"/>
                <w:szCs w:val="21"/>
              </w:rPr>
            </w:pPr>
            <w:r>
              <w:rPr>
                <w:rFonts w:ascii="Times New Roman" w:cs="Times New Roman"/>
                <w:color w:val="FF0000"/>
                <w:sz w:val="21"/>
                <w:szCs w:val="21"/>
              </w:rPr>
              <w:t>—</w:t>
            </w:r>
          </w:p>
        </w:tc>
        <w:tc>
          <w:tcPr>
            <w:tcW w:w="380"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color w:val="FF0000"/>
                <w:sz w:val="21"/>
                <w:szCs w:val="21"/>
              </w:rPr>
            </w:pPr>
            <w:r>
              <w:rPr>
                <w:rFonts w:ascii="Times New Roman" w:cs="Times New Roman"/>
                <w:color w:val="FF0000"/>
                <w:sz w:val="21"/>
                <w:szCs w:val="21"/>
              </w:rPr>
              <w:t>—</w:t>
            </w:r>
          </w:p>
        </w:tc>
        <w:tc>
          <w:tcPr>
            <w:tcW w:w="379"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color w:val="FF0000"/>
                <w:sz w:val="21"/>
                <w:szCs w:val="21"/>
              </w:rPr>
            </w:pPr>
            <w:r>
              <w:rPr>
                <w:rFonts w:hint="eastAsia" w:ascii="Times New Roman" w:cs="Times New Roman"/>
                <w:color w:val="FF0000"/>
                <w:sz w:val="21"/>
                <w:szCs w:val="21"/>
              </w:rPr>
              <w:t>水土流失重点治理区</w:t>
            </w:r>
          </w:p>
        </w:tc>
        <w:tc>
          <w:tcPr>
            <w:tcW w:w="56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color w:val="FF0000"/>
                <w:sz w:val="21"/>
                <w:szCs w:val="21"/>
              </w:rPr>
            </w:pPr>
            <w:r>
              <w:rPr>
                <w:rFonts w:ascii="Times New Roman" w:cs="Times New Roman"/>
                <w:color w:val="FF0000"/>
                <w:sz w:val="21"/>
                <w:szCs w:val="21"/>
              </w:rPr>
              <w:t>—</w:t>
            </w:r>
          </w:p>
        </w:tc>
        <w:tc>
          <w:tcPr>
            <w:tcW w:w="1043"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color w:val="FF0000"/>
                <w:sz w:val="21"/>
                <w:szCs w:val="21"/>
              </w:rPr>
            </w:pPr>
            <w:r>
              <w:rPr>
                <w:rFonts w:ascii="Times New Roman" w:cs="Times New Roman"/>
                <w:color w:val="FF0000"/>
                <w:sz w:val="21"/>
                <w:szCs w:val="21"/>
              </w:rPr>
              <w:t>—</w:t>
            </w:r>
          </w:p>
        </w:tc>
        <w:tc>
          <w:tcPr>
            <w:tcW w:w="236" w:type="pct"/>
            <w:tcBorders>
              <w:top w:val="single" w:color="000000" w:sz="2" w:space="0"/>
              <w:left w:val="single" w:color="000000" w:sz="2" w:space="0"/>
              <w:bottom w:val="single" w:color="000000" w:sz="2" w:space="0"/>
              <w:right w:val="single" w:color="000000" w:sz="2" w:space="0"/>
            </w:tcBorders>
            <w:vAlign w:val="center"/>
          </w:tcPr>
          <w:p>
            <w:pPr>
              <w:spacing w:line="240" w:lineRule="auto"/>
              <w:ind w:firstLine="0" w:firstLineChars="0"/>
              <w:jc w:val="center"/>
              <w:rPr>
                <w:rFonts w:ascii="Times New Roman" w:cs="Times New Roman"/>
                <w:color w:val="FF0000"/>
                <w:sz w:val="21"/>
                <w:szCs w:val="21"/>
              </w:rPr>
            </w:pPr>
            <w:r>
              <w:rPr>
                <w:rFonts w:ascii="Times New Roman" w:cs="Times New Roman"/>
                <w:color w:val="FF0000"/>
                <w:sz w:val="21"/>
                <w:szCs w:val="21"/>
              </w:rPr>
              <w:t>—</w:t>
            </w:r>
          </w:p>
        </w:tc>
        <w:tc>
          <w:tcPr>
            <w:tcW w:w="453" w:type="pct"/>
            <w:tcBorders>
              <w:top w:val="single" w:color="000000" w:sz="2" w:space="0"/>
              <w:left w:val="single" w:color="000000" w:sz="2" w:space="0"/>
              <w:bottom w:val="single" w:color="000000" w:sz="2" w:space="0"/>
              <w:right w:val="nil"/>
            </w:tcBorders>
            <w:vAlign w:val="center"/>
          </w:tcPr>
          <w:p>
            <w:pPr>
              <w:spacing w:line="240" w:lineRule="auto"/>
              <w:ind w:firstLine="0" w:firstLineChars="0"/>
              <w:jc w:val="center"/>
              <w:rPr>
                <w:rFonts w:ascii="Times New Roman" w:cs="Times New Roman"/>
                <w:color w:val="FF0000"/>
                <w:sz w:val="21"/>
                <w:szCs w:val="21"/>
              </w:rPr>
            </w:pPr>
            <w:r>
              <w:rPr>
                <w:rFonts w:hint="eastAsia" w:ascii="Times New Roman" w:cs="Times New Roman"/>
                <w:color w:val="FF0000"/>
                <w:sz w:val="21"/>
                <w:szCs w:val="21"/>
              </w:rPr>
              <w:t>所在地</w:t>
            </w:r>
          </w:p>
        </w:tc>
      </w:tr>
    </w:tbl>
    <w:p>
      <w:pPr>
        <w:ind w:firstLine="480"/>
        <w:rPr>
          <w:rFonts w:ascii="Times New Roman" w:cs="Times New Roman"/>
        </w:rPr>
      </w:pPr>
    </w:p>
    <w:p>
      <w:pPr>
        <w:ind w:firstLine="480"/>
        <w:rPr>
          <w:rFonts w:ascii="Times New Roman" w:cs="Times New Roman"/>
        </w:rPr>
      </w:pPr>
    </w:p>
    <w:p>
      <w:pPr>
        <w:ind w:firstLine="480"/>
        <w:rPr>
          <w:rFonts w:ascii="Times New Roman" w:cs="Times New Roman"/>
        </w:rPr>
        <w:sectPr>
          <w:pgSz w:w="16838" w:h="11906" w:orient="landscape"/>
          <w:pgMar w:top="1440" w:right="1080" w:bottom="1440" w:left="1080" w:header="851" w:footer="992" w:gutter="0"/>
          <w:cols w:space="425" w:num="1"/>
          <w:docGrid w:type="lines" w:linePitch="326" w:charSpace="0"/>
        </w:sectPr>
      </w:pPr>
    </w:p>
    <w:p>
      <w:pPr>
        <w:keepNext/>
        <w:keepLines/>
        <w:spacing w:before="120"/>
        <w:ind w:firstLine="0" w:firstLineChars="0"/>
        <w:outlineLvl w:val="1"/>
        <w:rPr>
          <w:rFonts w:ascii="Times New Roman" w:cs="Times New Roman"/>
          <w:b/>
          <w:bCs/>
          <w:sz w:val="28"/>
          <w:szCs w:val="32"/>
        </w:rPr>
      </w:pPr>
      <w:bookmarkStart w:id="94" w:name="bookmark7"/>
      <w:bookmarkEnd w:id="94"/>
      <w:bookmarkStart w:id="95" w:name="_Toc81515259"/>
      <w:r>
        <w:rPr>
          <w:rFonts w:ascii="Times New Roman" w:cs="Times New Roman"/>
          <w:b/>
          <w:bCs/>
          <w:sz w:val="28"/>
          <w:szCs w:val="32"/>
        </w:rPr>
        <w:t>1.10 评价方法和工作程序</w:t>
      </w:r>
      <w:bookmarkEnd w:id="77"/>
      <w:bookmarkEnd w:id="78"/>
      <w:bookmarkEnd w:id="95"/>
    </w:p>
    <w:p>
      <w:pPr>
        <w:keepNext/>
        <w:keepLines/>
        <w:ind w:firstLine="0" w:firstLineChars="0"/>
        <w:outlineLvl w:val="2"/>
        <w:rPr>
          <w:rFonts w:ascii="Times New Roman" w:cs="Times New Roman"/>
          <w:b/>
          <w:szCs w:val="32"/>
        </w:rPr>
      </w:pPr>
      <w:bookmarkStart w:id="96" w:name="_Toc19815945"/>
      <w:r>
        <w:rPr>
          <w:rFonts w:ascii="Times New Roman" w:cs="Times New Roman"/>
          <w:b/>
          <w:szCs w:val="32"/>
        </w:rPr>
        <w:t>1.10.1 评价方法</w:t>
      </w:r>
      <w:bookmarkEnd w:id="96"/>
    </w:p>
    <w:p>
      <w:pPr>
        <w:ind w:firstLine="480"/>
        <w:rPr>
          <w:rFonts w:ascii="Times New Roman" w:cs="Times New Roman"/>
        </w:rPr>
      </w:pPr>
      <w:r>
        <w:rPr>
          <w:rFonts w:ascii="Times New Roman" w:cs="Times New Roman"/>
        </w:rPr>
        <w:t>由于本项目主要为线路工程，本次评价按“以点为主，点线结合，反馈全线”的方法开展工作。结合本项目环境特征和各评价要素的评价工作等级，有针对、有侧重的对环境要素进行监测与评价，通过类比调查，选择适当的模式和参数，定量或定性的分析项目施工期间和投产后对周围环境的影响，以及事故状况下的影响，针对评价结论反映出的主要问题，结合国内外现有方法提出预防、恢复和缓解措施。结合工程沿线各城镇发展规划、环境功能区划、环境保护规划、生态保护规划和土地利用规划等，论述管线路由走向的可行性。最后综合分析各章节评价结论，给出该项目建设的环境可行性结论。</w:t>
      </w:r>
    </w:p>
    <w:p>
      <w:pPr>
        <w:ind w:firstLine="480"/>
        <w:rPr>
          <w:rFonts w:ascii="Times New Roman" w:cs="Times New Roman"/>
        </w:rPr>
      </w:pPr>
      <w:r>
        <w:rPr>
          <w:rFonts w:ascii="Times New Roman" w:cs="Times New Roman"/>
        </w:rPr>
        <w:t>1、生态环境：采用现场调查、GPS定位及资料收集相结合的方法；</w:t>
      </w:r>
    </w:p>
    <w:p>
      <w:pPr>
        <w:ind w:firstLine="480"/>
        <w:rPr>
          <w:rFonts w:ascii="Times New Roman" w:cs="Times New Roman"/>
        </w:rPr>
      </w:pPr>
      <w:r>
        <w:rPr>
          <w:rFonts w:ascii="Times New Roman" w:cs="Times New Roman"/>
        </w:rPr>
        <w:t>2、地表水环境：采用现场调查及现状监测、资料收集相结合的方法；</w:t>
      </w:r>
    </w:p>
    <w:p>
      <w:pPr>
        <w:ind w:firstLine="480"/>
        <w:rPr>
          <w:rFonts w:ascii="Times New Roman" w:cs="Times New Roman"/>
        </w:rPr>
      </w:pPr>
      <w:r>
        <w:rPr>
          <w:rFonts w:ascii="Times New Roman" w:cs="Times New Roman"/>
        </w:rPr>
        <w:t>3、声环境：主要采用现场调查及现状监测、资料收集相结合的方法；</w:t>
      </w:r>
    </w:p>
    <w:p>
      <w:pPr>
        <w:ind w:firstLine="480"/>
        <w:rPr>
          <w:rFonts w:ascii="Times New Roman" w:cs="Times New Roman"/>
        </w:rPr>
      </w:pPr>
      <w:r>
        <w:rPr>
          <w:rFonts w:ascii="Times New Roman" w:cs="Times New Roman"/>
        </w:rPr>
        <w:t>4、大气环境：主要采用现场调查及现状监测、资料收集相结合的方法；</w:t>
      </w:r>
    </w:p>
    <w:p>
      <w:pPr>
        <w:ind w:firstLine="480"/>
        <w:rPr>
          <w:rFonts w:ascii="Times New Roman" w:cs="Times New Roman"/>
        </w:rPr>
      </w:pPr>
      <w:r>
        <w:rPr>
          <w:rFonts w:ascii="Times New Roman" w:cs="Times New Roman"/>
        </w:rPr>
        <w:t>5、土壤环境：采用现场调查及现状监测、资料收集相结合的方法；</w:t>
      </w:r>
    </w:p>
    <w:p>
      <w:pPr>
        <w:ind w:firstLine="480"/>
        <w:rPr>
          <w:rFonts w:ascii="Times New Roman" w:cs="Times New Roman"/>
        </w:rPr>
      </w:pPr>
      <w:r>
        <w:rPr>
          <w:rFonts w:ascii="Times New Roman" w:cs="Times New Roman"/>
        </w:rPr>
        <w:t>6、地下水环境：采用现场调查和资料收集相结合的方法；</w:t>
      </w:r>
    </w:p>
    <w:p>
      <w:pPr>
        <w:ind w:firstLine="480"/>
        <w:rPr>
          <w:rFonts w:ascii="Times New Roman" w:cs="Times New Roman"/>
        </w:rPr>
      </w:pPr>
      <w:r>
        <w:rPr>
          <w:rFonts w:ascii="Times New Roman" w:cs="Times New Roman"/>
        </w:rPr>
        <w:t>7、环境风险：采用资料收集、同类项目类比调查和模式计算、概率风险分析相结合的方法。</w:t>
      </w:r>
    </w:p>
    <w:p>
      <w:pPr>
        <w:keepNext/>
        <w:keepLines/>
        <w:ind w:firstLine="0" w:firstLineChars="0"/>
        <w:outlineLvl w:val="2"/>
        <w:rPr>
          <w:rFonts w:ascii="Times New Roman" w:cs="Times New Roman"/>
          <w:b/>
          <w:szCs w:val="32"/>
        </w:rPr>
      </w:pPr>
      <w:bookmarkStart w:id="97" w:name="_Toc19815946"/>
      <w:r>
        <w:rPr>
          <w:rFonts w:ascii="Times New Roman" w:cs="Times New Roman"/>
          <w:b/>
          <w:szCs w:val="32"/>
        </w:rPr>
        <w:t>1.10.2 工作程序</w:t>
      </w:r>
      <w:bookmarkEnd w:id="97"/>
    </w:p>
    <w:p>
      <w:pPr>
        <w:ind w:firstLine="480"/>
        <w:rPr>
          <w:rFonts w:ascii="Times New Roman" w:cs="Times New Roman"/>
        </w:rPr>
      </w:pPr>
      <w:r>
        <w:rPr>
          <w:rFonts w:ascii="Times New Roman" w:cs="Times New Roman"/>
        </w:rPr>
        <w:t>本次评价工作程序主要分为三个阶段：</w:t>
      </w:r>
    </w:p>
    <w:p>
      <w:pPr>
        <w:ind w:firstLine="480"/>
        <w:rPr>
          <w:rFonts w:ascii="Times New Roman" w:cs="Times New Roman"/>
        </w:rPr>
      </w:pPr>
      <w:r>
        <w:rPr>
          <w:rFonts w:ascii="Times New Roman" w:cs="Times New Roman"/>
        </w:rPr>
        <w:t>1、前期准备阶段、调研和制定工作方案阶段；</w:t>
      </w:r>
    </w:p>
    <w:p>
      <w:pPr>
        <w:ind w:firstLine="480"/>
        <w:rPr>
          <w:rFonts w:ascii="Times New Roman" w:cs="Times New Roman"/>
        </w:rPr>
      </w:pPr>
      <w:r>
        <w:rPr>
          <w:rFonts w:ascii="Times New Roman" w:cs="Times New Roman"/>
        </w:rPr>
        <w:t>2、分析论证和预测评价阶段；</w:t>
      </w:r>
    </w:p>
    <w:p>
      <w:pPr>
        <w:ind w:firstLine="480"/>
        <w:rPr>
          <w:rFonts w:ascii="Times New Roman" w:cs="Times New Roman"/>
        </w:rPr>
      </w:pPr>
      <w:r>
        <w:rPr>
          <w:rFonts w:ascii="Times New Roman" w:cs="Times New Roman"/>
        </w:rPr>
        <w:t>3、环境影响评价文件编制阶段。</w:t>
      </w:r>
    </w:p>
    <w:p>
      <w:pPr>
        <w:ind w:firstLine="480"/>
        <w:jc w:val="left"/>
        <w:rPr>
          <w:rFonts w:ascii="Times New Roman" w:cs="Times New Roman"/>
        </w:rPr>
      </w:pPr>
      <w:r>
        <w:rPr>
          <w:rFonts w:ascii="Times New Roman" w:cs="Times New Roman"/>
        </w:rPr>
        <w:t>重庆后科环保有限责任公司编制的《普光气田普陆4-1H井产能建设项目环境影响报告书》呈报达州市</w:t>
      </w:r>
      <w:r>
        <w:rPr>
          <w:rFonts w:hint="eastAsia" w:ascii="Times New Roman" w:cs="Times New Roman"/>
        </w:rPr>
        <w:t>宣汉</w:t>
      </w:r>
      <w:r>
        <w:rPr>
          <w:rFonts w:ascii="Times New Roman" w:cs="Times New Roman"/>
        </w:rPr>
        <w:t>生态环境局审查批复后，可作为工程建设环保设计的技术依据之一。具体评价程序见下图。</w:t>
      </w:r>
      <w:r>
        <w:rPr>
          <w:rFonts w:ascii="Times New Roman" w:cs="Times New Roman"/>
        </w:rPr>
        <w:drawing>
          <wp:inline distT="0" distB="0" distL="0" distR="0">
            <wp:extent cx="5273675" cy="5754370"/>
            <wp:effectExtent l="19050" t="0" r="3175" b="0"/>
            <wp:docPr id="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6"/>
                    <pic:cNvPicPr>
                      <a:picLocks noChangeAspect="1" noChangeArrowheads="1"/>
                    </pic:cNvPicPr>
                  </pic:nvPicPr>
                  <pic:blipFill>
                    <a:blip r:embed="rId50" cstate="print"/>
                    <a:srcRect/>
                    <a:stretch>
                      <a:fillRect/>
                    </a:stretch>
                  </pic:blipFill>
                  <pic:spPr>
                    <a:xfrm>
                      <a:off x="0" y="0"/>
                      <a:ext cx="5273675" cy="5754370"/>
                    </a:xfrm>
                    <a:prstGeom prst="rect">
                      <a:avLst/>
                    </a:prstGeom>
                    <a:noFill/>
                    <a:ln w="9525">
                      <a:noFill/>
                      <a:miter lim="800000"/>
                      <a:headEnd/>
                      <a:tailEnd/>
                    </a:ln>
                  </pic:spPr>
                </pic:pic>
              </a:graphicData>
            </a:graphic>
          </wp:inline>
        </w:drawing>
      </w:r>
    </w:p>
    <w:p>
      <w:pPr>
        <w:pStyle w:val="104"/>
        <w:rPr>
          <w:rFonts w:eastAsia="宋体"/>
        </w:rPr>
      </w:pPr>
      <w:r>
        <w:rPr>
          <w:rFonts w:eastAsia="宋体"/>
        </w:rPr>
        <w:t>图1.10-1  本项目环境影响评价工作程序图</w:t>
      </w:r>
    </w:p>
    <w:p>
      <w:pPr>
        <w:ind w:firstLine="480"/>
        <w:rPr>
          <w:rFonts w:ascii="Times New Roman" w:cs="Times New Roman"/>
        </w:rPr>
        <w:sectPr>
          <w:pgSz w:w="11906" w:h="16838"/>
          <w:pgMar w:top="1440" w:right="1800" w:bottom="1440" w:left="1800" w:header="851" w:footer="992" w:gutter="0"/>
          <w:cols w:space="425" w:num="1"/>
          <w:docGrid w:type="lines" w:linePitch="312" w:charSpace="0"/>
        </w:sectPr>
      </w:pPr>
    </w:p>
    <w:p>
      <w:pPr>
        <w:keepNext/>
        <w:keepLines/>
        <w:ind w:firstLine="0" w:firstLineChars="0"/>
        <w:jc w:val="left"/>
        <w:outlineLvl w:val="0"/>
        <w:rPr>
          <w:rFonts w:ascii="Times New Roman" w:cs="Times New Roman"/>
          <w:b/>
          <w:kern w:val="44"/>
          <w:sz w:val="32"/>
          <w:szCs w:val="44"/>
        </w:rPr>
      </w:pPr>
      <w:bookmarkStart w:id="98" w:name="_Toc81515260"/>
      <w:r>
        <w:rPr>
          <w:rFonts w:ascii="Times New Roman" w:cs="Times New Roman"/>
          <w:b/>
          <w:kern w:val="44"/>
          <w:sz w:val="32"/>
          <w:szCs w:val="44"/>
        </w:rPr>
        <w:t xml:space="preserve">2 </w:t>
      </w:r>
      <w:r>
        <w:rPr>
          <w:rFonts w:hint="eastAsia" w:ascii="Times New Roman" w:cs="Times New Roman"/>
          <w:b/>
          <w:color w:val="0000FF"/>
          <w:kern w:val="44"/>
          <w:sz w:val="32"/>
          <w:szCs w:val="44"/>
        </w:rPr>
        <w:t>现有</w:t>
      </w:r>
      <w:r>
        <w:rPr>
          <w:rFonts w:ascii="Times New Roman" w:cs="Times New Roman"/>
          <w:b/>
          <w:color w:val="0000FF"/>
          <w:kern w:val="44"/>
          <w:sz w:val="32"/>
          <w:szCs w:val="44"/>
        </w:rPr>
        <w:t>工程</w:t>
      </w:r>
      <w:bookmarkEnd w:id="98"/>
      <w:r>
        <w:rPr>
          <w:rFonts w:hint="eastAsia" w:ascii="Times New Roman" w:cs="Times New Roman"/>
          <w:b/>
          <w:color w:val="0000FF"/>
          <w:kern w:val="44"/>
          <w:sz w:val="32"/>
          <w:szCs w:val="44"/>
        </w:rPr>
        <w:t>情况</w:t>
      </w:r>
    </w:p>
    <w:p>
      <w:pPr>
        <w:pStyle w:val="3"/>
        <w:spacing w:before="120"/>
        <w:rPr>
          <w:rFonts w:cs="Times New Roman"/>
        </w:rPr>
      </w:pPr>
      <w:r>
        <w:rPr>
          <w:rFonts w:hint="eastAsia" w:cs="Times New Roman"/>
        </w:rPr>
        <w:t>2</w:t>
      </w:r>
      <w:r>
        <w:rPr>
          <w:rFonts w:cs="Times New Roman"/>
        </w:rPr>
        <w:t xml:space="preserve">.1 </w:t>
      </w:r>
      <w:r>
        <w:rPr>
          <w:rFonts w:hint="eastAsia" w:cs="Times New Roman"/>
        </w:rPr>
        <w:t>普光4井建设情况</w:t>
      </w:r>
    </w:p>
    <w:p>
      <w:pPr>
        <w:pStyle w:val="552"/>
        <w:ind w:firstLine="482"/>
        <w:rPr>
          <w:b/>
          <w:bCs/>
          <w:sz w:val="24"/>
          <w:szCs w:val="22"/>
        </w:rPr>
      </w:pPr>
      <w:r>
        <w:rPr>
          <w:rFonts w:hint="eastAsia"/>
          <w:b/>
          <w:bCs/>
          <w:sz w:val="24"/>
          <w:szCs w:val="22"/>
        </w:rPr>
        <w:t>2</w:t>
      </w:r>
      <w:r>
        <w:rPr>
          <w:b/>
          <w:bCs/>
          <w:sz w:val="24"/>
          <w:szCs w:val="22"/>
        </w:rPr>
        <w:t>.1</w:t>
      </w:r>
      <w:r>
        <w:rPr>
          <w:rFonts w:hint="eastAsia"/>
          <w:b/>
          <w:bCs/>
          <w:sz w:val="24"/>
          <w:szCs w:val="22"/>
        </w:rPr>
        <w:t>.1普陆4井现有环保手续情况</w:t>
      </w:r>
    </w:p>
    <w:p>
      <w:pPr>
        <w:pStyle w:val="552"/>
        <w:ind w:firstLine="480"/>
        <w:rPr>
          <w:sz w:val="24"/>
          <w:szCs w:val="22"/>
        </w:rPr>
      </w:pPr>
      <w:r>
        <w:rPr>
          <w:rFonts w:hint="eastAsia"/>
          <w:sz w:val="24"/>
          <w:szCs w:val="22"/>
        </w:rPr>
        <w:t>2007年中国石油化工股份有限公司中原油田分公司开展了《中国石化普光气田开发及川气东送管道工程环境影响报告书》的环境影响评价，2007年12月14日取得原国家环境保护总局《关于中国石化普光气田开发及川气东送管道工程环境影响报告书的批复》（环审〔2007〕76号），于2013年5月3日取得中华人民共和国环境保护部《关于中国石化普光气田开发及川气东送管道工程竣工环境保护验收意见的函》（环验〔2013〕92号），同时2018年6月10日中原油田普光分公司、中国石化达州天然气净化有限公司《关于备案&lt;普光气田开发工程环境影响后评价报告书&gt;及&lt;普光天然气净化厂工程环境影响后评价报告&gt;的报告》（普光合资〔2018〕1号）。</w:t>
      </w:r>
    </w:p>
    <w:p>
      <w:pPr>
        <w:pStyle w:val="552"/>
        <w:ind w:firstLine="480"/>
        <w:rPr>
          <w:sz w:val="24"/>
          <w:szCs w:val="22"/>
        </w:rPr>
      </w:pPr>
      <w:r>
        <w:rPr>
          <w:rFonts w:hint="eastAsia"/>
          <w:sz w:val="24"/>
          <w:szCs w:val="22"/>
        </w:rPr>
        <w:t>根据《中国石化普光气田开发及川气东送管道工程环境影响报告书》，本项目所涉及的井场普陆4井属于其评价内容。</w:t>
      </w:r>
    </w:p>
    <w:p>
      <w:pPr>
        <w:pStyle w:val="552"/>
        <w:ind w:firstLine="482"/>
        <w:rPr>
          <w:b/>
          <w:bCs/>
          <w:sz w:val="24"/>
          <w:szCs w:val="22"/>
        </w:rPr>
      </w:pPr>
      <w:r>
        <w:rPr>
          <w:rFonts w:hint="eastAsia"/>
          <w:b/>
          <w:bCs/>
          <w:sz w:val="24"/>
          <w:szCs w:val="22"/>
        </w:rPr>
        <w:t>2</w:t>
      </w:r>
      <w:r>
        <w:rPr>
          <w:b/>
          <w:bCs/>
          <w:sz w:val="24"/>
          <w:szCs w:val="22"/>
        </w:rPr>
        <w:t>.1</w:t>
      </w:r>
      <w:r>
        <w:rPr>
          <w:rFonts w:hint="eastAsia"/>
          <w:b/>
          <w:bCs/>
          <w:sz w:val="24"/>
          <w:szCs w:val="22"/>
        </w:rPr>
        <w:t>.2普陆4井现状</w:t>
      </w:r>
    </w:p>
    <w:p>
      <w:pPr>
        <w:pStyle w:val="552"/>
        <w:ind w:firstLine="480"/>
        <w:rPr>
          <w:bCs/>
          <w:sz w:val="24"/>
          <w:szCs w:val="24"/>
        </w:rPr>
      </w:pPr>
      <w:r>
        <w:rPr>
          <w:rFonts w:hint="eastAsia"/>
          <w:sz w:val="24"/>
          <w:szCs w:val="22"/>
        </w:rPr>
        <w:t>本项目依托普陆4井钻井平台进行建设，普陆4井原井设计井深：3365.5m（垂深） /4858m（斜深），井别：评价井，井型：水平井，钻井目的层位为中侏罗统千佛崖组，完钻层位为中侏罗统千佛崖组。于</w:t>
      </w:r>
      <w:r>
        <w:rPr>
          <w:bCs/>
          <w:sz w:val="24"/>
          <w:szCs w:val="22"/>
        </w:rPr>
        <w:t>2021年9月25日到9月26日测试求产</w:t>
      </w:r>
      <w:r>
        <w:rPr>
          <w:rFonts w:hint="eastAsia"/>
          <w:bCs/>
          <w:sz w:val="24"/>
          <w:szCs w:val="22"/>
        </w:rPr>
        <w:t>，</w:t>
      </w:r>
      <w:r>
        <w:rPr>
          <w:bCs/>
          <w:sz w:val="24"/>
          <w:szCs w:val="22"/>
        </w:rPr>
        <w:t>根据普陆4井试气参数，无阻流量为37</w:t>
      </w:r>
      <w:r>
        <w:rPr>
          <w:rFonts w:hint="eastAsia"/>
          <w:bCs/>
          <w:sz w:val="24"/>
          <w:szCs w:val="22"/>
        </w:rPr>
        <w:t>~</w:t>
      </w:r>
      <w:r>
        <w:rPr>
          <w:bCs/>
          <w:sz w:val="24"/>
          <w:szCs w:val="22"/>
        </w:rPr>
        <w:t>54.7×10</w:t>
      </w:r>
      <w:r>
        <w:rPr>
          <w:bCs/>
          <w:sz w:val="24"/>
          <w:szCs w:val="22"/>
          <w:vertAlign w:val="superscript"/>
        </w:rPr>
        <w:t>4</w:t>
      </w:r>
      <w:r>
        <w:rPr>
          <w:bCs/>
          <w:sz w:val="24"/>
          <w:szCs w:val="22"/>
        </w:rPr>
        <w:t>m</w:t>
      </w:r>
      <w:r>
        <w:rPr>
          <w:bCs/>
          <w:sz w:val="24"/>
          <w:szCs w:val="22"/>
          <w:vertAlign w:val="superscript"/>
        </w:rPr>
        <w:t>3</w:t>
      </w:r>
      <w:r>
        <w:rPr>
          <w:bCs/>
          <w:sz w:val="24"/>
          <w:szCs w:val="22"/>
        </w:rPr>
        <w:t>/d</w:t>
      </w:r>
      <w:r>
        <w:rPr>
          <w:rFonts w:hint="eastAsia"/>
          <w:bCs/>
          <w:sz w:val="24"/>
          <w:szCs w:val="24"/>
        </w:rPr>
        <w:t>。</w:t>
      </w:r>
    </w:p>
    <w:p>
      <w:pPr>
        <w:pStyle w:val="552"/>
        <w:ind w:firstLine="0" w:firstLineChars="0"/>
        <w:jc w:val="center"/>
        <w:rPr>
          <w:bCs/>
          <w:sz w:val="24"/>
          <w:szCs w:val="24"/>
        </w:rPr>
      </w:pPr>
      <w:r>
        <w:rPr>
          <w:bCs/>
          <w:sz w:val="24"/>
          <w:szCs w:val="24"/>
        </w:rPr>
        <w:drawing>
          <wp:inline distT="0" distB="0" distL="0" distR="0">
            <wp:extent cx="3415665" cy="2561590"/>
            <wp:effectExtent l="19050" t="0" r="0" b="0"/>
            <wp:docPr id="3" name="图片 21" descr="D:\微信\WeChat Files\wxid_f0asumrra2c221\FileStorage\Temp\6e83e901a42381873901ea40ce4d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descr="D:\微信\WeChat Files\wxid_f0asumrra2c221\FileStorage\Temp\6e83e901a42381873901ea40ce4d316.jpg"/>
                    <pic:cNvPicPr>
                      <a:picLocks noChangeAspect="1" noChangeArrowheads="1"/>
                    </pic:cNvPicPr>
                  </pic:nvPicPr>
                  <pic:blipFill>
                    <a:blip r:embed="rId51" cstate="print"/>
                    <a:srcRect/>
                    <a:stretch>
                      <a:fillRect/>
                    </a:stretch>
                  </pic:blipFill>
                  <pic:spPr>
                    <a:xfrm>
                      <a:off x="0" y="0"/>
                      <a:ext cx="3418855" cy="2564086"/>
                    </a:xfrm>
                    <a:prstGeom prst="rect">
                      <a:avLst/>
                    </a:prstGeom>
                    <a:noFill/>
                    <a:ln w="9525">
                      <a:noFill/>
                      <a:miter lim="800000"/>
                      <a:headEnd/>
                      <a:tailEnd/>
                    </a:ln>
                  </pic:spPr>
                </pic:pic>
              </a:graphicData>
            </a:graphic>
          </wp:inline>
        </w:drawing>
      </w:r>
    </w:p>
    <w:p>
      <w:pPr>
        <w:pStyle w:val="552"/>
        <w:ind w:firstLine="0" w:firstLineChars="0"/>
        <w:jc w:val="center"/>
        <w:rPr>
          <w:b/>
          <w:bCs/>
          <w:sz w:val="24"/>
          <w:szCs w:val="24"/>
        </w:rPr>
      </w:pPr>
      <w:r>
        <w:rPr>
          <w:rFonts w:hint="eastAsia"/>
          <w:b/>
          <w:bCs/>
          <w:sz w:val="24"/>
          <w:szCs w:val="24"/>
        </w:rPr>
        <w:t>图2.1-1 普陆4井场现场照片</w:t>
      </w:r>
    </w:p>
    <w:p>
      <w:pPr>
        <w:pStyle w:val="552"/>
        <w:ind w:left="600" w:leftChars="200" w:hanging="120" w:hangingChars="50"/>
        <w:rPr>
          <w:sz w:val="24"/>
          <w:szCs w:val="22"/>
        </w:rPr>
      </w:pPr>
      <w:r>
        <w:rPr>
          <w:rFonts w:hint="eastAsia"/>
          <w:b/>
          <w:bCs/>
          <w:sz w:val="24"/>
          <w:szCs w:val="22"/>
        </w:rPr>
        <w:t>2</w:t>
      </w:r>
      <w:r>
        <w:rPr>
          <w:b/>
          <w:bCs/>
          <w:sz w:val="24"/>
          <w:szCs w:val="22"/>
        </w:rPr>
        <w:t>.1</w:t>
      </w:r>
      <w:r>
        <w:rPr>
          <w:rFonts w:hint="eastAsia"/>
          <w:b/>
          <w:bCs/>
          <w:sz w:val="24"/>
          <w:szCs w:val="22"/>
        </w:rPr>
        <w:t>.3现有工程污染防治措施及排放情况</w:t>
      </w:r>
    </w:p>
    <w:p>
      <w:pPr>
        <w:pStyle w:val="552"/>
        <w:ind w:firstLine="480"/>
        <w:rPr>
          <w:bCs/>
          <w:sz w:val="24"/>
          <w:szCs w:val="24"/>
        </w:rPr>
      </w:pPr>
      <w:r>
        <w:rPr>
          <w:rFonts w:hint="eastAsia"/>
          <w:bCs/>
          <w:sz w:val="24"/>
          <w:szCs w:val="24"/>
        </w:rPr>
        <w:t>普陆4井现处于封井状态，通过现场踏勘及资料收集，普陆4井钻井施工期产生的各类污染物均已得到妥善的处置，现场无遗留污染物。</w:t>
      </w:r>
    </w:p>
    <w:p>
      <w:pPr>
        <w:pStyle w:val="552"/>
        <w:ind w:firstLine="482"/>
        <w:rPr>
          <w:sz w:val="24"/>
          <w:szCs w:val="22"/>
        </w:rPr>
      </w:pPr>
      <w:r>
        <w:rPr>
          <w:rFonts w:hint="eastAsia"/>
          <w:b/>
          <w:bCs/>
          <w:sz w:val="24"/>
          <w:szCs w:val="22"/>
        </w:rPr>
        <w:t>2</w:t>
      </w:r>
      <w:r>
        <w:rPr>
          <w:b/>
          <w:bCs/>
          <w:sz w:val="24"/>
          <w:szCs w:val="22"/>
        </w:rPr>
        <w:t>.1</w:t>
      </w:r>
      <w:r>
        <w:rPr>
          <w:rFonts w:hint="eastAsia"/>
          <w:b/>
          <w:bCs/>
          <w:sz w:val="24"/>
          <w:szCs w:val="22"/>
        </w:rPr>
        <w:t>.4现有工程存在的主要环境问题及整改措施</w:t>
      </w:r>
    </w:p>
    <w:p>
      <w:pPr>
        <w:pStyle w:val="552"/>
        <w:ind w:firstLine="480"/>
        <w:rPr>
          <w:bCs/>
          <w:sz w:val="24"/>
          <w:szCs w:val="24"/>
        </w:rPr>
      </w:pPr>
      <w:r>
        <w:rPr>
          <w:rFonts w:hint="eastAsia"/>
          <w:bCs/>
          <w:sz w:val="24"/>
          <w:szCs w:val="24"/>
        </w:rPr>
        <w:t>根据现场调查，普陆4井钻井施工期产生的各类污染物均已得到妥善的处置，现场无遗留污染物，除保留的井场、进场道路、放喷池、污水池外，其余临时占地均已复垦。</w:t>
      </w:r>
    </w:p>
    <w:p>
      <w:pPr>
        <w:pStyle w:val="552"/>
        <w:ind w:firstLine="480"/>
        <w:rPr>
          <w:bCs/>
          <w:sz w:val="24"/>
          <w:szCs w:val="24"/>
        </w:rPr>
      </w:pPr>
      <w:r>
        <w:rPr>
          <w:rFonts w:hint="eastAsia"/>
          <w:bCs/>
          <w:sz w:val="24"/>
          <w:szCs w:val="24"/>
        </w:rPr>
        <w:t>经走访调查及咨询达州市生态环境局及达州市宣汉生态环境局，普陆4井未发生污染事故及投诉事件。</w:t>
      </w:r>
    </w:p>
    <w:p>
      <w:pPr>
        <w:pStyle w:val="552"/>
        <w:ind w:firstLine="480"/>
        <w:rPr>
          <w:bCs/>
          <w:sz w:val="24"/>
          <w:szCs w:val="24"/>
        </w:rPr>
      </w:pPr>
      <w:r>
        <w:rPr>
          <w:rFonts w:hint="eastAsia"/>
          <w:bCs/>
          <w:sz w:val="24"/>
          <w:szCs w:val="24"/>
        </w:rPr>
        <w:t>普陆4井现有环境问题为：井场地面有一定程度的破损。</w:t>
      </w:r>
    </w:p>
    <w:p>
      <w:pPr>
        <w:pStyle w:val="552"/>
        <w:ind w:firstLine="480"/>
        <w:rPr>
          <w:bCs/>
          <w:sz w:val="24"/>
          <w:szCs w:val="24"/>
        </w:rPr>
      </w:pPr>
      <w:r>
        <w:rPr>
          <w:rFonts w:hint="eastAsia"/>
          <w:bCs/>
          <w:sz w:val="24"/>
          <w:szCs w:val="24"/>
        </w:rPr>
        <w:t>“以新带老”措施：修复井场破损地面。</w:t>
      </w:r>
    </w:p>
    <w:p>
      <w:pPr>
        <w:pStyle w:val="3"/>
        <w:spacing w:before="120"/>
        <w:rPr>
          <w:rFonts w:cs="Times New Roman"/>
        </w:rPr>
      </w:pPr>
      <w:r>
        <w:rPr>
          <w:rFonts w:hint="eastAsia" w:cs="Times New Roman"/>
        </w:rPr>
        <w:t>2</w:t>
      </w:r>
      <w:r>
        <w:rPr>
          <w:rFonts w:cs="Times New Roman"/>
        </w:rPr>
        <w:t>.</w:t>
      </w:r>
      <w:r>
        <w:rPr>
          <w:rFonts w:hint="eastAsia" w:cs="Times New Roman"/>
        </w:rPr>
        <w:t>2</w:t>
      </w:r>
      <w:r>
        <w:rPr>
          <w:rFonts w:cs="Times New Roman"/>
        </w:rPr>
        <w:t xml:space="preserve"> </w:t>
      </w:r>
      <w:r>
        <w:rPr>
          <w:rFonts w:hint="eastAsia" w:cs="Times New Roman"/>
        </w:rPr>
        <w:t>P107集气站建设情况</w:t>
      </w:r>
    </w:p>
    <w:p>
      <w:pPr>
        <w:pStyle w:val="552"/>
        <w:ind w:firstLine="480"/>
        <w:rPr>
          <w:bCs/>
          <w:color w:val="FF0000"/>
          <w:sz w:val="24"/>
          <w:szCs w:val="24"/>
        </w:rPr>
      </w:pPr>
      <w:r>
        <w:rPr>
          <w:rFonts w:hint="eastAsia"/>
          <w:bCs/>
          <w:sz w:val="24"/>
          <w:szCs w:val="24"/>
        </w:rPr>
        <w:t>P</w:t>
      </w:r>
      <w:r>
        <w:rPr>
          <w:bCs/>
          <w:sz w:val="24"/>
          <w:szCs w:val="24"/>
        </w:rPr>
        <w:t>107</w:t>
      </w:r>
      <w:r>
        <w:rPr>
          <w:rFonts w:hint="eastAsia"/>
          <w:bCs/>
          <w:sz w:val="24"/>
          <w:szCs w:val="24"/>
        </w:rPr>
        <w:t>集气站是一座酸气集气站，井场内部署P</w:t>
      </w:r>
      <w:r>
        <w:rPr>
          <w:bCs/>
          <w:sz w:val="24"/>
          <w:szCs w:val="24"/>
        </w:rPr>
        <w:t>107-1H</w:t>
      </w:r>
      <w:r>
        <w:rPr>
          <w:rFonts w:hint="eastAsia"/>
          <w:bCs/>
          <w:sz w:val="24"/>
          <w:szCs w:val="24"/>
        </w:rPr>
        <w:t>井1座，站内天然气输送工艺采用加热、节流、保温混输的湿气集输工艺，站内已建有</w:t>
      </w:r>
      <w:r>
        <w:rPr>
          <w:bCs/>
          <w:sz w:val="24"/>
          <w:szCs w:val="24"/>
        </w:rPr>
        <w:t>污水缓冲罐2</w:t>
      </w:r>
      <w:r>
        <w:rPr>
          <w:rFonts w:hint="eastAsia"/>
          <w:bCs/>
          <w:sz w:val="24"/>
          <w:szCs w:val="24"/>
        </w:rPr>
        <w:t>座、</w:t>
      </w:r>
      <w:r>
        <w:rPr>
          <w:bCs/>
          <w:sz w:val="24"/>
          <w:szCs w:val="24"/>
        </w:rPr>
        <w:t>污水气提塔</w:t>
      </w:r>
      <w:r>
        <w:rPr>
          <w:rFonts w:hint="eastAsia"/>
          <w:bCs/>
          <w:sz w:val="24"/>
          <w:szCs w:val="24"/>
        </w:rPr>
        <w:t>2座</w:t>
      </w:r>
      <w:r>
        <w:rPr>
          <w:bCs/>
          <w:sz w:val="24"/>
          <w:szCs w:val="24"/>
        </w:rPr>
        <w:t>，</w:t>
      </w:r>
      <w:r>
        <w:rPr>
          <w:rFonts w:hint="eastAsia"/>
          <w:bCs/>
          <w:sz w:val="24"/>
          <w:szCs w:val="24"/>
        </w:rPr>
        <w:t>污水进入</w:t>
      </w:r>
      <w:r>
        <w:rPr>
          <w:bCs/>
          <w:sz w:val="24"/>
          <w:szCs w:val="24"/>
        </w:rPr>
        <w:t>污水气提塔气提</w:t>
      </w:r>
      <w:r>
        <w:rPr>
          <w:rFonts w:hint="eastAsia"/>
          <w:bCs/>
          <w:sz w:val="24"/>
          <w:szCs w:val="24"/>
        </w:rPr>
        <w:t>后</w:t>
      </w:r>
      <w:r>
        <w:rPr>
          <w:bCs/>
          <w:sz w:val="24"/>
          <w:szCs w:val="24"/>
        </w:rPr>
        <w:t>的天然气进P107集气站已建的放空系统的火炬分液罐，经火炬燃烧后放空。气提后的污水输至普光气田3#水处理站压力两相污水接收罐处理。</w:t>
      </w:r>
      <w:r>
        <w:rPr>
          <w:rFonts w:hint="eastAsia"/>
          <w:bCs/>
          <w:color w:val="FF0000"/>
          <w:sz w:val="24"/>
          <w:szCs w:val="24"/>
        </w:rPr>
        <w:t>P</w:t>
      </w:r>
      <w:r>
        <w:rPr>
          <w:bCs/>
          <w:color w:val="FF0000"/>
          <w:sz w:val="24"/>
          <w:szCs w:val="24"/>
        </w:rPr>
        <w:t>107</w:t>
      </w:r>
      <w:r>
        <w:rPr>
          <w:rFonts w:hint="eastAsia"/>
          <w:bCs/>
          <w:color w:val="FF0000"/>
          <w:sz w:val="24"/>
          <w:szCs w:val="24"/>
        </w:rPr>
        <w:t>集气站建设有1根燃气</w:t>
      </w:r>
      <w:r>
        <w:rPr>
          <w:bCs/>
          <w:color w:val="FF0000"/>
          <w:sz w:val="24"/>
          <w:szCs w:val="22"/>
        </w:rPr>
        <w:t>返输管线至普陆</w:t>
      </w:r>
      <w:r>
        <w:rPr>
          <w:rFonts w:hint="eastAsia"/>
          <w:bCs/>
          <w:color w:val="FF0000"/>
          <w:sz w:val="24"/>
          <w:szCs w:val="22"/>
        </w:rPr>
        <w:t>4集气平台。</w:t>
      </w:r>
    </w:p>
    <w:p>
      <w:pPr>
        <w:pStyle w:val="552"/>
        <w:ind w:firstLine="480"/>
        <w:rPr>
          <w:bCs/>
          <w:sz w:val="24"/>
          <w:szCs w:val="24"/>
        </w:rPr>
      </w:pPr>
      <w:r>
        <w:rPr>
          <w:rFonts w:hint="eastAsia"/>
          <w:bCs/>
          <w:sz w:val="24"/>
          <w:szCs w:val="24"/>
        </w:rPr>
        <w:t>站场主要由井场区、站场装置区、辅助生产站控室区和放空火炬区组成</w:t>
      </w:r>
      <w:r>
        <w:rPr>
          <w:sz w:val="24"/>
          <w:szCs w:val="24"/>
        </w:rPr>
        <w:t>。</w:t>
      </w:r>
    </w:p>
    <w:p>
      <w:pPr>
        <w:pStyle w:val="552"/>
        <w:ind w:firstLine="0" w:firstLineChars="0"/>
        <w:jc w:val="center"/>
        <w:rPr>
          <w:bCs/>
          <w:sz w:val="24"/>
          <w:szCs w:val="24"/>
        </w:rPr>
      </w:pPr>
      <w:r>
        <w:rPr>
          <w:bCs/>
          <w:sz w:val="24"/>
          <w:szCs w:val="24"/>
        </w:rPr>
        <w:drawing>
          <wp:inline distT="0" distB="0" distL="0" distR="0">
            <wp:extent cx="3101975" cy="2326640"/>
            <wp:effectExtent l="19050" t="0" r="2761" b="0"/>
            <wp:docPr id="13" name="图片 41" descr="D:\微信\WeChat Files\wxid_f0asumrra2c221\FileStorage\Temp\7bd2ffc362fe93caafa45f1fe2cae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1" descr="D:\微信\WeChat Files\wxid_f0asumrra2c221\FileStorage\Temp\7bd2ffc362fe93caafa45f1fe2caec5.jpg"/>
                    <pic:cNvPicPr>
                      <a:picLocks noChangeAspect="1" noChangeArrowheads="1"/>
                    </pic:cNvPicPr>
                  </pic:nvPicPr>
                  <pic:blipFill>
                    <a:blip r:embed="rId52" cstate="print"/>
                    <a:srcRect/>
                    <a:stretch>
                      <a:fillRect/>
                    </a:stretch>
                  </pic:blipFill>
                  <pic:spPr>
                    <a:xfrm>
                      <a:off x="0" y="0"/>
                      <a:ext cx="3103319" cy="2327437"/>
                    </a:xfrm>
                    <a:prstGeom prst="rect">
                      <a:avLst/>
                    </a:prstGeom>
                    <a:noFill/>
                    <a:ln w="9525">
                      <a:noFill/>
                      <a:miter lim="800000"/>
                      <a:headEnd/>
                      <a:tailEnd/>
                    </a:ln>
                  </pic:spPr>
                </pic:pic>
              </a:graphicData>
            </a:graphic>
          </wp:inline>
        </w:drawing>
      </w:r>
    </w:p>
    <w:p>
      <w:pPr>
        <w:pStyle w:val="552"/>
        <w:ind w:firstLine="482"/>
        <w:jc w:val="center"/>
        <w:rPr>
          <w:bCs/>
          <w:sz w:val="24"/>
          <w:szCs w:val="24"/>
        </w:rPr>
      </w:pPr>
      <w:r>
        <w:rPr>
          <w:rFonts w:hint="eastAsia"/>
          <w:b/>
          <w:bCs/>
          <w:sz w:val="24"/>
          <w:szCs w:val="24"/>
        </w:rPr>
        <w:t>图2.2-1 P</w:t>
      </w:r>
      <w:r>
        <w:rPr>
          <w:b/>
          <w:bCs/>
          <w:sz w:val="24"/>
          <w:szCs w:val="24"/>
        </w:rPr>
        <w:t>107</w:t>
      </w:r>
      <w:r>
        <w:rPr>
          <w:rFonts w:hint="eastAsia"/>
          <w:b/>
          <w:bCs/>
          <w:sz w:val="24"/>
          <w:szCs w:val="24"/>
        </w:rPr>
        <w:t>集气站现场照片</w:t>
      </w:r>
    </w:p>
    <w:p>
      <w:pPr>
        <w:pStyle w:val="3"/>
        <w:spacing w:before="120"/>
        <w:rPr>
          <w:rFonts w:cs="Times New Roman"/>
        </w:rPr>
      </w:pPr>
      <w:r>
        <w:rPr>
          <w:rFonts w:hint="eastAsia" w:cs="Times New Roman"/>
        </w:rPr>
        <w:t>2</w:t>
      </w:r>
      <w:r>
        <w:rPr>
          <w:rFonts w:cs="Times New Roman"/>
        </w:rPr>
        <w:t>.</w:t>
      </w:r>
      <w:r>
        <w:rPr>
          <w:rFonts w:hint="eastAsia" w:cs="Times New Roman"/>
        </w:rPr>
        <w:t>3</w:t>
      </w:r>
      <w:r>
        <w:rPr>
          <w:rFonts w:cs="Times New Roman"/>
        </w:rPr>
        <w:t xml:space="preserve"> 现有</w:t>
      </w:r>
      <w:r>
        <w:rPr>
          <w:rFonts w:hint="eastAsia" w:cs="Times New Roman"/>
        </w:rPr>
        <w:t>环保工程依托可行性</w:t>
      </w:r>
    </w:p>
    <w:p>
      <w:pPr>
        <w:pStyle w:val="552"/>
        <w:ind w:firstLine="482"/>
        <w:rPr>
          <w:b/>
          <w:bCs/>
          <w:sz w:val="24"/>
          <w:szCs w:val="22"/>
        </w:rPr>
      </w:pPr>
      <w:r>
        <w:rPr>
          <w:b/>
          <w:bCs/>
          <w:sz w:val="24"/>
          <w:szCs w:val="22"/>
        </w:rPr>
        <w:t>（1）依托工程简介</w:t>
      </w:r>
    </w:p>
    <w:p>
      <w:pPr>
        <w:pStyle w:val="552"/>
        <w:ind w:firstLine="480"/>
        <w:rPr>
          <w:bCs/>
          <w:sz w:val="24"/>
          <w:szCs w:val="22"/>
        </w:rPr>
      </w:pPr>
      <w:bookmarkStart w:id="99" w:name="OLE_LINK87"/>
      <w:bookmarkStart w:id="100" w:name="OLE_LINK75"/>
      <w:r>
        <w:rPr>
          <w:rFonts w:hint="eastAsia"/>
          <w:bCs/>
          <w:sz w:val="24"/>
          <w:szCs w:val="22"/>
        </w:rPr>
        <w:t>本项目利旧现有普陆4井进行建设，并依托普陆4井台已有污水池、放喷池等开展钻井工程，同时废水处理依托</w:t>
      </w:r>
      <w:r>
        <w:rPr>
          <w:bCs/>
          <w:sz w:val="24"/>
          <w:szCs w:val="22"/>
        </w:rPr>
        <w:t>大湾403污水站及毛开1井污水回注站</w:t>
      </w:r>
      <w:r>
        <w:rPr>
          <w:rFonts w:hint="eastAsia"/>
          <w:bCs/>
          <w:sz w:val="24"/>
          <w:szCs w:val="22"/>
        </w:rPr>
        <w:t>。</w:t>
      </w:r>
    </w:p>
    <w:p>
      <w:pPr>
        <w:pStyle w:val="552"/>
        <w:ind w:firstLine="480"/>
        <w:rPr>
          <w:bCs/>
          <w:sz w:val="24"/>
          <w:szCs w:val="22"/>
        </w:rPr>
      </w:pPr>
      <w:r>
        <w:rPr>
          <w:rFonts w:hint="eastAsia"/>
          <w:bCs/>
          <w:sz w:val="24"/>
          <w:szCs w:val="22"/>
        </w:rPr>
        <w:t>①污水池</w:t>
      </w:r>
    </w:p>
    <w:p>
      <w:pPr>
        <w:pStyle w:val="552"/>
        <w:ind w:firstLine="480"/>
        <w:rPr>
          <w:bCs/>
          <w:sz w:val="24"/>
          <w:szCs w:val="22"/>
        </w:rPr>
      </w:pPr>
      <w:r>
        <w:rPr>
          <w:rFonts w:hint="eastAsia"/>
          <w:bCs/>
          <w:sz w:val="24"/>
          <w:szCs w:val="22"/>
        </w:rPr>
        <w:t>普陆4井西侧井场外已建有1座污水池，容积约 1800m</w:t>
      </w:r>
      <w:r>
        <w:rPr>
          <w:rFonts w:hint="eastAsia"/>
          <w:bCs/>
          <w:sz w:val="24"/>
          <w:szCs w:val="22"/>
          <w:vertAlign w:val="superscript"/>
        </w:rPr>
        <w:t>3</w:t>
      </w:r>
      <w:r>
        <w:rPr>
          <w:rFonts w:hint="eastAsia"/>
          <w:bCs/>
          <w:sz w:val="24"/>
          <w:szCs w:val="22"/>
        </w:rPr>
        <w:t>（分为两格），钢筋混凝土结构，已做防渗处理，防渗系数≤10</w:t>
      </w:r>
      <w:r>
        <w:rPr>
          <w:rFonts w:hint="eastAsia"/>
          <w:bCs/>
          <w:sz w:val="24"/>
          <w:szCs w:val="22"/>
          <w:vertAlign w:val="superscript"/>
        </w:rPr>
        <w:t>-7</w:t>
      </w:r>
      <w:r>
        <w:rPr>
          <w:rFonts w:hint="eastAsia"/>
          <w:bCs/>
          <w:sz w:val="24"/>
          <w:szCs w:val="22"/>
        </w:rPr>
        <w:t>cm/s。现场调查时，池体完好，未发现渗漏情况，污水池上下游包气带监测数据表明土壤未受到污染。本项目依托其作为污水池。本项目普陆4</w:t>
      </w:r>
      <w:r>
        <w:rPr>
          <w:bCs/>
          <w:sz w:val="24"/>
          <w:szCs w:val="22"/>
        </w:rPr>
        <w:t>-1</w:t>
      </w:r>
      <w:r>
        <w:rPr>
          <w:rFonts w:hint="eastAsia"/>
          <w:bCs/>
          <w:sz w:val="24"/>
          <w:szCs w:val="22"/>
        </w:rPr>
        <w:t>H</w:t>
      </w:r>
      <w:r>
        <w:rPr>
          <w:bCs/>
          <w:sz w:val="24"/>
          <w:szCs w:val="22"/>
        </w:rPr>
        <w:t>井</w:t>
      </w:r>
      <w:r>
        <w:rPr>
          <w:rFonts w:hint="eastAsia"/>
          <w:bCs/>
          <w:sz w:val="24"/>
          <w:szCs w:val="22"/>
        </w:rPr>
        <w:t>压裂最大总液量23060m</w:t>
      </w:r>
      <w:r>
        <w:rPr>
          <w:rFonts w:hint="eastAsia"/>
          <w:bCs/>
          <w:sz w:val="24"/>
          <w:szCs w:val="22"/>
          <w:vertAlign w:val="superscript"/>
        </w:rPr>
        <w:t>3</w:t>
      </w:r>
      <w:r>
        <w:rPr>
          <w:rFonts w:hint="eastAsia"/>
          <w:bCs/>
          <w:sz w:val="24"/>
          <w:szCs w:val="22"/>
        </w:rPr>
        <w:t>，</w:t>
      </w:r>
      <w:r>
        <w:rPr>
          <w:bCs/>
          <w:sz w:val="24"/>
          <w:szCs w:val="22"/>
        </w:rPr>
        <w:t>压裂返排液回用率</w:t>
      </w:r>
      <w:r>
        <w:rPr>
          <w:rFonts w:hint="eastAsia"/>
          <w:bCs/>
          <w:sz w:val="24"/>
          <w:szCs w:val="22"/>
        </w:rPr>
        <w:t>按</w:t>
      </w:r>
      <w:r>
        <w:rPr>
          <w:bCs/>
          <w:sz w:val="24"/>
          <w:szCs w:val="22"/>
        </w:rPr>
        <w:t>85%</w:t>
      </w:r>
      <w:r>
        <w:rPr>
          <w:rFonts w:hint="eastAsia"/>
          <w:bCs/>
          <w:sz w:val="24"/>
          <w:szCs w:val="22"/>
        </w:rPr>
        <w:t>计，压裂期间最大压裂废水量为3459m</w:t>
      </w:r>
      <w:r>
        <w:rPr>
          <w:rFonts w:hint="eastAsia"/>
          <w:bCs/>
          <w:sz w:val="24"/>
          <w:szCs w:val="22"/>
          <w:vertAlign w:val="superscript"/>
        </w:rPr>
        <w:t>3</w:t>
      </w:r>
      <w:r>
        <w:rPr>
          <w:rFonts w:hint="eastAsia"/>
          <w:bCs/>
          <w:sz w:val="24"/>
          <w:szCs w:val="22"/>
        </w:rPr>
        <w:t>，压裂周期按45天计，压裂废水最大产生量约为76.9m</w:t>
      </w:r>
      <w:r>
        <w:rPr>
          <w:rFonts w:hint="eastAsia"/>
          <w:bCs/>
          <w:sz w:val="24"/>
          <w:szCs w:val="22"/>
          <w:vertAlign w:val="superscript"/>
        </w:rPr>
        <w:t>3</w:t>
      </w:r>
      <w:r>
        <w:rPr>
          <w:rFonts w:hint="eastAsia"/>
          <w:bCs/>
          <w:sz w:val="24"/>
          <w:szCs w:val="22"/>
        </w:rPr>
        <w:t>/d，压裂废水可依托现有污水池收集，并及时通过罐车拉运</w:t>
      </w:r>
      <w:r>
        <w:rPr>
          <w:bCs/>
          <w:sz w:val="24"/>
          <w:szCs w:val="22"/>
        </w:rPr>
        <w:t>至大湾403污水站处理达标后管输至毛开1井回注站回注</w:t>
      </w:r>
      <w:r>
        <w:rPr>
          <w:rFonts w:hint="eastAsia"/>
          <w:bCs/>
          <w:sz w:val="24"/>
          <w:szCs w:val="22"/>
        </w:rPr>
        <w:t>。污水池容积约1800m</w:t>
      </w:r>
      <w:r>
        <w:rPr>
          <w:rFonts w:hint="eastAsia"/>
          <w:bCs/>
          <w:sz w:val="24"/>
          <w:szCs w:val="22"/>
          <w:vertAlign w:val="superscript"/>
        </w:rPr>
        <w:t>3</w:t>
      </w:r>
      <w:r>
        <w:rPr>
          <w:rFonts w:hint="eastAsia"/>
          <w:bCs/>
          <w:sz w:val="24"/>
          <w:szCs w:val="22"/>
        </w:rPr>
        <w:t>，可满足约23天的压裂废水的储存，同时本项目设置10台罐车（罐容为20m</w:t>
      </w:r>
      <w:r>
        <w:rPr>
          <w:rFonts w:hint="eastAsia"/>
          <w:bCs/>
          <w:sz w:val="24"/>
          <w:szCs w:val="22"/>
          <w:vertAlign w:val="superscript"/>
        </w:rPr>
        <w:t>3</w:t>
      </w:r>
      <w:r>
        <w:rPr>
          <w:rFonts w:hint="eastAsia"/>
          <w:bCs/>
          <w:sz w:val="24"/>
          <w:szCs w:val="22"/>
        </w:rPr>
        <w:t>），压裂废水采取每周拉运一次，能够保证压裂废水得到有效收集和及时处置。</w:t>
      </w:r>
    </w:p>
    <w:p>
      <w:pPr>
        <w:pStyle w:val="552"/>
        <w:ind w:firstLine="480"/>
        <w:rPr>
          <w:bCs/>
          <w:sz w:val="24"/>
          <w:szCs w:val="22"/>
        </w:rPr>
      </w:pPr>
      <w:r>
        <w:rPr>
          <w:rFonts w:hint="eastAsia"/>
          <w:bCs/>
          <w:sz w:val="24"/>
          <w:szCs w:val="22"/>
        </w:rPr>
        <w:t>②放喷池</w:t>
      </w:r>
    </w:p>
    <w:p>
      <w:pPr>
        <w:pStyle w:val="552"/>
        <w:ind w:firstLine="480"/>
        <w:rPr>
          <w:bCs/>
          <w:sz w:val="24"/>
          <w:szCs w:val="22"/>
        </w:rPr>
      </w:pPr>
      <w:r>
        <w:rPr>
          <w:rFonts w:hint="eastAsia"/>
          <w:bCs/>
          <w:sz w:val="24"/>
          <w:szCs w:val="22"/>
        </w:rPr>
        <w:t>普陆4井建设有1座放喷池，放喷池位于井场外西北侧，距离井口约140m，放喷池容积为 300m</w:t>
      </w:r>
      <w:r>
        <w:rPr>
          <w:rFonts w:hint="eastAsia"/>
          <w:bCs/>
          <w:sz w:val="24"/>
          <w:szCs w:val="22"/>
          <w:vertAlign w:val="superscript"/>
        </w:rPr>
        <w:t>3</w:t>
      </w:r>
      <w:r>
        <w:rPr>
          <w:rFonts w:hint="eastAsia"/>
          <w:bCs/>
          <w:sz w:val="24"/>
          <w:szCs w:val="22"/>
        </w:rPr>
        <w:t>，现场调查时，池体完好，未发现渗漏情况。本项目依托其作为放喷池。</w:t>
      </w:r>
    </w:p>
    <w:p>
      <w:pPr>
        <w:pStyle w:val="552"/>
        <w:ind w:firstLine="480"/>
        <w:rPr>
          <w:rFonts w:hint="eastAsia"/>
          <w:sz w:val="24"/>
          <w:szCs w:val="22"/>
        </w:rPr>
      </w:pPr>
      <w:r>
        <w:rPr>
          <w:rFonts w:hint="eastAsia" w:ascii="宋体" w:hAnsi="宋体"/>
          <w:sz w:val="24"/>
          <w:szCs w:val="22"/>
        </w:rPr>
        <w:t>③</w:t>
      </w:r>
      <w:r>
        <w:rPr>
          <w:rFonts w:hint="eastAsia"/>
          <w:sz w:val="24"/>
          <w:szCs w:val="22"/>
        </w:rPr>
        <w:t>本项目施工期钻井工程废水</w:t>
      </w:r>
      <w:bookmarkEnd w:id="99"/>
      <w:bookmarkEnd w:id="100"/>
      <w:r>
        <w:rPr>
          <w:sz w:val="24"/>
          <w:szCs w:val="22"/>
        </w:rPr>
        <w:t>依托大湾403污水站和毛开1井回注站处理和回注</w:t>
      </w:r>
      <w:r>
        <w:rPr>
          <w:rFonts w:hint="eastAsia"/>
          <w:sz w:val="24"/>
          <w:szCs w:val="22"/>
        </w:rPr>
        <w:t>；</w:t>
      </w:r>
      <w:r>
        <w:rPr>
          <w:sz w:val="24"/>
          <w:szCs w:val="22"/>
        </w:rPr>
        <w:t>本项目运营期产生的气田水</w:t>
      </w:r>
      <w:r>
        <w:rPr>
          <w:rFonts w:hint="eastAsia"/>
          <w:sz w:val="24"/>
          <w:szCs w:val="22"/>
        </w:rPr>
        <w:t>暂存于污水缓冲罐</w:t>
      </w:r>
      <w:r>
        <w:rPr>
          <w:sz w:val="24"/>
          <w:szCs w:val="22"/>
        </w:rPr>
        <w:t>，然后通过密闭罐车拉运至大湾403污水站处理达到《气田水回注方法》（SY/T 6596</w:t>
      </w:r>
      <w:r>
        <w:rPr>
          <w:rFonts w:hint="eastAsia"/>
          <w:sz w:val="24"/>
          <w:szCs w:val="22"/>
        </w:rPr>
        <w:t>-</w:t>
      </w:r>
      <w:r>
        <w:rPr>
          <w:sz w:val="24"/>
          <w:szCs w:val="22"/>
        </w:rPr>
        <w:t>2016）中注入水基本要求后管输至毛开1井回注站回注处理，不外排。</w:t>
      </w:r>
    </w:p>
    <w:p>
      <w:pPr>
        <w:pStyle w:val="552"/>
        <w:ind w:firstLine="480"/>
        <w:rPr>
          <w:rFonts w:hint="eastAsia"/>
          <w:color w:val="0000FF"/>
          <w:sz w:val="24"/>
          <w:szCs w:val="22"/>
        </w:rPr>
      </w:pPr>
      <w:r>
        <w:rPr>
          <w:rFonts w:hint="eastAsia" w:ascii="宋体" w:hAnsi="宋体"/>
          <w:color w:val="0000FF"/>
          <w:sz w:val="24"/>
          <w:szCs w:val="22"/>
        </w:rPr>
        <w:t>④</w:t>
      </w:r>
      <w:r>
        <w:rPr>
          <w:rFonts w:hint="eastAsia"/>
          <w:color w:val="0000FF"/>
          <w:sz w:val="24"/>
          <w:szCs w:val="22"/>
        </w:rPr>
        <w:t>净化厂现有</w:t>
      </w:r>
      <w:r>
        <w:rPr>
          <w:color w:val="0000FF"/>
          <w:sz w:val="24"/>
          <w:szCs w:val="22"/>
        </w:rPr>
        <w:t>危险废物贮存仓库</w:t>
      </w:r>
    </w:p>
    <w:p>
      <w:pPr>
        <w:pStyle w:val="552"/>
        <w:ind w:firstLine="480"/>
        <w:rPr>
          <w:color w:val="0000FF"/>
          <w:sz w:val="24"/>
          <w:szCs w:val="22"/>
        </w:rPr>
      </w:pPr>
      <w:r>
        <w:rPr>
          <w:rFonts w:hint="eastAsia"/>
          <w:color w:val="0000FF"/>
          <w:sz w:val="24"/>
          <w:szCs w:val="22"/>
        </w:rPr>
        <w:t>本项目危险废物</w:t>
      </w:r>
      <w:r>
        <w:rPr>
          <w:color w:val="0000FF"/>
          <w:sz w:val="24"/>
          <w:szCs w:val="22"/>
        </w:rPr>
        <w:t>及时清运</w:t>
      </w:r>
      <w:r>
        <w:rPr>
          <w:rFonts w:hint="eastAsia"/>
          <w:color w:val="0000FF"/>
          <w:sz w:val="24"/>
          <w:szCs w:val="22"/>
        </w:rPr>
        <w:t>至企业净化厂</w:t>
      </w:r>
      <w:r>
        <w:rPr>
          <w:color w:val="0000FF"/>
          <w:sz w:val="24"/>
          <w:szCs w:val="22"/>
        </w:rPr>
        <w:t>危险废物贮存仓库</w:t>
      </w:r>
      <w:r>
        <w:rPr>
          <w:rFonts w:hint="eastAsia"/>
          <w:color w:val="0000FF"/>
          <w:sz w:val="24"/>
          <w:szCs w:val="22"/>
        </w:rPr>
        <w:t>（运距约20km）</w:t>
      </w:r>
      <w:r>
        <w:rPr>
          <w:color w:val="0000FF"/>
          <w:sz w:val="24"/>
          <w:szCs w:val="22"/>
        </w:rPr>
        <w:t>，</w:t>
      </w:r>
      <w:r>
        <w:rPr>
          <w:rFonts w:hint="eastAsia"/>
          <w:color w:val="0000FF"/>
          <w:sz w:val="24"/>
          <w:szCs w:val="22"/>
        </w:rPr>
        <w:t>定期</w:t>
      </w:r>
      <w:r>
        <w:rPr>
          <w:color w:val="0000FF"/>
          <w:sz w:val="24"/>
          <w:szCs w:val="22"/>
        </w:rPr>
        <w:t>委托有资质单位进行处理</w:t>
      </w:r>
      <w:r>
        <w:rPr>
          <w:rFonts w:hint="eastAsia"/>
          <w:color w:val="0000FF"/>
          <w:sz w:val="24"/>
          <w:szCs w:val="22"/>
        </w:rPr>
        <w:t>。</w:t>
      </w:r>
    </w:p>
    <w:p>
      <w:pPr>
        <w:pStyle w:val="552"/>
        <w:ind w:firstLine="482"/>
        <w:rPr>
          <w:b/>
          <w:bCs/>
          <w:sz w:val="24"/>
          <w:szCs w:val="22"/>
        </w:rPr>
      </w:pPr>
      <w:r>
        <w:rPr>
          <w:b/>
          <w:bCs/>
          <w:sz w:val="24"/>
          <w:szCs w:val="22"/>
        </w:rPr>
        <w:t>（2）依托工程“三同时”情况</w:t>
      </w:r>
    </w:p>
    <w:p>
      <w:pPr>
        <w:pStyle w:val="552"/>
        <w:ind w:firstLine="480"/>
        <w:rPr>
          <w:rFonts w:hint="eastAsia"/>
          <w:sz w:val="24"/>
          <w:szCs w:val="22"/>
        </w:rPr>
      </w:pPr>
      <w:r>
        <w:rPr>
          <w:sz w:val="24"/>
          <w:szCs w:val="22"/>
        </w:rPr>
        <w:t>依托工程“三同时”情况详见</w:t>
      </w:r>
      <w:r>
        <w:fldChar w:fldCharType="begin"/>
      </w:r>
      <w:r>
        <w:instrText xml:space="preserve"> REF _Ref496034542 \h  \* MERGEFORMAT </w:instrText>
      </w:r>
      <w:r>
        <w:fldChar w:fldCharType="separate"/>
      </w:r>
      <w:r>
        <w:rPr>
          <w:sz w:val="24"/>
          <w:szCs w:val="22"/>
        </w:rPr>
        <w:t>表</w:t>
      </w:r>
      <w:r>
        <w:rPr>
          <w:sz w:val="24"/>
          <w:szCs w:val="22"/>
        </w:rPr>
        <w:fldChar w:fldCharType="end"/>
      </w:r>
      <w:r>
        <w:rPr>
          <w:sz w:val="24"/>
          <w:szCs w:val="22"/>
        </w:rPr>
        <w:t>。</w:t>
      </w:r>
    </w:p>
    <w:p>
      <w:pPr>
        <w:pStyle w:val="552"/>
        <w:ind w:firstLine="480"/>
        <w:rPr>
          <w:rFonts w:hint="eastAsia"/>
          <w:sz w:val="24"/>
          <w:szCs w:val="22"/>
        </w:rPr>
      </w:pPr>
    </w:p>
    <w:p>
      <w:pPr>
        <w:pStyle w:val="552"/>
        <w:ind w:firstLine="480"/>
        <w:rPr>
          <w:sz w:val="24"/>
          <w:szCs w:val="22"/>
        </w:rPr>
      </w:pPr>
    </w:p>
    <w:p>
      <w:pPr>
        <w:pStyle w:val="37"/>
        <w:rPr>
          <w:rFonts w:cs="Times New Roman"/>
        </w:rPr>
      </w:pPr>
      <w:bookmarkStart w:id="101" w:name="_Ref496034542"/>
      <w:r>
        <w:rPr>
          <w:rFonts w:cs="Times New Roman"/>
        </w:rPr>
        <w:t>表</w:t>
      </w:r>
      <w:bookmarkEnd w:id="101"/>
      <w:r>
        <w:rPr>
          <w:rFonts w:cs="Times New Roman"/>
        </w:rPr>
        <w:t>2.3-2  依托工程“三同时”情况一览表</w:t>
      </w:r>
    </w:p>
    <w:tbl>
      <w:tblPr>
        <w:tblStyle w:val="57"/>
        <w:tblW w:w="87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41"/>
        <w:gridCol w:w="1212"/>
        <w:gridCol w:w="3020"/>
        <w:gridCol w:w="1962"/>
        <w:gridCol w:w="22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4" w:hRule="atLeast"/>
          <w:tblHeader/>
          <w:jc w:val="center"/>
        </w:trPr>
        <w:tc>
          <w:tcPr>
            <w:tcW w:w="341" w:type="dxa"/>
            <w:vAlign w:val="center"/>
          </w:tcPr>
          <w:p>
            <w:pPr>
              <w:pStyle w:val="557"/>
              <w:rPr>
                <w:rFonts w:ascii="Times New Roman" w:hAnsi="Times New Roman"/>
                <w:b/>
                <w:bCs/>
              </w:rPr>
            </w:pPr>
            <w:r>
              <w:rPr>
                <w:rFonts w:ascii="Times New Roman" w:hAnsi="Times New Roman"/>
                <w:b/>
                <w:bCs/>
              </w:rPr>
              <w:t>序号</w:t>
            </w:r>
          </w:p>
        </w:tc>
        <w:tc>
          <w:tcPr>
            <w:tcW w:w="1212" w:type="dxa"/>
            <w:vAlign w:val="center"/>
          </w:tcPr>
          <w:p>
            <w:pPr>
              <w:pStyle w:val="557"/>
              <w:rPr>
                <w:rFonts w:ascii="Times New Roman" w:hAnsi="Times New Roman"/>
                <w:b/>
                <w:bCs/>
              </w:rPr>
            </w:pPr>
            <w:r>
              <w:rPr>
                <w:rFonts w:ascii="Times New Roman" w:hAnsi="Times New Roman"/>
                <w:b/>
                <w:bCs/>
              </w:rPr>
              <w:t>项目名称</w:t>
            </w:r>
          </w:p>
        </w:tc>
        <w:tc>
          <w:tcPr>
            <w:tcW w:w="3020" w:type="dxa"/>
            <w:vAlign w:val="center"/>
          </w:tcPr>
          <w:p>
            <w:pPr>
              <w:pStyle w:val="557"/>
              <w:rPr>
                <w:rFonts w:ascii="Times New Roman" w:hAnsi="Times New Roman"/>
                <w:b/>
                <w:bCs/>
              </w:rPr>
            </w:pPr>
            <w:r>
              <w:rPr>
                <w:rFonts w:ascii="Times New Roman" w:hAnsi="Times New Roman"/>
                <w:b/>
                <w:bCs/>
              </w:rPr>
              <w:t>工程内容</w:t>
            </w:r>
          </w:p>
        </w:tc>
        <w:tc>
          <w:tcPr>
            <w:tcW w:w="1962" w:type="dxa"/>
            <w:vAlign w:val="center"/>
          </w:tcPr>
          <w:p>
            <w:pPr>
              <w:pStyle w:val="557"/>
              <w:rPr>
                <w:rFonts w:ascii="Times New Roman" w:hAnsi="Times New Roman"/>
                <w:b/>
                <w:bCs/>
              </w:rPr>
            </w:pPr>
            <w:r>
              <w:rPr>
                <w:rFonts w:ascii="Times New Roman" w:hAnsi="Times New Roman"/>
                <w:b/>
                <w:bCs/>
              </w:rPr>
              <w:t>环评批复时间、文号及批复部门</w:t>
            </w:r>
          </w:p>
        </w:tc>
        <w:tc>
          <w:tcPr>
            <w:tcW w:w="2229" w:type="dxa"/>
            <w:vAlign w:val="center"/>
          </w:tcPr>
          <w:p>
            <w:pPr>
              <w:pStyle w:val="557"/>
              <w:rPr>
                <w:rFonts w:ascii="Times New Roman" w:hAnsi="Times New Roman"/>
                <w:b/>
                <w:bCs/>
              </w:rPr>
            </w:pPr>
            <w:r>
              <w:rPr>
                <w:rFonts w:ascii="Times New Roman" w:hAnsi="Times New Roman"/>
                <w:b/>
                <w:bCs/>
              </w:rPr>
              <w:t>竣工环保验收时间、文号及验收部门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75" w:hRule="atLeast"/>
          <w:jc w:val="center"/>
        </w:trPr>
        <w:tc>
          <w:tcPr>
            <w:tcW w:w="341" w:type="dxa"/>
            <w:vAlign w:val="center"/>
          </w:tcPr>
          <w:p>
            <w:pPr>
              <w:pStyle w:val="557"/>
              <w:rPr>
                <w:rFonts w:ascii="Times New Roman" w:hAnsi="Times New Roman"/>
              </w:rPr>
            </w:pPr>
            <w:r>
              <w:rPr>
                <w:rFonts w:hint="eastAsia" w:ascii="Times New Roman" w:hAnsi="Times New Roman"/>
              </w:rPr>
              <w:t>1</w:t>
            </w:r>
          </w:p>
        </w:tc>
        <w:tc>
          <w:tcPr>
            <w:tcW w:w="1212" w:type="dxa"/>
            <w:vAlign w:val="center"/>
          </w:tcPr>
          <w:p>
            <w:pPr>
              <w:pStyle w:val="557"/>
              <w:rPr>
                <w:rFonts w:ascii="Times New Roman" w:hAnsi="Times New Roman"/>
              </w:rPr>
            </w:pPr>
            <w:r>
              <w:rPr>
                <w:rFonts w:ascii="Times New Roman" w:hAnsi="Times New Roman"/>
              </w:rPr>
              <w:t>大湾403污水站及回注站工程</w:t>
            </w:r>
          </w:p>
        </w:tc>
        <w:tc>
          <w:tcPr>
            <w:tcW w:w="3020" w:type="dxa"/>
            <w:vAlign w:val="center"/>
          </w:tcPr>
          <w:p>
            <w:pPr>
              <w:pStyle w:val="557"/>
              <w:rPr>
                <w:rFonts w:ascii="Times New Roman" w:hAnsi="Times New Roman"/>
              </w:rPr>
            </w:pPr>
            <w:r>
              <w:rPr>
                <w:rFonts w:ascii="Times New Roman" w:hAnsi="Times New Roman"/>
              </w:rPr>
              <w:t>大湾403污水站；</w:t>
            </w:r>
          </w:p>
          <w:p>
            <w:pPr>
              <w:pStyle w:val="557"/>
              <w:rPr>
                <w:rFonts w:ascii="Times New Roman" w:hAnsi="Times New Roman"/>
              </w:rPr>
            </w:pPr>
            <w:r>
              <w:rPr>
                <w:rFonts w:ascii="Times New Roman" w:hAnsi="Times New Roman"/>
              </w:rPr>
              <w:t>毛开1井回注站；</w:t>
            </w:r>
          </w:p>
          <w:p>
            <w:pPr>
              <w:pStyle w:val="557"/>
              <w:rPr>
                <w:rFonts w:ascii="Times New Roman" w:hAnsi="Times New Roman"/>
              </w:rPr>
            </w:pPr>
            <w:r>
              <w:rPr>
                <w:rFonts w:ascii="Times New Roman" w:hAnsi="Times New Roman"/>
              </w:rPr>
              <w:t>大湾403污水站至毛开1井回注站污水回注外输管线。</w:t>
            </w:r>
          </w:p>
        </w:tc>
        <w:tc>
          <w:tcPr>
            <w:tcW w:w="1962" w:type="dxa"/>
            <w:vAlign w:val="center"/>
          </w:tcPr>
          <w:p>
            <w:pPr>
              <w:pStyle w:val="557"/>
              <w:rPr>
                <w:rFonts w:ascii="Times New Roman" w:hAnsi="Times New Roman"/>
              </w:rPr>
            </w:pPr>
            <w:r>
              <w:rPr>
                <w:rFonts w:ascii="Times New Roman" w:hAnsi="Times New Roman"/>
              </w:rPr>
              <w:t>2011年8月9日，川环审批〔2011〕325号，四川省环境保护厅</w:t>
            </w:r>
          </w:p>
        </w:tc>
        <w:tc>
          <w:tcPr>
            <w:tcW w:w="2229" w:type="dxa"/>
            <w:vAlign w:val="center"/>
          </w:tcPr>
          <w:p>
            <w:pPr>
              <w:pStyle w:val="557"/>
              <w:rPr>
                <w:rFonts w:ascii="Times New Roman" w:hAnsi="Times New Roman"/>
              </w:rPr>
            </w:pPr>
            <w:r>
              <w:rPr>
                <w:rFonts w:ascii="Times New Roman" w:hAnsi="Times New Roman"/>
              </w:rPr>
              <w:t>2013年9月6日，川环验〔2013〕194号，四川省环境保护厅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75" w:hRule="atLeast"/>
          <w:jc w:val="center"/>
        </w:trPr>
        <w:tc>
          <w:tcPr>
            <w:tcW w:w="341" w:type="dxa"/>
            <w:vAlign w:val="center"/>
          </w:tcPr>
          <w:p>
            <w:pPr>
              <w:pStyle w:val="557"/>
              <w:rPr>
                <w:rFonts w:hint="eastAsia" w:ascii="Times New Roman" w:hAnsi="Times New Roman"/>
                <w:color w:val="0000FF"/>
              </w:rPr>
            </w:pPr>
            <w:r>
              <w:rPr>
                <w:rFonts w:hint="eastAsia" w:ascii="Times New Roman" w:hAnsi="Times New Roman"/>
                <w:color w:val="0000FF"/>
              </w:rPr>
              <w:t>2</w:t>
            </w:r>
          </w:p>
        </w:tc>
        <w:tc>
          <w:tcPr>
            <w:tcW w:w="1212" w:type="dxa"/>
            <w:vAlign w:val="center"/>
          </w:tcPr>
          <w:p>
            <w:pPr>
              <w:pStyle w:val="557"/>
              <w:rPr>
                <w:rFonts w:ascii="Times New Roman" w:hAnsi="Times New Roman"/>
                <w:color w:val="0000FF"/>
              </w:rPr>
            </w:pPr>
            <w:r>
              <w:rPr>
                <w:rFonts w:hint="eastAsia" w:ascii="Times New Roman" w:hAnsi="Times New Roman"/>
                <w:color w:val="0000FF"/>
              </w:rPr>
              <w:t>危险化学品与危险废物储存改造工程</w:t>
            </w:r>
          </w:p>
        </w:tc>
        <w:tc>
          <w:tcPr>
            <w:tcW w:w="3020" w:type="dxa"/>
            <w:vAlign w:val="center"/>
          </w:tcPr>
          <w:p>
            <w:pPr>
              <w:pStyle w:val="557"/>
              <w:rPr>
                <w:rFonts w:ascii="Times New Roman" w:hAnsi="Times New Roman"/>
                <w:color w:val="0000FF"/>
              </w:rPr>
            </w:pPr>
            <w:r>
              <w:rPr>
                <w:rFonts w:hint="eastAsia" w:ascii="Times New Roman" w:hAnsi="Times New Roman"/>
                <w:color w:val="0000FF"/>
              </w:rPr>
              <w:t>利用物资保障部净化厂库区的1号料棚改造为危险化学品库房，并在1号料棚东侧新建危险废物贮存仓库1座。</w:t>
            </w:r>
          </w:p>
        </w:tc>
        <w:tc>
          <w:tcPr>
            <w:tcW w:w="1962" w:type="dxa"/>
            <w:vAlign w:val="center"/>
          </w:tcPr>
          <w:p>
            <w:pPr>
              <w:pStyle w:val="557"/>
              <w:rPr>
                <w:rFonts w:ascii="Times New Roman" w:hAnsi="Times New Roman"/>
                <w:color w:val="0000FF"/>
              </w:rPr>
            </w:pPr>
            <w:r>
              <w:rPr>
                <w:rFonts w:ascii="Times New Roman" w:hAnsi="Times New Roman"/>
                <w:color w:val="0000FF"/>
              </w:rPr>
              <w:t>201</w:t>
            </w:r>
            <w:r>
              <w:rPr>
                <w:rFonts w:hint="eastAsia" w:ascii="Times New Roman" w:hAnsi="Times New Roman"/>
                <w:color w:val="0000FF"/>
              </w:rPr>
              <w:t>7</w:t>
            </w:r>
            <w:r>
              <w:rPr>
                <w:rFonts w:ascii="Times New Roman" w:hAnsi="Times New Roman"/>
                <w:color w:val="0000FF"/>
              </w:rPr>
              <w:t>年</w:t>
            </w:r>
            <w:r>
              <w:rPr>
                <w:rFonts w:hint="eastAsia" w:ascii="Times New Roman" w:hAnsi="Times New Roman"/>
                <w:color w:val="0000FF"/>
              </w:rPr>
              <w:t>12</w:t>
            </w:r>
            <w:r>
              <w:rPr>
                <w:rFonts w:ascii="Times New Roman" w:hAnsi="Times New Roman"/>
                <w:color w:val="0000FF"/>
              </w:rPr>
              <w:t>月</w:t>
            </w:r>
            <w:r>
              <w:rPr>
                <w:rFonts w:hint="eastAsia" w:ascii="Times New Roman" w:hAnsi="Times New Roman"/>
                <w:color w:val="0000FF"/>
              </w:rPr>
              <w:t>2</w:t>
            </w:r>
            <w:r>
              <w:rPr>
                <w:rFonts w:ascii="Times New Roman" w:hAnsi="Times New Roman"/>
                <w:color w:val="0000FF"/>
              </w:rPr>
              <w:t>9日，宣环审〔201</w:t>
            </w:r>
            <w:r>
              <w:rPr>
                <w:rFonts w:hint="eastAsia" w:ascii="Times New Roman" w:hAnsi="Times New Roman"/>
                <w:color w:val="0000FF"/>
              </w:rPr>
              <w:t>7</w:t>
            </w:r>
            <w:r>
              <w:rPr>
                <w:rFonts w:ascii="Times New Roman" w:hAnsi="Times New Roman"/>
                <w:color w:val="0000FF"/>
              </w:rPr>
              <w:t>〕</w:t>
            </w:r>
            <w:r>
              <w:rPr>
                <w:rFonts w:hint="eastAsia" w:ascii="Times New Roman" w:hAnsi="Times New Roman"/>
                <w:color w:val="0000FF"/>
              </w:rPr>
              <w:t>77</w:t>
            </w:r>
            <w:r>
              <w:rPr>
                <w:rFonts w:ascii="Times New Roman" w:hAnsi="Times New Roman"/>
                <w:color w:val="0000FF"/>
              </w:rPr>
              <w:t>号，</w:t>
            </w:r>
            <w:r>
              <w:rPr>
                <w:rFonts w:hint="eastAsia" w:ascii="Times New Roman" w:hAnsi="Times New Roman"/>
                <w:color w:val="0000FF"/>
              </w:rPr>
              <w:t>宣汉县</w:t>
            </w:r>
            <w:r>
              <w:rPr>
                <w:rFonts w:ascii="Times New Roman" w:hAnsi="Times New Roman"/>
                <w:color w:val="0000FF"/>
              </w:rPr>
              <w:t>环境保护局</w:t>
            </w:r>
          </w:p>
        </w:tc>
        <w:tc>
          <w:tcPr>
            <w:tcW w:w="2229" w:type="dxa"/>
            <w:vAlign w:val="center"/>
          </w:tcPr>
          <w:p>
            <w:pPr>
              <w:pStyle w:val="557"/>
              <w:rPr>
                <w:rFonts w:ascii="Times New Roman" w:hAnsi="Times New Roman"/>
                <w:color w:val="0000FF"/>
              </w:rPr>
            </w:pPr>
            <w:r>
              <w:rPr>
                <w:rFonts w:hint="eastAsia" w:ascii="Times New Roman" w:hAnsi="Times New Roman"/>
                <w:color w:val="0000FF"/>
              </w:rPr>
              <w:t>2019年11月13日，自主验收</w:t>
            </w:r>
          </w:p>
        </w:tc>
      </w:tr>
    </w:tbl>
    <w:p>
      <w:pPr>
        <w:pStyle w:val="112"/>
        <w:ind w:firstLine="482"/>
        <w:rPr>
          <w:b/>
          <w:bCs/>
        </w:rPr>
      </w:pPr>
      <w:r>
        <w:rPr>
          <w:b/>
          <w:bCs/>
        </w:rPr>
        <w:t>（3）大湾403污水站</w:t>
      </w:r>
    </w:p>
    <w:p>
      <w:pPr>
        <w:pStyle w:val="112"/>
        <w:ind w:firstLine="480"/>
      </w:pPr>
      <w:r>
        <w:rPr>
          <w:rFonts w:hint="eastAsia"/>
          <w:szCs w:val="22"/>
        </w:rPr>
        <w:t>本项目钻井工程废水</w:t>
      </w:r>
      <w:r>
        <w:t>的处理依托大湾403污水站，</w:t>
      </w:r>
      <w:r>
        <w:rPr>
          <w:rFonts w:hint="eastAsia"/>
          <w:szCs w:val="22"/>
        </w:rPr>
        <w:t>本项目钻井工程废水</w:t>
      </w:r>
      <w:r>
        <w:t>回注依托毛开1井回注站。大湾403污水站及毛开1井回注站已于2011年8月取得了四川省环境保护厅《关于大湾403污水站及回注站工程建设项目环境影响报告表的批复》（川环审批〔2011〕325号），并于2013年通过了四川省环境保护厅的验收，批复文号为川环验〔2013〕194号文。</w:t>
      </w:r>
    </w:p>
    <w:p>
      <w:pPr>
        <w:pStyle w:val="112"/>
        <w:ind w:firstLine="480"/>
      </w:pPr>
      <w:r>
        <w:rPr>
          <w:color w:val="0000FF"/>
        </w:rPr>
        <w:t>大湾403污水站位于炉旺村东北，处理能力120m</w:t>
      </w:r>
      <w:r>
        <w:rPr>
          <w:color w:val="0000FF"/>
          <w:vertAlign w:val="superscript"/>
        </w:rPr>
        <w:t>3</w:t>
      </w:r>
      <w:r>
        <w:rPr>
          <w:color w:val="0000FF"/>
        </w:rPr>
        <w:t>/d</w:t>
      </w:r>
      <w:r>
        <w:rPr>
          <w:rFonts w:hint="eastAsia"/>
          <w:color w:val="0000FF"/>
        </w:rPr>
        <w:t>，</w:t>
      </w:r>
      <w:r>
        <w:rPr>
          <w:color w:val="0000FF"/>
        </w:rPr>
        <w:t>目前</w:t>
      </w:r>
      <w:r>
        <w:rPr>
          <w:rFonts w:hint="eastAsia"/>
          <w:color w:val="0000FF"/>
        </w:rPr>
        <w:t>实际处理量</w:t>
      </w:r>
      <w:r>
        <w:rPr>
          <w:color w:val="0000FF"/>
        </w:rPr>
        <w:t>为70</w:t>
      </w:r>
      <w:r>
        <w:rPr>
          <w:rFonts w:hint="eastAsia"/>
          <w:color w:val="0000FF"/>
        </w:rPr>
        <w:t>~</w:t>
      </w:r>
      <w:r>
        <w:rPr>
          <w:color w:val="0000FF"/>
        </w:rPr>
        <w:t>90m</w:t>
      </w:r>
      <w:r>
        <w:rPr>
          <w:color w:val="0000FF"/>
          <w:vertAlign w:val="superscript"/>
        </w:rPr>
        <w:t>3</w:t>
      </w:r>
      <w:r>
        <w:rPr>
          <w:color w:val="0000FF"/>
        </w:rPr>
        <w:t>/d。</w:t>
      </w:r>
      <w:r>
        <w:t>污水处理系统除硫工艺采用二氧化氯氧化工艺，主流程为：来水→压力两相污水接收及氧化罐→污水池→污水提升泵→双滤料过滤器→精细过滤器→缓冲罐→外输泵→外输管线。</w:t>
      </w:r>
    </w:p>
    <w:p>
      <w:pPr>
        <w:pStyle w:val="112"/>
        <w:ind w:firstLine="482"/>
        <w:rPr>
          <w:b/>
          <w:bCs/>
        </w:rPr>
      </w:pPr>
      <w:r>
        <w:rPr>
          <w:b/>
          <w:bCs/>
        </w:rPr>
        <w:t>（4）毛开1井污水回注站</w:t>
      </w:r>
    </w:p>
    <w:p>
      <w:pPr>
        <w:pStyle w:val="112"/>
        <w:ind w:firstLine="480"/>
      </w:pPr>
      <w:bookmarkStart w:id="102" w:name="OLE_LINK47"/>
      <w:bookmarkStart w:id="103" w:name="OLE_LINK48"/>
      <w:r>
        <w:t>毛开1井回注站位于达州市宣汉县毛坝镇雁口村6组旁，该井站回注层位为嘉陵江组（井段3680m～3790m）、雷口坡组（井段2235m～2350m），回注水量储集空间为226.77×10</w:t>
      </w:r>
      <w:r>
        <w:rPr>
          <w:vertAlign w:val="superscript"/>
        </w:rPr>
        <w:t>4</w:t>
      </w:r>
      <w:r>
        <w:t>m</w:t>
      </w:r>
      <w:r>
        <w:rPr>
          <w:vertAlign w:val="superscript"/>
        </w:rPr>
        <w:t>3</w:t>
      </w:r>
      <w:r>
        <w:t>，井口高压管线设计压力为37MPa，目前回注压力为28MPa，污水回注设计规模为120m</w:t>
      </w:r>
      <w:r>
        <w:rPr>
          <w:vertAlign w:val="superscript"/>
        </w:rPr>
        <w:t>3</w:t>
      </w:r>
      <w:r>
        <w:t>/d，目前回注量为70</w:t>
      </w:r>
      <w:r>
        <w:rPr>
          <w:rFonts w:hint="eastAsia"/>
        </w:rPr>
        <w:t>~</w:t>
      </w:r>
      <w:r>
        <w:t>90m</w:t>
      </w:r>
      <w:r>
        <w:rPr>
          <w:vertAlign w:val="superscript"/>
        </w:rPr>
        <w:t>3</w:t>
      </w:r>
      <w:r>
        <w:t>/d，已回注总量为</w:t>
      </w:r>
      <w:r>
        <w:rPr>
          <w:rFonts w:hint="eastAsia"/>
        </w:rPr>
        <w:t>2</w:t>
      </w:r>
      <w:r>
        <w:t>0×10</w:t>
      </w:r>
      <w:r>
        <w:rPr>
          <w:vertAlign w:val="superscript"/>
        </w:rPr>
        <w:t>4</w:t>
      </w:r>
      <w:r>
        <w:t>m</w:t>
      </w:r>
      <w:r>
        <w:rPr>
          <w:vertAlign w:val="superscript"/>
        </w:rPr>
        <w:t>3</w:t>
      </w:r>
      <w:r>
        <w:t>，</w:t>
      </w:r>
      <w:bookmarkEnd w:id="102"/>
      <w:bookmarkEnd w:id="103"/>
      <w:r>
        <w:t>剩余2</w:t>
      </w:r>
      <w:r>
        <w:rPr>
          <w:rFonts w:hint="eastAsia"/>
        </w:rPr>
        <w:t>0</w:t>
      </w:r>
      <w:r>
        <w:t>6.77×10</w:t>
      </w:r>
      <w:r>
        <w:rPr>
          <w:vertAlign w:val="superscript"/>
        </w:rPr>
        <w:t>4</w:t>
      </w:r>
      <w:r>
        <w:t>m</w:t>
      </w:r>
      <w:r>
        <w:rPr>
          <w:vertAlign w:val="superscript"/>
        </w:rPr>
        <w:t>3</w:t>
      </w:r>
      <w:r>
        <w:t>。</w:t>
      </w:r>
    </w:p>
    <w:p>
      <w:pPr>
        <w:pStyle w:val="112"/>
        <w:ind w:firstLine="480"/>
      </w:pPr>
      <w:r>
        <w:t>本项目污水站及回注站依托工程可行性见表2.3-3。</w:t>
      </w:r>
    </w:p>
    <w:p>
      <w:pPr>
        <w:pStyle w:val="37"/>
        <w:rPr>
          <w:rFonts w:cs="Times New Roman"/>
        </w:rPr>
      </w:pPr>
      <w:r>
        <w:rPr>
          <w:rFonts w:cs="Times New Roman"/>
        </w:rPr>
        <w:t>表2.3-3  本项目污水站及回注站依托可行性</w:t>
      </w:r>
    </w:p>
    <w:tbl>
      <w:tblPr>
        <w:tblStyle w:val="57"/>
        <w:tblW w:w="86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108"/>
        <w:gridCol w:w="2410"/>
        <w:gridCol w:w="1021"/>
        <w:gridCol w:w="992"/>
        <w:gridCol w:w="1560"/>
        <w:gridCol w:w="6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tblHeader/>
          <w:jc w:val="center"/>
        </w:trPr>
        <w:tc>
          <w:tcPr>
            <w:tcW w:w="872" w:type="dxa"/>
            <w:vAlign w:val="center"/>
          </w:tcPr>
          <w:p>
            <w:pPr>
              <w:pStyle w:val="555"/>
              <w:rPr>
                <w:rFonts w:ascii="Times New Roman" w:hAnsi="Times New Roman"/>
                <w:b/>
                <w:bCs/>
              </w:rPr>
            </w:pPr>
            <w:r>
              <w:rPr>
                <w:rFonts w:ascii="Times New Roman" w:hAnsi="Times New Roman"/>
                <w:b/>
                <w:bCs/>
              </w:rPr>
              <w:t>依托工程名称</w:t>
            </w:r>
          </w:p>
        </w:tc>
        <w:tc>
          <w:tcPr>
            <w:tcW w:w="1108" w:type="dxa"/>
            <w:vAlign w:val="center"/>
          </w:tcPr>
          <w:p>
            <w:pPr>
              <w:pStyle w:val="555"/>
              <w:rPr>
                <w:rFonts w:ascii="Times New Roman" w:hAnsi="Times New Roman"/>
                <w:b/>
                <w:bCs/>
              </w:rPr>
            </w:pPr>
            <w:r>
              <w:rPr>
                <w:rFonts w:ascii="Times New Roman" w:hAnsi="Times New Roman"/>
                <w:b/>
                <w:bCs/>
              </w:rPr>
              <w:t>设计</w:t>
            </w:r>
          </w:p>
          <w:p>
            <w:pPr>
              <w:pStyle w:val="555"/>
              <w:rPr>
                <w:rFonts w:ascii="Times New Roman" w:hAnsi="Times New Roman"/>
                <w:b/>
                <w:bCs/>
              </w:rPr>
            </w:pPr>
            <w:r>
              <w:rPr>
                <w:rFonts w:ascii="Times New Roman" w:hAnsi="Times New Roman"/>
                <w:b/>
                <w:bCs/>
              </w:rPr>
              <w:t>规模（m</w:t>
            </w:r>
            <w:r>
              <w:rPr>
                <w:rFonts w:ascii="Times New Roman" w:hAnsi="Times New Roman"/>
                <w:b/>
                <w:bCs/>
                <w:vertAlign w:val="superscript"/>
              </w:rPr>
              <w:t>3</w:t>
            </w:r>
            <w:r>
              <w:rPr>
                <w:rFonts w:ascii="Times New Roman" w:hAnsi="Times New Roman"/>
                <w:b/>
                <w:bCs/>
              </w:rPr>
              <w:t>/d）</w:t>
            </w:r>
          </w:p>
        </w:tc>
        <w:tc>
          <w:tcPr>
            <w:tcW w:w="2410" w:type="dxa"/>
            <w:vAlign w:val="center"/>
          </w:tcPr>
          <w:p>
            <w:pPr>
              <w:pStyle w:val="555"/>
              <w:rPr>
                <w:rFonts w:ascii="Times New Roman" w:hAnsi="Times New Roman"/>
                <w:b/>
                <w:bCs/>
              </w:rPr>
            </w:pPr>
            <w:r>
              <w:rPr>
                <w:rFonts w:ascii="Times New Roman" w:hAnsi="Times New Roman"/>
                <w:b/>
                <w:bCs/>
              </w:rPr>
              <w:t>现处理规模</w:t>
            </w:r>
          </w:p>
          <w:p>
            <w:pPr>
              <w:pStyle w:val="555"/>
              <w:rPr>
                <w:rFonts w:ascii="Times New Roman" w:hAnsi="Times New Roman"/>
                <w:b/>
                <w:bCs/>
              </w:rPr>
            </w:pPr>
            <w:r>
              <w:rPr>
                <w:rFonts w:ascii="Times New Roman" w:hAnsi="Times New Roman"/>
                <w:b/>
                <w:bCs/>
              </w:rPr>
              <w:t>（m</w:t>
            </w:r>
            <w:r>
              <w:rPr>
                <w:rFonts w:ascii="Times New Roman" w:hAnsi="Times New Roman"/>
                <w:b/>
                <w:bCs/>
                <w:vertAlign w:val="superscript"/>
              </w:rPr>
              <w:t>3</w:t>
            </w:r>
            <w:r>
              <w:rPr>
                <w:rFonts w:ascii="Times New Roman" w:hAnsi="Times New Roman"/>
                <w:b/>
                <w:bCs/>
              </w:rPr>
              <w:t>/d）</w:t>
            </w:r>
          </w:p>
        </w:tc>
        <w:tc>
          <w:tcPr>
            <w:tcW w:w="1021" w:type="dxa"/>
            <w:vAlign w:val="center"/>
          </w:tcPr>
          <w:p>
            <w:pPr>
              <w:pStyle w:val="555"/>
              <w:rPr>
                <w:rFonts w:ascii="Times New Roman" w:hAnsi="Times New Roman"/>
                <w:b/>
                <w:bCs/>
              </w:rPr>
            </w:pPr>
            <w:r>
              <w:rPr>
                <w:rFonts w:ascii="Times New Roman" w:hAnsi="Times New Roman"/>
                <w:b/>
                <w:bCs/>
              </w:rPr>
              <w:t>在建项目处理量（m</w:t>
            </w:r>
            <w:r>
              <w:rPr>
                <w:rFonts w:ascii="Times New Roman" w:hAnsi="Times New Roman"/>
                <w:b/>
                <w:bCs/>
                <w:vertAlign w:val="superscript"/>
              </w:rPr>
              <w:t>3</w:t>
            </w:r>
            <w:r>
              <w:rPr>
                <w:rFonts w:ascii="Times New Roman" w:hAnsi="Times New Roman"/>
                <w:b/>
                <w:bCs/>
              </w:rPr>
              <w:t>/d）</w:t>
            </w:r>
          </w:p>
        </w:tc>
        <w:tc>
          <w:tcPr>
            <w:tcW w:w="992" w:type="dxa"/>
            <w:vAlign w:val="center"/>
          </w:tcPr>
          <w:p>
            <w:pPr>
              <w:pStyle w:val="555"/>
              <w:rPr>
                <w:rFonts w:ascii="Times New Roman" w:hAnsi="Times New Roman"/>
                <w:b/>
                <w:bCs/>
              </w:rPr>
            </w:pPr>
            <w:r>
              <w:rPr>
                <w:rFonts w:ascii="Times New Roman" w:hAnsi="Times New Roman"/>
                <w:b/>
                <w:bCs/>
              </w:rPr>
              <w:t>富余</w:t>
            </w:r>
          </w:p>
          <w:p>
            <w:pPr>
              <w:pStyle w:val="555"/>
              <w:rPr>
                <w:rFonts w:ascii="Times New Roman" w:hAnsi="Times New Roman"/>
                <w:b/>
                <w:bCs/>
              </w:rPr>
            </w:pPr>
            <w:r>
              <w:rPr>
                <w:rFonts w:ascii="Times New Roman" w:hAnsi="Times New Roman"/>
                <w:b/>
                <w:bCs/>
              </w:rPr>
              <w:t>能力（m</w:t>
            </w:r>
            <w:r>
              <w:rPr>
                <w:rFonts w:ascii="Times New Roman" w:hAnsi="Times New Roman"/>
                <w:b/>
                <w:bCs/>
                <w:vertAlign w:val="superscript"/>
              </w:rPr>
              <w:t>3</w:t>
            </w:r>
            <w:r>
              <w:rPr>
                <w:rFonts w:ascii="Times New Roman" w:hAnsi="Times New Roman"/>
                <w:b/>
                <w:bCs/>
              </w:rPr>
              <w:t>/d）</w:t>
            </w:r>
          </w:p>
        </w:tc>
        <w:tc>
          <w:tcPr>
            <w:tcW w:w="1560" w:type="dxa"/>
            <w:vAlign w:val="center"/>
          </w:tcPr>
          <w:p>
            <w:pPr>
              <w:pStyle w:val="555"/>
              <w:rPr>
                <w:rFonts w:ascii="Times New Roman" w:hAnsi="Times New Roman"/>
                <w:b/>
                <w:bCs/>
              </w:rPr>
            </w:pPr>
            <w:r>
              <w:rPr>
                <w:rFonts w:ascii="Times New Roman" w:hAnsi="Times New Roman"/>
                <w:b/>
                <w:bCs/>
              </w:rPr>
              <w:t>本项目处理量（m</w:t>
            </w:r>
            <w:r>
              <w:rPr>
                <w:rFonts w:ascii="Times New Roman" w:hAnsi="Times New Roman"/>
                <w:b/>
                <w:bCs/>
                <w:vertAlign w:val="superscript"/>
              </w:rPr>
              <w:t>3</w:t>
            </w:r>
            <w:r>
              <w:rPr>
                <w:rFonts w:ascii="Times New Roman" w:hAnsi="Times New Roman"/>
                <w:b/>
                <w:bCs/>
              </w:rPr>
              <w:t>）</w:t>
            </w:r>
          </w:p>
        </w:tc>
        <w:tc>
          <w:tcPr>
            <w:tcW w:w="679" w:type="dxa"/>
            <w:vAlign w:val="center"/>
          </w:tcPr>
          <w:p>
            <w:pPr>
              <w:pStyle w:val="555"/>
              <w:rPr>
                <w:rFonts w:ascii="Times New Roman" w:hAnsi="Times New Roman"/>
                <w:b/>
                <w:bCs/>
              </w:rPr>
            </w:pPr>
            <w:r>
              <w:rPr>
                <w:rFonts w:ascii="Times New Roman" w:hAnsi="Times New Roman"/>
                <w:b/>
                <w:bCs/>
              </w:rPr>
              <w:t>是否可行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2" w:type="dxa"/>
            <w:vMerge w:val="restart"/>
            <w:vAlign w:val="center"/>
          </w:tcPr>
          <w:p>
            <w:pPr>
              <w:pStyle w:val="555"/>
              <w:rPr>
                <w:rFonts w:ascii="Times New Roman" w:hAnsi="Times New Roman"/>
              </w:rPr>
            </w:pPr>
            <w:r>
              <w:rPr>
                <w:rFonts w:ascii="Times New Roman" w:hAnsi="Times New Roman"/>
              </w:rPr>
              <w:t>大湾403污水站</w:t>
            </w:r>
          </w:p>
        </w:tc>
        <w:tc>
          <w:tcPr>
            <w:tcW w:w="1108" w:type="dxa"/>
            <w:vMerge w:val="restart"/>
            <w:vAlign w:val="center"/>
          </w:tcPr>
          <w:p>
            <w:pPr>
              <w:pStyle w:val="555"/>
              <w:rPr>
                <w:rFonts w:ascii="Times New Roman" w:hAnsi="Times New Roman"/>
              </w:rPr>
            </w:pPr>
            <w:r>
              <w:rPr>
                <w:rFonts w:ascii="Times New Roman" w:hAnsi="Times New Roman"/>
              </w:rPr>
              <w:t>120</w:t>
            </w:r>
          </w:p>
        </w:tc>
        <w:tc>
          <w:tcPr>
            <w:tcW w:w="2410" w:type="dxa"/>
            <w:vAlign w:val="center"/>
          </w:tcPr>
          <w:p>
            <w:pPr>
              <w:pStyle w:val="555"/>
              <w:rPr>
                <w:rFonts w:ascii="Times New Roman" w:hAnsi="Times New Roman"/>
              </w:rPr>
            </w:pPr>
            <w:r>
              <w:rPr>
                <w:rFonts w:ascii="Times New Roman" w:hAnsi="Times New Roman"/>
              </w:rPr>
              <w:t>M503集气站：15～20</w:t>
            </w:r>
          </w:p>
        </w:tc>
        <w:tc>
          <w:tcPr>
            <w:tcW w:w="1021" w:type="dxa"/>
            <w:vMerge w:val="restart"/>
            <w:vAlign w:val="center"/>
          </w:tcPr>
          <w:p>
            <w:pPr>
              <w:pStyle w:val="555"/>
              <w:rPr>
                <w:rFonts w:ascii="Times New Roman" w:hAnsi="Times New Roman"/>
              </w:rPr>
            </w:pPr>
            <w:r>
              <w:rPr>
                <w:rFonts w:ascii="Times New Roman" w:hAnsi="Times New Roman"/>
              </w:rPr>
              <w:t>0</w:t>
            </w:r>
          </w:p>
        </w:tc>
        <w:tc>
          <w:tcPr>
            <w:tcW w:w="992" w:type="dxa"/>
            <w:vMerge w:val="restart"/>
            <w:vAlign w:val="center"/>
          </w:tcPr>
          <w:p>
            <w:pPr>
              <w:pStyle w:val="555"/>
              <w:rPr>
                <w:rFonts w:ascii="Times New Roman" w:hAnsi="Times New Roman"/>
              </w:rPr>
            </w:pPr>
            <w:r>
              <w:rPr>
                <w:rFonts w:ascii="Times New Roman" w:hAnsi="Times New Roman"/>
              </w:rPr>
              <w:t>30～50</w:t>
            </w:r>
          </w:p>
        </w:tc>
        <w:tc>
          <w:tcPr>
            <w:tcW w:w="1560" w:type="dxa"/>
            <w:vMerge w:val="restart"/>
            <w:vAlign w:val="center"/>
          </w:tcPr>
          <w:p>
            <w:pPr>
              <w:pStyle w:val="555"/>
              <w:rPr>
                <w:rFonts w:ascii="Times New Roman" w:hAnsi="Times New Roman"/>
              </w:rPr>
            </w:pPr>
            <w:r>
              <w:rPr>
                <w:rFonts w:hint="eastAsia" w:ascii="Times New Roman" w:hAnsi="Times New Roman"/>
              </w:rPr>
              <w:t>施工期：3914.6</w:t>
            </w:r>
            <w:r>
              <w:rPr>
                <w:rFonts w:ascii="Times New Roman" w:hAnsi="Times New Roman"/>
              </w:rPr>
              <w:t>m</w:t>
            </w:r>
            <w:r>
              <w:rPr>
                <w:rFonts w:ascii="Times New Roman" w:hAnsi="Times New Roman"/>
                <w:vertAlign w:val="superscript"/>
              </w:rPr>
              <w:t>3</w:t>
            </w:r>
            <w:r>
              <w:rPr>
                <w:rFonts w:hint="eastAsia" w:ascii="Times New Roman" w:hAnsi="Times New Roman"/>
              </w:rPr>
              <w:t>，</w:t>
            </w:r>
            <w:r>
              <w:rPr>
                <w:rFonts w:ascii="Times New Roman"/>
              </w:rPr>
              <w:t>按处理量</w:t>
            </w:r>
            <w:r>
              <w:rPr>
                <w:rFonts w:ascii="Times New Roman" w:hAnsi="Times New Roman"/>
              </w:rPr>
              <w:t>10m</w:t>
            </w:r>
            <w:r>
              <w:rPr>
                <w:rFonts w:ascii="Times New Roman" w:hAnsi="Times New Roman"/>
                <w:vertAlign w:val="superscript"/>
              </w:rPr>
              <w:t>3</w:t>
            </w:r>
            <w:r>
              <w:rPr>
                <w:rFonts w:ascii="Times New Roman" w:hAnsi="Times New Roman"/>
              </w:rPr>
              <w:t>/d</w:t>
            </w:r>
            <w:r>
              <w:rPr>
                <w:rFonts w:ascii="Times New Roman"/>
              </w:rPr>
              <w:t>，可</w:t>
            </w:r>
            <w:r>
              <w:rPr>
                <w:rFonts w:hint="eastAsia" w:ascii="Times New Roman" w:hAnsi="Times New Roman"/>
              </w:rPr>
              <w:t>392</w:t>
            </w:r>
            <w:r>
              <w:rPr>
                <w:rFonts w:ascii="Times New Roman" w:hAnsi="Times New Roman"/>
              </w:rPr>
              <w:t>d</w:t>
            </w:r>
            <w:r>
              <w:rPr>
                <w:rFonts w:ascii="Times New Roman"/>
              </w:rPr>
              <w:t>处理完成。项目运营期气田水产生量为</w:t>
            </w:r>
            <w:r>
              <w:rPr>
                <w:rFonts w:hint="eastAsia" w:ascii="Times New Roman"/>
              </w:rPr>
              <w:t>3</w:t>
            </w:r>
            <w:r>
              <w:rPr>
                <w:rFonts w:ascii="Times New Roman"/>
              </w:rPr>
              <w:t>m</w:t>
            </w:r>
            <w:r>
              <w:rPr>
                <w:rFonts w:ascii="Times New Roman"/>
                <w:vertAlign w:val="superscript"/>
              </w:rPr>
              <w:t>3</w:t>
            </w:r>
            <w:r>
              <w:rPr>
                <w:rFonts w:ascii="Times New Roman"/>
              </w:rPr>
              <w:t>/d</w:t>
            </w:r>
            <w:r>
              <w:rPr>
                <w:rFonts w:hint="eastAsia" w:ascii="Times New Roman"/>
              </w:rPr>
              <w:t>，</w:t>
            </w:r>
            <w:r>
              <w:rPr>
                <w:rFonts w:ascii="Times New Roman"/>
              </w:rPr>
              <w:t>可</w:t>
            </w:r>
            <w:r>
              <w:rPr>
                <w:rFonts w:hint="eastAsia" w:ascii="Times New Roman"/>
              </w:rPr>
              <w:t>1</w:t>
            </w:r>
            <w:r>
              <w:rPr>
                <w:rFonts w:ascii="Times New Roman" w:hAnsi="Times New Roman"/>
              </w:rPr>
              <w:t>d</w:t>
            </w:r>
            <w:r>
              <w:rPr>
                <w:rFonts w:ascii="Times New Roman"/>
              </w:rPr>
              <w:t>处理完成。</w:t>
            </w:r>
          </w:p>
        </w:tc>
        <w:tc>
          <w:tcPr>
            <w:tcW w:w="679" w:type="dxa"/>
            <w:vMerge w:val="restart"/>
            <w:vAlign w:val="center"/>
          </w:tcPr>
          <w:p>
            <w:pPr>
              <w:pStyle w:val="555"/>
              <w:rPr>
                <w:rFonts w:ascii="Times New Roman" w:hAnsi="Times New Roman"/>
              </w:rPr>
            </w:pPr>
            <w:r>
              <w:rPr>
                <w:rFonts w:ascii="Times New Roman" w:hAnsi="Times New Roman"/>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2" w:type="dxa"/>
            <w:vMerge w:val="continue"/>
            <w:vAlign w:val="center"/>
          </w:tcPr>
          <w:p>
            <w:pPr>
              <w:pStyle w:val="555"/>
              <w:rPr>
                <w:rFonts w:ascii="Times New Roman" w:hAnsi="Times New Roman"/>
              </w:rPr>
            </w:pPr>
          </w:p>
        </w:tc>
        <w:tc>
          <w:tcPr>
            <w:tcW w:w="1108" w:type="dxa"/>
            <w:vMerge w:val="continue"/>
            <w:vAlign w:val="center"/>
          </w:tcPr>
          <w:p>
            <w:pPr>
              <w:pStyle w:val="555"/>
              <w:rPr>
                <w:rFonts w:ascii="Times New Roman" w:hAnsi="Times New Roman"/>
              </w:rPr>
            </w:pPr>
          </w:p>
        </w:tc>
        <w:tc>
          <w:tcPr>
            <w:tcW w:w="2410" w:type="dxa"/>
            <w:vAlign w:val="center"/>
          </w:tcPr>
          <w:p>
            <w:pPr>
              <w:pStyle w:val="555"/>
              <w:rPr>
                <w:rFonts w:ascii="Times New Roman" w:hAnsi="Times New Roman"/>
              </w:rPr>
            </w:pPr>
            <w:r>
              <w:rPr>
                <w:rFonts w:ascii="Times New Roman" w:hAnsi="Times New Roman"/>
              </w:rPr>
              <w:t>M502集气站：5</w:t>
            </w:r>
          </w:p>
        </w:tc>
        <w:tc>
          <w:tcPr>
            <w:tcW w:w="1021" w:type="dxa"/>
            <w:vMerge w:val="continue"/>
            <w:vAlign w:val="center"/>
          </w:tcPr>
          <w:p>
            <w:pPr>
              <w:pStyle w:val="555"/>
              <w:rPr>
                <w:rFonts w:ascii="Times New Roman" w:hAnsi="Times New Roman"/>
              </w:rPr>
            </w:pPr>
          </w:p>
        </w:tc>
        <w:tc>
          <w:tcPr>
            <w:tcW w:w="992" w:type="dxa"/>
            <w:vMerge w:val="continue"/>
            <w:vAlign w:val="center"/>
          </w:tcPr>
          <w:p>
            <w:pPr>
              <w:pStyle w:val="555"/>
              <w:rPr>
                <w:rFonts w:ascii="Times New Roman" w:hAnsi="Times New Roman"/>
              </w:rPr>
            </w:pPr>
          </w:p>
        </w:tc>
        <w:tc>
          <w:tcPr>
            <w:tcW w:w="1560" w:type="dxa"/>
            <w:vMerge w:val="continue"/>
            <w:vAlign w:val="center"/>
          </w:tcPr>
          <w:p>
            <w:pPr>
              <w:pStyle w:val="555"/>
              <w:rPr>
                <w:rFonts w:ascii="Times New Roman" w:hAnsi="Times New Roman"/>
              </w:rPr>
            </w:pPr>
          </w:p>
        </w:tc>
        <w:tc>
          <w:tcPr>
            <w:tcW w:w="679" w:type="dxa"/>
            <w:vMerge w:val="continue"/>
            <w:vAlign w:val="center"/>
          </w:tcPr>
          <w:p>
            <w:pPr>
              <w:pStyle w:val="555"/>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72" w:type="dxa"/>
            <w:vMerge w:val="continue"/>
            <w:vAlign w:val="center"/>
          </w:tcPr>
          <w:p>
            <w:pPr>
              <w:pStyle w:val="555"/>
              <w:rPr>
                <w:rFonts w:ascii="Times New Roman" w:hAnsi="Times New Roman"/>
              </w:rPr>
            </w:pPr>
          </w:p>
        </w:tc>
        <w:tc>
          <w:tcPr>
            <w:tcW w:w="1108" w:type="dxa"/>
            <w:vMerge w:val="continue"/>
            <w:vAlign w:val="center"/>
          </w:tcPr>
          <w:p>
            <w:pPr>
              <w:pStyle w:val="555"/>
              <w:rPr>
                <w:rFonts w:ascii="Times New Roman" w:hAnsi="Times New Roman"/>
              </w:rPr>
            </w:pPr>
          </w:p>
        </w:tc>
        <w:tc>
          <w:tcPr>
            <w:tcW w:w="2410" w:type="dxa"/>
            <w:vAlign w:val="center"/>
          </w:tcPr>
          <w:p>
            <w:pPr>
              <w:pStyle w:val="555"/>
              <w:rPr>
                <w:rFonts w:ascii="Times New Roman" w:hAnsi="Times New Roman"/>
              </w:rPr>
            </w:pPr>
            <w:r>
              <w:rPr>
                <w:rFonts w:ascii="Times New Roman" w:hAnsi="Times New Roman"/>
              </w:rPr>
              <w:t>M501集气站：5～10</w:t>
            </w:r>
          </w:p>
        </w:tc>
        <w:tc>
          <w:tcPr>
            <w:tcW w:w="1021" w:type="dxa"/>
            <w:vMerge w:val="continue"/>
            <w:vAlign w:val="center"/>
          </w:tcPr>
          <w:p>
            <w:pPr>
              <w:pStyle w:val="555"/>
              <w:rPr>
                <w:rFonts w:ascii="Times New Roman" w:hAnsi="Times New Roman"/>
              </w:rPr>
            </w:pPr>
          </w:p>
        </w:tc>
        <w:tc>
          <w:tcPr>
            <w:tcW w:w="992" w:type="dxa"/>
            <w:vMerge w:val="continue"/>
            <w:vAlign w:val="center"/>
          </w:tcPr>
          <w:p>
            <w:pPr>
              <w:pStyle w:val="555"/>
              <w:rPr>
                <w:rFonts w:ascii="Times New Roman" w:hAnsi="Times New Roman"/>
              </w:rPr>
            </w:pPr>
          </w:p>
        </w:tc>
        <w:tc>
          <w:tcPr>
            <w:tcW w:w="1560" w:type="dxa"/>
            <w:vMerge w:val="continue"/>
            <w:vAlign w:val="center"/>
          </w:tcPr>
          <w:p>
            <w:pPr>
              <w:pStyle w:val="555"/>
              <w:rPr>
                <w:rFonts w:ascii="Times New Roman" w:hAnsi="Times New Roman"/>
              </w:rPr>
            </w:pPr>
          </w:p>
        </w:tc>
        <w:tc>
          <w:tcPr>
            <w:tcW w:w="679" w:type="dxa"/>
            <w:vMerge w:val="continue"/>
            <w:vAlign w:val="center"/>
          </w:tcPr>
          <w:p>
            <w:pPr>
              <w:pStyle w:val="555"/>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2" w:type="dxa"/>
            <w:vMerge w:val="continue"/>
            <w:vAlign w:val="center"/>
          </w:tcPr>
          <w:p>
            <w:pPr>
              <w:pStyle w:val="555"/>
              <w:rPr>
                <w:rFonts w:ascii="Times New Roman" w:hAnsi="Times New Roman"/>
              </w:rPr>
            </w:pPr>
          </w:p>
        </w:tc>
        <w:tc>
          <w:tcPr>
            <w:tcW w:w="1108" w:type="dxa"/>
            <w:vMerge w:val="continue"/>
            <w:vAlign w:val="center"/>
          </w:tcPr>
          <w:p>
            <w:pPr>
              <w:pStyle w:val="555"/>
              <w:rPr>
                <w:rFonts w:ascii="Times New Roman" w:hAnsi="Times New Roman"/>
              </w:rPr>
            </w:pPr>
          </w:p>
        </w:tc>
        <w:tc>
          <w:tcPr>
            <w:tcW w:w="2410" w:type="dxa"/>
            <w:vAlign w:val="center"/>
          </w:tcPr>
          <w:p>
            <w:pPr>
              <w:pStyle w:val="555"/>
              <w:rPr>
                <w:rFonts w:ascii="Times New Roman" w:hAnsi="Times New Roman"/>
              </w:rPr>
            </w:pPr>
            <w:r>
              <w:rPr>
                <w:rFonts w:ascii="Times New Roman" w:hAnsi="Times New Roman"/>
              </w:rPr>
              <w:t>D405集气站：20～25</w:t>
            </w:r>
          </w:p>
        </w:tc>
        <w:tc>
          <w:tcPr>
            <w:tcW w:w="1021" w:type="dxa"/>
            <w:vMerge w:val="continue"/>
            <w:vAlign w:val="center"/>
          </w:tcPr>
          <w:p>
            <w:pPr>
              <w:pStyle w:val="555"/>
              <w:rPr>
                <w:rFonts w:ascii="Times New Roman" w:hAnsi="Times New Roman"/>
              </w:rPr>
            </w:pPr>
          </w:p>
        </w:tc>
        <w:tc>
          <w:tcPr>
            <w:tcW w:w="992" w:type="dxa"/>
            <w:vMerge w:val="continue"/>
            <w:vAlign w:val="center"/>
          </w:tcPr>
          <w:p>
            <w:pPr>
              <w:pStyle w:val="555"/>
              <w:rPr>
                <w:rFonts w:ascii="Times New Roman" w:hAnsi="Times New Roman"/>
              </w:rPr>
            </w:pPr>
          </w:p>
        </w:tc>
        <w:tc>
          <w:tcPr>
            <w:tcW w:w="1560" w:type="dxa"/>
            <w:vMerge w:val="continue"/>
            <w:vAlign w:val="center"/>
          </w:tcPr>
          <w:p>
            <w:pPr>
              <w:pStyle w:val="555"/>
              <w:rPr>
                <w:rFonts w:ascii="Times New Roman" w:hAnsi="Times New Roman"/>
              </w:rPr>
            </w:pPr>
          </w:p>
        </w:tc>
        <w:tc>
          <w:tcPr>
            <w:tcW w:w="679" w:type="dxa"/>
            <w:vMerge w:val="continue"/>
            <w:vAlign w:val="center"/>
          </w:tcPr>
          <w:p>
            <w:pPr>
              <w:pStyle w:val="555"/>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72" w:type="dxa"/>
            <w:vMerge w:val="continue"/>
            <w:vAlign w:val="center"/>
          </w:tcPr>
          <w:p>
            <w:pPr>
              <w:pStyle w:val="555"/>
              <w:rPr>
                <w:rFonts w:ascii="Times New Roman" w:hAnsi="Times New Roman"/>
              </w:rPr>
            </w:pPr>
          </w:p>
        </w:tc>
        <w:tc>
          <w:tcPr>
            <w:tcW w:w="1108" w:type="dxa"/>
            <w:vMerge w:val="continue"/>
            <w:vAlign w:val="center"/>
          </w:tcPr>
          <w:p>
            <w:pPr>
              <w:pStyle w:val="555"/>
              <w:rPr>
                <w:rFonts w:ascii="Times New Roman" w:hAnsi="Times New Roman"/>
              </w:rPr>
            </w:pPr>
          </w:p>
        </w:tc>
        <w:tc>
          <w:tcPr>
            <w:tcW w:w="2410" w:type="dxa"/>
            <w:vAlign w:val="center"/>
          </w:tcPr>
          <w:p>
            <w:pPr>
              <w:pStyle w:val="555"/>
              <w:rPr>
                <w:rFonts w:ascii="Times New Roman" w:hAnsi="Times New Roman"/>
              </w:rPr>
            </w:pPr>
            <w:r>
              <w:rPr>
                <w:rFonts w:ascii="Times New Roman" w:hAnsi="Times New Roman"/>
              </w:rPr>
              <w:t>D404集气站：20</w:t>
            </w:r>
          </w:p>
        </w:tc>
        <w:tc>
          <w:tcPr>
            <w:tcW w:w="1021" w:type="dxa"/>
            <w:vMerge w:val="continue"/>
            <w:vAlign w:val="center"/>
          </w:tcPr>
          <w:p>
            <w:pPr>
              <w:pStyle w:val="555"/>
              <w:rPr>
                <w:rFonts w:ascii="Times New Roman" w:hAnsi="Times New Roman"/>
              </w:rPr>
            </w:pPr>
          </w:p>
        </w:tc>
        <w:tc>
          <w:tcPr>
            <w:tcW w:w="992" w:type="dxa"/>
            <w:vMerge w:val="continue"/>
            <w:vAlign w:val="center"/>
          </w:tcPr>
          <w:p>
            <w:pPr>
              <w:pStyle w:val="555"/>
              <w:rPr>
                <w:rFonts w:ascii="Times New Roman" w:hAnsi="Times New Roman"/>
              </w:rPr>
            </w:pPr>
          </w:p>
        </w:tc>
        <w:tc>
          <w:tcPr>
            <w:tcW w:w="1560" w:type="dxa"/>
            <w:vMerge w:val="continue"/>
            <w:vAlign w:val="center"/>
          </w:tcPr>
          <w:p>
            <w:pPr>
              <w:pStyle w:val="555"/>
              <w:rPr>
                <w:rFonts w:ascii="Times New Roman" w:hAnsi="Times New Roman"/>
              </w:rPr>
            </w:pPr>
          </w:p>
        </w:tc>
        <w:tc>
          <w:tcPr>
            <w:tcW w:w="679" w:type="dxa"/>
            <w:vMerge w:val="continue"/>
            <w:vAlign w:val="center"/>
          </w:tcPr>
          <w:p>
            <w:pPr>
              <w:pStyle w:val="555"/>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2" w:type="dxa"/>
            <w:vMerge w:val="continue"/>
            <w:vAlign w:val="center"/>
          </w:tcPr>
          <w:p>
            <w:pPr>
              <w:pStyle w:val="555"/>
              <w:rPr>
                <w:rFonts w:ascii="Times New Roman" w:hAnsi="Times New Roman"/>
              </w:rPr>
            </w:pPr>
          </w:p>
        </w:tc>
        <w:tc>
          <w:tcPr>
            <w:tcW w:w="1108" w:type="dxa"/>
            <w:vMerge w:val="continue"/>
            <w:vAlign w:val="center"/>
          </w:tcPr>
          <w:p>
            <w:pPr>
              <w:pStyle w:val="555"/>
              <w:rPr>
                <w:rFonts w:ascii="Times New Roman" w:hAnsi="Times New Roman"/>
              </w:rPr>
            </w:pPr>
          </w:p>
        </w:tc>
        <w:tc>
          <w:tcPr>
            <w:tcW w:w="2410" w:type="dxa"/>
            <w:vAlign w:val="center"/>
          </w:tcPr>
          <w:p>
            <w:pPr>
              <w:pStyle w:val="555"/>
              <w:rPr>
                <w:rFonts w:ascii="Times New Roman" w:hAnsi="Times New Roman"/>
              </w:rPr>
            </w:pPr>
            <w:r>
              <w:rPr>
                <w:rFonts w:ascii="Times New Roman" w:hAnsi="Times New Roman"/>
              </w:rPr>
              <w:t>D403集气站：5～10</w:t>
            </w:r>
          </w:p>
        </w:tc>
        <w:tc>
          <w:tcPr>
            <w:tcW w:w="1021" w:type="dxa"/>
            <w:vMerge w:val="continue"/>
            <w:vAlign w:val="center"/>
          </w:tcPr>
          <w:p>
            <w:pPr>
              <w:pStyle w:val="555"/>
              <w:rPr>
                <w:rFonts w:ascii="Times New Roman" w:hAnsi="Times New Roman"/>
              </w:rPr>
            </w:pPr>
          </w:p>
        </w:tc>
        <w:tc>
          <w:tcPr>
            <w:tcW w:w="992" w:type="dxa"/>
            <w:vMerge w:val="continue"/>
            <w:vAlign w:val="center"/>
          </w:tcPr>
          <w:p>
            <w:pPr>
              <w:pStyle w:val="555"/>
              <w:rPr>
                <w:rFonts w:ascii="Times New Roman" w:hAnsi="Times New Roman"/>
              </w:rPr>
            </w:pPr>
          </w:p>
        </w:tc>
        <w:tc>
          <w:tcPr>
            <w:tcW w:w="1560" w:type="dxa"/>
            <w:vMerge w:val="continue"/>
            <w:vAlign w:val="center"/>
          </w:tcPr>
          <w:p>
            <w:pPr>
              <w:pStyle w:val="555"/>
              <w:rPr>
                <w:rFonts w:ascii="Times New Roman" w:hAnsi="Times New Roman"/>
              </w:rPr>
            </w:pPr>
          </w:p>
        </w:tc>
        <w:tc>
          <w:tcPr>
            <w:tcW w:w="679" w:type="dxa"/>
            <w:vMerge w:val="continue"/>
            <w:vAlign w:val="center"/>
          </w:tcPr>
          <w:p>
            <w:pPr>
              <w:pStyle w:val="555"/>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2" w:type="dxa"/>
            <w:vMerge w:val="continue"/>
            <w:vAlign w:val="center"/>
          </w:tcPr>
          <w:p>
            <w:pPr>
              <w:pStyle w:val="555"/>
              <w:rPr>
                <w:rFonts w:ascii="Times New Roman" w:hAnsi="Times New Roman"/>
              </w:rPr>
            </w:pPr>
          </w:p>
        </w:tc>
        <w:tc>
          <w:tcPr>
            <w:tcW w:w="1108" w:type="dxa"/>
            <w:vMerge w:val="continue"/>
            <w:vAlign w:val="center"/>
          </w:tcPr>
          <w:p>
            <w:pPr>
              <w:pStyle w:val="555"/>
              <w:rPr>
                <w:rFonts w:ascii="Times New Roman" w:hAnsi="Times New Roman"/>
              </w:rPr>
            </w:pPr>
          </w:p>
        </w:tc>
        <w:tc>
          <w:tcPr>
            <w:tcW w:w="2410" w:type="dxa"/>
            <w:vAlign w:val="center"/>
          </w:tcPr>
          <w:p>
            <w:pPr>
              <w:pStyle w:val="555"/>
              <w:rPr>
                <w:rFonts w:ascii="Times New Roman" w:hAnsi="Times New Roman"/>
              </w:rPr>
            </w:pPr>
            <w:r>
              <w:rPr>
                <w:rFonts w:ascii="Times New Roman" w:hAnsi="Times New Roman"/>
              </w:rPr>
              <w:t>合计：70～90</w:t>
            </w:r>
          </w:p>
        </w:tc>
        <w:tc>
          <w:tcPr>
            <w:tcW w:w="1021" w:type="dxa"/>
            <w:vMerge w:val="continue"/>
            <w:vAlign w:val="center"/>
          </w:tcPr>
          <w:p>
            <w:pPr>
              <w:pStyle w:val="555"/>
              <w:rPr>
                <w:rFonts w:ascii="Times New Roman" w:hAnsi="Times New Roman"/>
              </w:rPr>
            </w:pPr>
          </w:p>
        </w:tc>
        <w:tc>
          <w:tcPr>
            <w:tcW w:w="992" w:type="dxa"/>
            <w:vMerge w:val="continue"/>
            <w:vAlign w:val="center"/>
          </w:tcPr>
          <w:p>
            <w:pPr>
              <w:pStyle w:val="555"/>
              <w:rPr>
                <w:rFonts w:ascii="Times New Roman" w:hAnsi="Times New Roman"/>
              </w:rPr>
            </w:pPr>
          </w:p>
        </w:tc>
        <w:tc>
          <w:tcPr>
            <w:tcW w:w="1560" w:type="dxa"/>
            <w:vMerge w:val="continue"/>
            <w:vAlign w:val="center"/>
          </w:tcPr>
          <w:p>
            <w:pPr>
              <w:pStyle w:val="555"/>
              <w:rPr>
                <w:rFonts w:ascii="Times New Roman" w:hAnsi="Times New Roman"/>
              </w:rPr>
            </w:pPr>
          </w:p>
        </w:tc>
        <w:tc>
          <w:tcPr>
            <w:tcW w:w="679" w:type="dxa"/>
            <w:vMerge w:val="continue"/>
            <w:vAlign w:val="center"/>
          </w:tcPr>
          <w:p>
            <w:pPr>
              <w:pStyle w:val="555"/>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872" w:type="dxa"/>
            <w:vMerge w:val="restart"/>
            <w:vAlign w:val="center"/>
          </w:tcPr>
          <w:p>
            <w:pPr>
              <w:pStyle w:val="555"/>
              <w:rPr>
                <w:rFonts w:ascii="Times New Roman" w:hAnsi="Times New Roman"/>
              </w:rPr>
            </w:pPr>
            <w:r>
              <w:rPr>
                <w:rFonts w:ascii="Times New Roman" w:hAnsi="Times New Roman"/>
              </w:rPr>
              <w:t>毛开1井回注站</w:t>
            </w:r>
          </w:p>
        </w:tc>
        <w:tc>
          <w:tcPr>
            <w:tcW w:w="1108" w:type="dxa"/>
            <w:vMerge w:val="restart"/>
            <w:vAlign w:val="center"/>
          </w:tcPr>
          <w:p>
            <w:pPr>
              <w:pStyle w:val="555"/>
              <w:rPr>
                <w:rFonts w:ascii="Times New Roman" w:hAnsi="Times New Roman"/>
              </w:rPr>
            </w:pPr>
            <w:r>
              <w:rPr>
                <w:rFonts w:ascii="Times New Roman" w:hAnsi="Times New Roman"/>
              </w:rPr>
              <w:t>120</w:t>
            </w:r>
          </w:p>
        </w:tc>
        <w:tc>
          <w:tcPr>
            <w:tcW w:w="2410" w:type="dxa"/>
            <w:vAlign w:val="center"/>
          </w:tcPr>
          <w:p>
            <w:pPr>
              <w:pStyle w:val="555"/>
              <w:rPr>
                <w:rFonts w:ascii="Times New Roman" w:hAnsi="Times New Roman"/>
              </w:rPr>
            </w:pPr>
            <w:r>
              <w:rPr>
                <w:rFonts w:ascii="Times New Roman" w:hAnsi="Times New Roman"/>
              </w:rPr>
              <w:t>M503集气站：15～20</w:t>
            </w:r>
          </w:p>
        </w:tc>
        <w:tc>
          <w:tcPr>
            <w:tcW w:w="1021" w:type="dxa"/>
            <w:vMerge w:val="restart"/>
            <w:vAlign w:val="center"/>
          </w:tcPr>
          <w:p>
            <w:pPr>
              <w:pStyle w:val="555"/>
              <w:rPr>
                <w:rFonts w:ascii="Times New Roman" w:hAnsi="Times New Roman"/>
              </w:rPr>
            </w:pPr>
            <w:r>
              <w:rPr>
                <w:rFonts w:ascii="Times New Roman" w:hAnsi="Times New Roman"/>
              </w:rPr>
              <w:t>0</w:t>
            </w:r>
          </w:p>
        </w:tc>
        <w:tc>
          <w:tcPr>
            <w:tcW w:w="992" w:type="dxa"/>
            <w:vMerge w:val="restart"/>
            <w:vAlign w:val="center"/>
          </w:tcPr>
          <w:p>
            <w:pPr>
              <w:pStyle w:val="555"/>
              <w:rPr>
                <w:rFonts w:ascii="Times New Roman" w:hAnsi="Times New Roman"/>
              </w:rPr>
            </w:pPr>
            <w:r>
              <w:rPr>
                <w:rFonts w:ascii="Times New Roman" w:hAnsi="Times New Roman"/>
              </w:rPr>
              <w:t>30～50</w:t>
            </w:r>
          </w:p>
        </w:tc>
        <w:tc>
          <w:tcPr>
            <w:tcW w:w="1560" w:type="dxa"/>
            <w:vMerge w:val="restart"/>
            <w:vAlign w:val="center"/>
          </w:tcPr>
          <w:p>
            <w:pPr>
              <w:pStyle w:val="555"/>
              <w:rPr>
                <w:rFonts w:ascii="Times New Roman"/>
              </w:rPr>
            </w:pPr>
            <w:bookmarkStart w:id="104" w:name="_Hlk109861576"/>
            <w:r>
              <w:rPr>
                <w:rFonts w:ascii="Times New Roman"/>
              </w:rPr>
              <w:t>施工期：</w:t>
            </w:r>
            <w:r>
              <w:rPr>
                <w:rFonts w:hint="eastAsia" w:ascii="Times New Roman" w:hAnsi="Times New Roman"/>
              </w:rPr>
              <w:t>3914.6</w:t>
            </w:r>
            <w:r>
              <w:rPr>
                <w:rFonts w:ascii="Times New Roman"/>
              </w:rPr>
              <w:t>m</w:t>
            </w:r>
            <w:r>
              <w:rPr>
                <w:rFonts w:ascii="Times New Roman"/>
                <w:vertAlign w:val="superscript"/>
              </w:rPr>
              <w:t>3</w:t>
            </w:r>
          </w:p>
          <w:p>
            <w:pPr>
              <w:pStyle w:val="555"/>
              <w:rPr>
                <w:rFonts w:ascii="Times New Roman" w:hAnsi="Times New Roman"/>
              </w:rPr>
            </w:pPr>
            <w:r>
              <w:rPr>
                <w:rFonts w:ascii="Times New Roman" w:hAnsi="Times New Roman"/>
              </w:rPr>
              <w:t>按回注量10m</w:t>
            </w:r>
            <w:r>
              <w:rPr>
                <w:rFonts w:ascii="Times New Roman" w:hAnsi="Times New Roman"/>
                <w:vertAlign w:val="superscript"/>
              </w:rPr>
              <w:t>3</w:t>
            </w:r>
            <w:r>
              <w:rPr>
                <w:rFonts w:ascii="Times New Roman" w:hAnsi="Times New Roman"/>
              </w:rPr>
              <w:t>/d，可</w:t>
            </w:r>
            <w:r>
              <w:rPr>
                <w:rFonts w:hint="eastAsia" w:ascii="Times New Roman" w:hAnsi="Times New Roman"/>
              </w:rPr>
              <w:t>392</w:t>
            </w:r>
            <w:r>
              <w:rPr>
                <w:rFonts w:ascii="Times New Roman" w:hAnsi="Times New Roman"/>
              </w:rPr>
              <w:t>d回注完成。</w:t>
            </w:r>
            <w:bookmarkEnd w:id="104"/>
            <w:r>
              <w:rPr>
                <w:rFonts w:ascii="Times New Roman"/>
              </w:rPr>
              <w:t>项目运营期气田水产生量为</w:t>
            </w:r>
            <w:r>
              <w:rPr>
                <w:rFonts w:hint="eastAsia" w:ascii="Times New Roman"/>
              </w:rPr>
              <w:t>0.5</w:t>
            </w:r>
            <w:r>
              <w:rPr>
                <w:rFonts w:ascii="Times New Roman"/>
              </w:rPr>
              <w:t>m</w:t>
            </w:r>
            <w:r>
              <w:rPr>
                <w:rFonts w:ascii="Times New Roman"/>
                <w:vertAlign w:val="superscript"/>
              </w:rPr>
              <w:t>3</w:t>
            </w:r>
            <w:r>
              <w:rPr>
                <w:rFonts w:ascii="Times New Roman"/>
              </w:rPr>
              <w:t>/d</w:t>
            </w:r>
            <w:r>
              <w:rPr>
                <w:rFonts w:hint="eastAsia" w:ascii="Times New Roman"/>
              </w:rPr>
              <w:t>，</w:t>
            </w:r>
            <w:r>
              <w:rPr>
                <w:rFonts w:ascii="Times New Roman"/>
              </w:rPr>
              <w:t>可</w:t>
            </w:r>
            <w:r>
              <w:rPr>
                <w:rFonts w:hint="eastAsia" w:ascii="Times New Roman"/>
              </w:rPr>
              <w:t>1</w:t>
            </w:r>
            <w:r>
              <w:rPr>
                <w:rFonts w:ascii="Times New Roman" w:hAnsi="Times New Roman"/>
              </w:rPr>
              <w:t>d</w:t>
            </w:r>
            <w:r>
              <w:rPr>
                <w:rFonts w:ascii="Times New Roman"/>
              </w:rPr>
              <w:t>处理完成。</w:t>
            </w:r>
          </w:p>
        </w:tc>
        <w:tc>
          <w:tcPr>
            <w:tcW w:w="679" w:type="dxa"/>
            <w:vMerge w:val="restart"/>
            <w:vAlign w:val="center"/>
          </w:tcPr>
          <w:p>
            <w:pPr>
              <w:pStyle w:val="555"/>
              <w:rPr>
                <w:rFonts w:ascii="Times New Roman" w:hAnsi="Times New Roman"/>
              </w:rPr>
            </w:pPr>
            <w:r>
              <w:rPr>
                <w:rFonts w:ascii="Times New Roman" w:hAnsi="Times New Roman"/>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72" w:type="dxa"/>
            <w:vMerge w:val="continue"/>
            <w:vAlign w:val="center"/>
          </w:tcPr>
          <w:p>
            <w:pPr>
              <w:pStyle w:val="555"/>
              <w:rPr>
                <w:rFonts w:ascii="Times New Roman" w:hAnsi="Times New Roman"/>
              </w:rPr>
            </w:pPr>
          </w:p>
        </w:tc>
        <w:tc>
          <w:tcPr>
            <w:tcW w:w="1108" w:type="dxa"/>
            <w:vMerge w:val="continue"/>
            <w:vAlign w:val="center"/>
          </w:tcPr>
          <w:p>
            <w:pPr>
              <w:pStyle w:val="555"/>
              <w:rPr>
                <w:rFonts w:ascii="Times New Roman" w:hAnsi="Times New Roman"/>
              </w:rPr>
            </w:pPr>
          </w:p>
        </w:tc>
        <w:tc>
          <w:tcPr>
            <w:tcW w:w="2410" w:type="dxa"/>
            <w:vAlign w:val="center"/>
          </w:tcPr>
          <w:p>
            <w:pPr>
              <w:pStyle w:val="555"/>
              <w:rPr>
                <w:rFonts w:ascii="Times New Roman" w:hAnsi="Times New Roman"/>
              </w:rPr>
            </w:pPr>
            <w:r>
              <w:rPr>
                <w:rFonts w:ascii="Times New Roman" w:hAnsi="Times New Roman"/>
              </w:rPr>
              <w:t>M502集气站：5</w:t>
            </w:r>
          </w:p>
        </w:tc>
        <w:tc>
          <w:tcPr>
            <w:tcW w:w="1021" w:type="dxa"/>
            <w:vMerge w:val="continue"/>
            <w:vAlign w:val="center"/>
          </w:tcPr>
          <w:p>
            <w:pPr>
              <w:pStyle w:val="555"/>
              <w:rPr>
                <w:rFonts w:ascii="Times New Roman" w:hAnsi="Times New Roman"/>
              </w:rPr>
            </w:pPr>
          </w:p>
        </w:tc>
        <w:tc>
          <w:tcPr>
            <w:tcW w:w="992" w:type="dxa"/>
            <w:vMerge w:val="continue"/>
            <w:vAlign w:val="center"/>
          </w:tcPr>
          <w:p>
            <w:pPr>
              <w:pStyle w:val="555"/>
              <w:rPr>
                <w:rFonts w:ascii="Times New Roman" w:hAnsi="Times New Roman"/>
              </w:rPr>
            </w:pPr>
          </w:p>
        </w:tc>
        <w:tc>
          <w:tcPr>
            <w:tcW w:w="1560" w:type="dxa"/>
            <w:vMerge w:val="continue"/>
            <w:vAlign w:val="center"/>
          </w:tcPr>
          <w:p>
            <w:pPr>
              <w:pStyle w:val="555"/>
              <w:rPr>
                <w:rFonts w:ascii="Times New Roman" w:hAnsi="Times New Roman"/>
              </w:rPr>
            </w:pPr>
          </w:p>
        </w:tc>
        <w:tc>
          <w:tcPr>
            <w:tcW w:w="679" w:type="dxa"/>
            <w:vMerge w:val="continue"/>
            <w:vAlign w:val="center"/>
          </w:tcPr>
          <w:p>
            <w:pPr>
              <w:pStyle w:val="555"/>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2" w:type="dxa"/>
            <w:vMerge w:val="continue"/>
            <w:vAlign w:val="center"/>
          </w:tcPr>
          <w:p>
            <w:pPr>
              <w:pStyle w:val="555"/>
              <w:rPr>
                <w:rFonts w:ascii="Times New Roman" w:hAnsi="Times New Roman"/>
              </w:rPr>
            </w:pPr>
          </w:p>
        </w:tc>
        <w:tc>
          <w:tcPr>
            <w:tcW w:w="1108" w:type="dxa"/>
            <w:vMerge w:val="continue"/>
            <w:vAlign w:val="center"/>
          </w:tcPr>
          <w:p>
            <w:pPr>
              <w:pStyle w:val="555"/>
              <w:rPr>
                <w:rFonts w:ascii="Times New Roman" w:hAnsi="Times New Roman"/>
              </w:rPr>
            </w:pPr>
          </w:p>
        </w:tc>
        <w:tc>
          <w:tcPr>
            <w:tcW w:w="2410" w:type="dxa"/>
            <w:vAlign w:val="center"/>
          </w:tcPr>
          <w:p>
            <w:pPr>
              <w:pStyle w:val="555"/>
              <w:rPr>
                <w:rFonts w:ascii="Times New Roman" w:hAnsi="Times New Roman"/>
              </w:rPr>
            </w:pPr>
            <w:r>
              <w:rPr>
                <w:rFonts w:ascii="Times New Roman" w:hAnsi="Times New Roman"/>
              </w:rPr>
              <w:t>M501集气站：5～10</w:t>
            </w:r>
          </w:p>
        </w:tc>
        <w:tc>
          <w:tcPr>
            <w:tcW w:w="1021" w:type="dxa"/>
            <w:vMerge w:val="continue"/>
            <w:vAlign w:val="center"/>
          </w:tcPr>
          <w:p>
            <w:pPr>
              <w:pStyle w:val="555"/>
              <w:rPr>
                <w:rFonts w:ascii="Times New Roman" w:hAnsi="Times New Roman"/>
              </w:rPr>
            </w:pPr>
          </w:p>
        </w:tc>
        <w:tc>
          <w:tcPr>
            <w:tcW w:w="992" w:type="dxa"/>
            <w:vMerge w:val="continue"/>
            <w:vAlign w:val="center"/>
          </w:tcPr>
          <w:p>
            <w:pPr>
              <w:pStyle w:val="555"/>
              <w:rPr>
                <w:rFonts w:ascii="Times New Roman" w:hAnsi="Times New Roman"/>
              </w:rPr>
            </w:pPr>
          </w:p>
        </w:tc>
        <w:tc>
          <w:tcPr>
            <w:tcW w:w="1560" w:type="dxa"/>
            <w:vMerge w:val="continue"/>
            <w:vAlign w:val="center"/>
          </w:tcPr>
          <w:p>
            <w:pPr>
              <w:pStyle w:val="555"/>
              <w:rPr>
                <w:rFonts w:ascii="Times New Roman" w:hAnsi="Times New Roman"/>
              </w:rPr>
            </w:pPr>
          </w:p>
        </w:tc>
        <w:tc>
          <w:tcPr>
            <w:tcW w:w="679" w:type="dxa"/>
            <w:vMerge w:val="continue"/>
            <w:vAlign w:val="center"/>
          </w:tcPr>
          <w:p>
            <w:pPr>
              <w:pStyle w:val="555"/>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72" w:type="dxa"/>
            <w:vMerge w:val="continue"/>
            <w:vAlign w:val="center"/>
          </w:tcPr>
          <w:p>
            <w:pPr>
              <w:pStyle w:val="555"/>
              <w:rPr>
                <w:rFonts w:ascii="Times New Roman" w:hAnsi="Times New Roman"/>
              </w:rPr>
            </w:pPr>
          </w:p>
        </w:tc>
        <w:tc>
          <w:tcPr>
            <w:tcW w:w="1108" w:type="dxa"/>
            <w:vMerge w:val="continue"/>
            <w:vAlign w:val="center"/>
          </w:tcPr>
          <w:p>
            <w:pPr>
              <w:pStyle w:val="555"/>
              <w:rPr>
                <w:rFonts w:ascii="Times New Roman" w:hAnsi="Times New Roman"/>
              </w:rPr>
            </w:pPr>
          </w:p>
        </w:tc>
        <w:tc>
          <w:tcPr>
            <w:tcW w:w="2410" w:type="dxa"/>
            <w:vAlign w:val="center"/>
          </w:tcPr>
          <w:p>
            <w:pPr>
              <w:pStyle w:val="555"/>
              <w:rPr>
                <w:rFonts w:ascii="Times New Roman" w:hAnsi="Times New Roman"/>
              </w:rPr>
            </w:pPr>
            <w:r>
              <w:rPr>
                <w:rFonts w:ascii="Times New Roman" w:hAnsi="Times New Roman"/>
              </w:rPr>
              <w:t>D405集气站：20～25</w:t>
            </w:r>
          </w:p>
        </w:tc>
        <w:tc>
          <w:tcPr>
            <w:tcW w:w="1021" w:type="dxa"/>
            <w:vMerge w:val="continue"/>
            <w:vAlign w:val="center"/>
          </w:tcPr>
          <w:p>
            <w:pPr>
              <w:pStyle w:val="555"/>
              <w:rPr>
                <w:rFonts w:ascii="Times New Roman" w:hAnsi="Times New Roman"/>
              </w:rPr>
            </w:pPr>
          </w:p>
        </w:tc>
        <w:tc>
          <w:tcPr>
            <w:tcW w:w="992" w:type="dxa"/>
            <w:vMerge w:val="continue"/>
            <w:vAlign w:val="center"/>
          </w:tcPr>
          <w:p>
            <w:pPr>
              <w:pStyle w:val="555"/>
              <w:rPr>
                <w:rFonts w:ascii="Times New Roman" w:hAnsi="Times New Roman"/>
              </w:rPr>
            </w:pPr>
          </w:p>
        </w:tc>
        <w:tc>
          <w:tcPr>
            <w:tcW w:w="1560" w:type="dxa"/>
            <w:vMerge w:val="continue"/>
            <w:vAlign w:val="center"/>
          </w:tcPr>
          <w:p>
            <w:pPr>
              <w:pStyle w:val="555"/>
              <w:rPr>
                <w:rFonts w:ascii="Times New Roman" w:hAnsi="Times New Roman"/>
              </w:rPr>
            </w:pPr>
          </w:p>
        </w:tc>
        <w:tc>
          <w:tcPr>
            <w:tcW w:w="679" w:type="dxa"/>
            <w:vMerge w:val="continue"/>
            <w:vAlign w:val="center"/>
          </w:tcPr>
          <w:p>
            <w:pPr>
              <w:pStyle w:val="555"/>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2" w:type="dxa"/>
            <w:vMerge w:val="continue"/>
            <w:vAlign w:val="center"/>
          </w:tcPr>
          <w:p>
            <w:pPr>
              <w:pStyle w:val="555"/>
              <w:rPr>
                <w:rFonts w:ascii="Times New Roman" w:hAnsi="Times New Roman"/>
              </w:rPr>
            </w:pPr>
          </w:p>
        </w:tc>
        <w:tc>
          <w:tcPr>
            <w:tcW w:w="1108" w:type="dxa"/>
            <w:vMerge w:val="continue"/>
            <w:vAlign w:val="center"/>
          </w:tcPr>
          <w:p>
            <w:pPr>
              <w:pStyle w:val="555"/>
              <w:rPr>
                <w:rFonts w:ascii="Times New Roman" w:hAnsi="Times New Roman"/>
              </w:rPr>
            </w:pPr>
          </w:p>
        </w:tc>
        <w:tc>
          <w:tcPr>
            <w:tcW w:w="2410" w:type="dxa"/>
            <w:vAlign w:val="center"/>
          </w:tcPr>
          <w:p>
            <w:pPr>
              <w:pStyle w:val="555"/>
              <w:rPr>
                <w:rFonts w:ascii="Times New Roman" w:hAnsi="Times New Roman"/>
              </w:rPr>
            </w:pPr>
            <w:r>
              <w:rPr>
                <w:rFonts w:ascii="Times New Roman" w:hAnsi="Times New Roman"/>
              </w:rPr>
              <w:t>D404集气站：20</w:t>
            </w:r>
          </w:p>
        </w:tc>
        <w:tc>
          <w:tcPr>
            <w:tcW w:w="1021" w:type="dxa"/>
            <w:vMerge w:val="continue"/>
            <w:vAlign w:val="center"/>
          </w:tcPr>
          <w:p>
            <w:pPr>
              <w:pStyle w:val="555"/>
              <w:rPr>
                <w:rFonts w:ascii="Times New Roman" w:hAnsi="Times New Roman"/>
              </w:rPr>
            </w:pPr>
          </w:p>
        </w:tc>
        <w:tc>
          <w:tcPr>
            <w:tcW w:w="992" w:type="dxa"/>
            <w:vMerge w:val="continue"/>
            <w:vAlign w:val="center"/>
          </w:tcPr>
          <w:p>
            <w:pPr>
              <w:pStyle w:val="555"/>
              <w:rPr>
                <w:rFonts w:ascii="Times New Roman" w:hAnsi="Times New Roman"/>
              </w:rPr>
            </w:pPr>
          </w:p>
        </w:tc>
        <w:tc>
          <w:tcPr>
            <w:tcW w:w="1560" w:type="dxa"/>
            <w:vMerge w:val="continue"/>
            <w:vAlign w:val="center"/>
          </w:tcPr>
          <w:p>
            <w:pPr>
              <w:pStyle w:val="555"/>
              <w:rPr>
                <w:rFonts w:ascii="Times New Roman" w:hAnsi="Times New Roman"/>
              </w:rPr>
            </w:pPr>
          </w:p>
        </w:tc>
        <w:tc>
          <w:tcPr>
            <w:tcW w:w="679" w:type="dxa"/>
            <w:vMerge w:val="continue"/>
            <w:vAlign w:val="center"/>
          </w:tcPr>
          <w:p>
            <w:pPr>
              <w:pStyle w:val="555"/>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72" w:type="dxa"/>
            <w:vMerge w:val="continue"/>
            <w:vAlign w:val="center"/>
          </w:tcPr>
          <w:p>
            <w:pPr>
              <w:pStyle w:val="555"/>
              <w:rPr>
                <w:rFonts w:ascii="Times New Roman" w:hAnsi="Times New Roman"/>
              </w:rPr>
            </w:pPr>
          </w:p>
        </w:tc>
        <w:tc>
          <w:tcPr>
            <w:tcW w:w="1108" w:type="dxa"/>
            <w:vMerge w:val="continue"/>
            <w:vAlign w:val="center"/>
          </w:tcPr>
          <w:p>
            <w:pPr>
              <w:pStyle w:val="555"/>
              <w:rPr>
                <w:rFonts w:ascii="Times New Roman" w:hAnsi="Times New Roman"/>
              </w:rPr>
            </w:pPr>
          </w:p>
        </w:tc>
        <w:tc>
          <w:tcPr>
            <w:tcW w:w="2410" w:type="dxa"/>
            <w:vAlign w:val="center"/>
          </w:tcPr>
          <w:p>
            <w:pPr>
              <w:pStyle w:val="555"/>
              <w:rPr>
                <w:rFonts w:ascii="Times New Roman" w:hAnsi="Times New Roman"/>
              </w:rPr>
            </w:pPr>
            <w:r>
              <w:rPr>
                <w:rFonts w:ascii="Times New Roman" w:hAnsi="Times New Roman"/>
              </w:rPr>
              <w:t>D403集气站：5～10</w:t>
            </w:r>
          </w:p>
        </w:tc>
        <w:tc>
          <w:tcPr>
            <w:tcW w:w="1021" w:type="dxa"/>
            <w:vMerge w:val="continue"/>
            <w:vAlign w:val="center"/>
          </w:tcPr>
          <w:p>
            <w:pPr>
              <w:pStyle w:val="555"/>
              <w:rPr>
                <w:rFonts w:ascii="Times New Roman" w:hAnsi="Times New Roman"/>
              </w:rPr>
            </w:pPr>
          </w:p>
        </w:tc>
        <w:tc>
          <w:tcPr>
            <w:tcW w:w="992" w:type="dxa"/>
            <w:vMerge w:val="continue"/>
            <w:vAlign w:val="center"/>
          </w:tcPr>
          <w:p>
            <w:pPr>
              <w:pStyle w:val="555"/>
              <w:rPr>
                <w:rFonts w:ascii="Times New Roman" w:hAnsi="Times New Roman"/>
              </w:rPr>
            </w:pPr>
          </w:p>
        </w:tc>
        <w:tc>
          <w:tcPr>
            <w:tcW w:w="1560" w:type="dxa"/>
            <w:vMerge w:val="continue"/>
            <w:vAlign w:val="center"/>
          </w:tcPr>
          <w:p>
            <w:pPr>
              <w:pStyle w:val="555"/>
              <w:rPr>
                <w:rFonts w:ascii="Times New Roman" w:hAnsi="Times New Roman"/>
              </w:rPr>
            </w:pPr>
          </w:p>
        </w:tc>
        <w:tc>
          <w:tcPr>
            <w:tcW w:w="679" w:type="dxa"/>
            <w:vMerge w:val="continue"/>
            <w:vAlign w:val="center"/>
          </w:tcPr>
          <w:p>
            <w:pPr>
              <w:pStyle w:val="555"/>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2" w:type="dxa"/>
            <w:vMerge w:val="continue"/>
            <w:vAlign w:val="center"/>
          </w:tcPr>
          <w:p>
            <w:pPr>
              <w:pStyle w:val="555"/>
              <w:rPr>
                <w:rFonts w:ascii="Times New Roman" w:hAnsi="Times New Roman"/>
              </w:rPr>
            </w:pPr>
          </w:p>
        </w:tc>
        <w:tc>
          <w:tcPr>
            <w:tcW w:w="1108" w:type="dxa"/>
            <w:vMerge w:val="continue"/>
            <w:vAlign w:val="center"/>
          </w:tcPr>
          <w:p>
            <w:pPr>
              <w:pStyle w:val="555"/>
              <w:rPr>
                <w:rFonts w:ascii="Times New Roman" w:hAnsi="Times New Roman"/>
              </w:rPr>
            </w:pPr>
          </w:p>
        </w:tc>
        <w:tc>
          <w:tcPr>
            <w:tcW w:w="2410" w:type="dxa"/>
            <w:vAlign w:val="center"/>
          </w:tcPr>
          <w:p>
            <w:pPr>
              <w:pStyle w:val="555"/>
              <w:rPr>
                <w:rFonts w:ascii="Times New Roman" w:hAnsi="Times New Roman"/>
              </w:rPr>
            </w:pPr>
            <w:r>
              <w:rPr>
                <w:rFonts w:ascii="Times New Roman" w:hAnsi="Times New Roman"/>
              </w:rPr>
              <w:t>合计：</w:t>
            </w:r>
            <w:bookmarkStart w:id="105" w:name="OLE_LINK97"/>
            <w:bookmarkStart w:id="106" w:name="OLE_LINK88"/>
            <w:r>
              <w:rPr>
                <w:rFonts w:ascii="Times New Roman" w:hAnsi="Times New Roman"/>
              </w:rPr>
              <w:t>70</w:t>
            </w:r>
            <w:bookmarkEnd w:id="105"/>
            <w:bookmarkEnd w:id="106"/>
            <w:r>
              <w:rPr>
                <w:rFonts w:ascii="Times New Roman" w:hAnsi="Times New Roman"/>
              </w:rPr>
              <w:t>～90</w:t>
            </w:r>
          </w:p>
        </w:tc>
        <w:tc>
          <w:tcPr>
            <w:tcW w:w="1021" w:type="dxa"/>
            <w:vMerge w:val="continue"/>
            <w:vAlign w:val="center"/>
          </w:tcPr>
          <w:p>
            <w:pPr>
              <w:pStyle w:val="555"/>
              <w:rPr>
                <w:rFonts w:ascii="Times New Roman" w:hAnsi="Times New Roman"/>
              </w:rPr>
            </w:pPr>
          </w:p>
        </w:tc>
        <w:tc>
          <w:tcPr>
            <w:tcW w:w="992" w:type="dxa"/>
            <w:vMerge w:val="continue"/>
            <w:vAlign w:val="center"/>
          </w:tcPr>
          <w:p>
            <w:pPr>
              <w:pStyle w:val="555"/>
              <w:rPr>
                <w:rFonts w:ascii="Times New Roman" w:hAnsi="Times New Roman"/>
              </w:rPr>
            </w:pPr>
          </w:p>
        </w:tc>
        <w:tc>
          <w:tcPr>
            <w:tcW w:w="1560" w:type="dxa"/>
            <w:vMerge w:val="continue"/>
            <w:vAlign w:val="center"/>
          </w:tcPr>
          <w:p>
            <w:pPr>
              <w:pStyle w:val="555"/>
              <w:rPr>
                <w:rFonts w:ascii="Times New Roman" w:hAnsi="Times New Roman"/>
              </w:rPr>
            </w:pPr>
          </w:p>
        </w:tc>
        <w:tc>
          <w:tcPr>
            <w:tcW w:w="679" w:type="dxa"/>
            <w:vMerge w:val="continue"/>
            <w:vAlign w:val="center"/>
          </w:tcPr>
          <w:p>
            <w:pPr>
              <w:pStyle w:val="555"/>
              <w:rPr>
                <w:rFonts w:ascii="Times New Roman" w:hAnsi="Times New Roman"/>
              </w:rPr>
            </w:pPr>
          </w:p>
        </w:tc>
      </w:tr>
    </w:tbl>
    <w:p>
      <w:pPr>
        <w:pStyle w:val="553"/>
      </w:pPr>
    </w:p>
    <w:p>
      <w:pPr>
        <w:pStyle w:val="37"/>
        <w:rPr>
          <w:rFonts w:cs="Times New Roman"/>
        </w:rPr>
        <w:sectPr>
          <w:headerReference r:id="rId21" w:type="first"/>
          <w:footerReference r:id="rId23" w:type="first"/>
          <w:headerReference r:id="rId19" w:type="default"/>
          <w:headerReference r:id="rId20" w:type="even"/>
          <w:footerReference r:id="rId22" w:type="even"/>
          <w:pgSz w:w="11910" w:h="16840"/>
          <w:pgMar w:top="1440" w:right="1800" w:bottom="1440" w:left="1800" w:header="885" w:footer="1097" w:gutter="0"/>
          <w:pgNumType w:chapStyle="2"/>
          <w:cols w:space="720" w:num="1"/>
          <w:docGrid w:linePitch="326" w:charSpace="0"/>
        </w:sectPr>
      </w:pPr>
    </w:p>
    <w:p>
      <w:pPr>
        <w:pStyle w:val="2"/>
        <w:spacing w:before="0" w:beforeAutospacing="0" w:after="0" w:afterAutospacing="0"/>
        <w:rPr>
          <w:rFonts w:eastAsia="宋体"/>
        </w:rPr>
      </w:pPr>
      <w:bookmarkStart w:id="107" w:name="_Toc12288392"/>
      <w:bookmarkStart w:id="108" w:name="_Toc19815947"/>
      <w:bookmarkStart w:id="109" w:name="_Toc81515264"/>
      <w:r>
        <w:rPr>
          <w:rFonts w:eastAsia="宋体"/>
        </w:rPr>
        <w:t>3 项目</w:t>
      </w:r>
      <w:bookmarkEnd w:id="107"/>
      <w:bookmarkEnd w:id="108"/>
      <w:r>
        <w:rPr>
          <w:rFonts w:eastAsia="宋体"/>
        </w:rPr>
        <w:t>概况</w:t>
      </w:r>
      <w:bookmarkEnd w:id="109"/>
    </w:p>
    <w:p>
      <w:pPr>
        <w:pStyle w:val="3"/>
        <w:spacing w:before="120"/>
        <w:rPr>
          <w:rFonts w:cs="Times New Roman"/>
        </w:rPr>
      </w:pPr>
      <w:bookmarkStart w:id="110" w:name="_Toc19815948"/>
      <w:bookmarkStart w:id="111" w:name="_Toc12288393"/>
      <w:bookmarkStart w:id="112" w:name="_Toc81515265"/>
      <w:r>
        <w:rPr>
          <w:rFonts w:cs="Times New Roman"/>
        </w:rPr>
        <w:t xml:space="preserve">3.1 </w:t>
      </w:r>
      <w:bookmarkEnd w:id="110"/>
      <w:bookmarkEnd w:id="111"/>
      <w:r>
        <w:rPr>
          <w:rFonts w:cs="Times New Roman"/>
        </w:rPr>
        <w:t>基本情况</w:t>
      </w:r>
      <w:bookmarkEnd w:id="112"/>
    </w:p>
    <w:p>
      <w:pPr>
        <w:pStyle w:val="112"/>
        <w:ind w:firstLine="480"/>
      </w:pPr>
      <w:bookmarkStart w:id="113" w:name="_Hlk81419011"/>
      <w:r>
        <w:t>项目名称：普光气田普陆4-1H井产能建设项目</w:t>
      </w:r>
    </w:p>
    <w:bookmarkEnd w:id="113"/>
    <w:p>
      <w:pPr>
        <w:pStyle w:val="112"/>
        <w:ind w:firstLine="480"/>
      </w:pPr>
      <w:r>
        <w:t>建设单位：中国石油化工股份有限公司中原油田普光分公司</w:t>
      </w:r>
    </w:p>
    <w:p>
      <w:pPr>
        <w:pStyle w:val="112"/>
        <w:ind w:firstLine="480"/>
      </w:pPr>
      <w:bookmarkStart w:id="114" w:name="_Hlk81419008"/>
      <w:r>
        <w:t>建设地点：</w:t>
      </w:r>
      <w:r>
        <w:rPr>
          <w:rFonts w:hint="eastAsia"/>
        </w:rPr>
        <w:t>四川省达州市宣汉县黄金镇沙场村</w:t>
      </w:r>
    </w:p>
    <w:p>
      <w:pPr>
        <w:pStyle w:val="112"/>
        <w:ind w:firstLine="480"/>
      </w:pPr>
      <w:r>
        <w:t>项目性质：新建</w:t>
      </w:r>
    </w:p>
    <w:bookmarkEnd w:id="114"/>
    <w:p>
      <w:pPr>
        <w:pStyle w:val="112"/>
        <w:ind w:firstLine="480"/>
      </w:pPr>
      <w:r>
        <w:t>建设规模：</w:t>
      </w:r>
    </w:p>
    <w:p>
      <w:pPr>
        <w:pStyle w:val="112"/>
        <w:ind w:firstLine="480"/>
        <w:rPr>
          <w:bCs/>
        </w:rPr>
      </w:pPr>
      <w:r>
        <w:rPr>
          <w:rFonts w:hint="eastAsia"/>
          <w:bCs/>
        </w:rPr>
        <w:t>（1）气藏地质与气藏工程</w:t>
      </w:r>
    </w:p>
    <w:p>
      <w:pPr>
        <w:pStyle w:val="112"/>
        <w:ind w:firstLine="480"/>
        <w:rPr>
          <w:bCs/>
        </w:rPr>
      </w:pPr>
      <w:r>
        <w:rPr>
          <w:rFonts w:hint="eastAsia"/>
          <w:bCs/>
        </w:rPr>
        <w:t>普光东向斜构造是毛坝东断层和东岳寨断层控制下的单斜构造，为动用东部浊积砂体储量、最大限度提高储量动用程度。预计增加井控储量3.31亿立方米，凝析油地质储量2.37万吨。新增经济可采储量1.03亿立方米，新建产能0.172亿立方米。</w:t>
      </w:r>
    </w:p>
    <w:p>
      <w:pPr>
        <w:pStyle w:val="112"/>
        <w:ind w:firstLine="480"/>
        <w:rPr>
          <w:bCs/>
        </w:rPr>
      </w:pPr>
      <w:r>
        <w:rPr>
          <w:rFonts w:hint="eastAsia"/>
          <w:bCs/>
        </w:rPr>
        <w:t>普陆4-1H井配产5.27万方/天，日产油4吨/天。稳产期为2年，预计15年期末累产气1.03亿立方米，凝析油0.72万吨。</w:t>
      </w:r>
    </w:p>
    <w:p>
      <w:pPr>
        <w:pStyle w:val="112"/>
        <w:ind w:firstLine="480"/>
        <w:rPr>
          <w:bCs/>
        </w:rPr>
      </w:pPr>
      <w:r>
        <w:rPr>
          <w:rFonts w:hint="eastAsia"/>
          <w:bCs/>
        </w:rPr>
        <w:t>（2）钻前工程</w:t>
      </w:r>
    </w:p>
    <w:p>
      <w:pPr>
        <w:pStyle w:val="112"/>
        <w:ind w:firstLine="480"/>
        <w:rPr>
          <w:bCs/>
        </w:rPr>
      </w:pPr>
      <w:r>
        <w:rPr>
          <w:rFonts w:hint="eastAsia"/>
          <w:bCs/>
        </w:rPr>
        <w:t>利旧井场1座，新建方井1座、加长井架基础1座、利旧放喷池1座、清水池1座、循环罐、储备罐等设备基础，新建井场配套设施、进场道路100米等。</w:t>
      </w:r>
    </w:p>
    <w:p>
      <w:pPr>
        <w:pStyle w:val="112"/>
        <w:ind w:firstLine="480"/>
        <w:rPr>
          <w:bCs/>
        </w:rPr>
      </w:pPr>
      <w:r>
        <w:rPr>
          <w:rFonts w:hint="eastAsia"/>
          <w:bCs/>
        </w:rPr>
        <w:t>（3）钻井工程</w:t>
      </w:r>
    </w:p>
    <w:p>
      <w:pPr>
        <w:pStyle w:val="112"/>
        <w:ind w:firstLine="480"/>
        <w:rPr>
          <w:bCs/>
        </w:rPr>
      </w:pPr>
      <w:r>
        <w:rPr>
          <w:rFonts w:hint="eastAsia"/>
          <w:bCs/>
        </w:rPr>
        <w:t>设计井深5552米，井型为水平井，水平段长1851米，造斜点2730米。采用三开井身结构：一开选用φ406.4毫米钻头钻至井深351米，下φ339.7毫米套管；二开选用φ311.2毫米钻头钻至井深3088米，下入φ244.5毫米套管；三开采用旋转导向，φ215.9毫米钻头钻至完钻井深，下入139.7毫米套管。自造斜段至井底采用随钻导向系列的自然伽马和井斜方位测井。</w:t>
      </w:r>
    </w:p>
    <w:p>
      <w:pPr>
        <w:pStyle w:val="112"/>
        <w:ind w:firstLine="480"/>
        <w:rPr>
          <w:bCs/>
        </w:rPr>
      </w:pPr>
      <w:r>
        <w:rPr>
          <w:rFonts w:hint="eastAsia"/>
          <w:bCs/>
        </w:rPr>
        <w:t>（4）采气工程</w:t>
      </w:r>
    </w:p>
    <w:p>
      <w:pPr>
        <w:pStyle w:val="112"/>
        <w:ind w:firstLine="480"/>
        <w:rPr>
          <w:bCs/>
        </w:rPr>
      </w:pPr>
      <w:r>
        <w:rPr>
          <w:rFonts w:hint="eastAsia"/>
          <w:bCs/>
        </w:rPr>
        <w:t>采用桥塞分段、套管注入体积压裂工艺，开展二氧化碳前置压裂先导试验，二氧化碳注入排量2-4立方米/分钟，总量2100立方米。设计分14段压裂改造，施工压力89.6兆帕，施工排量18立方米/分钟，总液量23060立方米，总砂量1832立方米。首段采用连续油管射孔，后续采用泵送桥塞+电缆射孔联作工艺。完井采用φ60.3</w:t>
      </w:r>
      <w:r>
        <w:rPr>
          <w:bCs/>
        </w:rPr>
        <w:t>×</w:t>
      </w:r>
      <w:r>
        <w:rPr>
          <w:rFonts w:hint="eastAsia"/>
          <w:bCs/>
        </w:rPr>
        <w:t>4.83毫米N80EU扣油管，DD级70兆帕采气井口，配套70兆帕地面控制系统。设计开展地面微地震人工裂缝监测，各压裂段开展分段改造产能评价。</w:t>
      </w:r>
    </w:p>
    <w:p>
      <w:pPr>
        <w:pStyle w:val="112"/>
        <w:ind w:firstLine="480"/>
        <w:rPr>
          <w:bCs/>
        </w:rPr>
      </w:pPr>
      <w:r>
        <w:rPr>
          <w:rFonts w:hint="eastAsia"/>
          <w:bCs/>
        </w:rPr>
        <w:t>（5）地面集输工程</w:t>
      </w:r>
    </w:p>
    <w:p>
      <w:pPr>
        <w:pStyle w:val="112"/>
        <w:ind w:firstLine="480"/>
      </w:pPr>
      <w:r>
        <w:rPr>
          <w:rFonts w:hint="eastAsia"/>
          <w:bCs/>
        </w:rPr>
        <w:t>新建普陆4-1H井地面集输装置1套，采用湿气外输工艺，井口来气经除砂、加热荣流、气液分离、闪蒸分离后气、水分输进P107集气站，凝析油在站内拉运；配套地面流程及自控、电力、通讯等设施。普陆4-1H井因采用注二氧化碳采气工艺，地面采用加注缓蚀剂、站内设备采用内涂层等抗腐蚀工艺。拆除并恢复站内普陆4井已建的井口流程、水套加热炉、乙二醇加注撬、管网等设施。预计永久性征地13. 08亩</w:t>
      </w:r>
      <w:r>
        <w:rPr>
          <w:rFonts w:hint="eastAsia"/>
        </w:rPr>
        <w:t>。</w:t>
      </w:r>
    </w:p>
    <w:p>
      <w:pPr>
        <w:pStyle w:val="112"/>
        <w:ind w:firstLine="480"/>
      </w:pPr>
      <w:r>
        <w:rPr>
          <w:rFonts w:hint="eastAsia"/>
        </w:rPr>
        <w:t>本</w:t>
      </w:r>
      <w:r>
        <w:t>项目总投资为</w:t>
      </w:r>
      <w:r>
        <w:rPr>
          <w:rFonts w:hint="eastAsia"/>
        </w:rPr>
        <w:t>7765万</w:t>
      </w:r>
      <w:r>
        <w:t>元，其中环保投资</w:t>
      </w:r>
      <w:r>
        <w:rPr>
          <w:rFonts w:hint="eastAsia"/>
        </w:rPr>
        <w:t>45</w:t>
      </w:r>
      <w:r>
        <w:t>0万元，占项目总投资的</w:t>
      </w:r>
      <w:r>
        <w:rPr>
          <w:rFonts w:hint="eastAsia"/>
        </w:rPr>
        <w:t>5.8</w:t>
      </w:r>
      <w:r>
        <w:t>%。</w:t>
      </w:r>
    </w:p>
    <w:p>
      <w:pPr>
        <w:pStyle w:val="3"/>
        <w:spacing w:before="120"/>
        <w:rPr>
          <w:rFonts w:cs="Times New Roman"/>
        </w:rPr>
      </w:pPr>
      <w:bookmarkStart w:id="115" w:name="bookmark11"/>
      <w:bookmarkEnd w:id="115"/>
      <w:bookmarkStart w:id="116" w:name="bookmark12"/>
      <w:bookmarkEnd w:id="116"/>
      <w:bookmarkStart w:id="117" w:name="_Toc12288395"/>
      <w:bookmarkStart w:id="118" w:name="_Toc19815950"/>
      <w:bookmarkStart w:id="119" w:name="_Toc81515266"/>
      <w:r>
        <w:rPr>
          <w:rFonts w:cs="Times New Roman"/>
        </w:rPr>
        <w:t>3.2 工程规模及项目组成</w:t>
      </w:r>
      <w:bookmarkEnd w:id="117"/>
      <w:bookmarkEnd w:id="118"/>
      <w:bookmarkEnd w:id="119"/>
    </w:p>
    <w:p>
      <w:pPr>
        <w:pStyle w:val="4"/>
        <w:rPr>
          <w:rFonts w:eastAsia="宋体"/>
        </w:rPr>
      </w:pPr>
      <w:bookmarkStart w:id="120" w:name="_Toc19815951"/>
      <w:bookmarkStart w:id="121" w:name="_Toc12288396"/>
      <w:r>
        <w:rPr>
          <w:rFonts w:eastAsia="宋体"/>
        </w:rPr>
        <w:t>3.2.1 工程规模</w:t>
      </w:r>
      <w:bookmarkEnd w:id="120"/>
      <w:bookmarkEnd w:id="121"/>
    </w:p>
    <w:p>
      <w:pPr>
        <w:pStyle w:val="112"/>
        <w:ind w:firstLine="480"/>
        <w:rPr>
          <w:bCs/>
        </w:rPr>
      </w:pPr>
      <w:bookmarkStart w:id="122" w:name="_Hlk26520136"/>
      <w:r>
        <w:rPr>
          <w:rFonts w:hint="eastAsia"/>
          <w:bCs/>
        </w:rPr>
        <w:t>（1）气藏地质与气藏工程</w:t>
      </w:r>
    </w:p>
    <w:p>
      <w:pPr>
        <w:pStyle w:val="112"/>
        <w:ind w:firstLine="480"/>
        <w:rPr>
          <w:bCs/>
        </w:rPr>
      </w:pPr>
      <w:r>
        <w:rPr>
          <w:rFonts w:hint="eastAsia"/>
          <w:bCs/>
        </w:rPr>
        <w:t>普光东向斜构造是毛坝东断层和东岳寨断层控制下的单斜构造，为动用东部浊积砂体储量、最大限度提高储量动用程度。预计增加井控储量3.31亿立方米，凝析油地质储量2.37万吨。新增经济可采储量1.03亿立方米，新建产能0.172亿立方米。</w:t>
      </w:r>
    </w:p>
    <w:p>
      <w:pPr>
        <w:pStyle w:val="112"/>
        <w:ind w:firstLine="480"/>
        <w:rPr>
          <w:bCs/>
        </w:rPr>
      </w:pPr>
      <w:r>
        <w:rPr>
          <w:rFonts w:hint="eastAsia"/>
          <w:bCs/>
        </w:rPr>
        <w:t>普陆4-1H井配产5.27万方/天，日产油4吨/天。稳产期为2年，预计15年期末累产气1.03亿立方米，凝析油0.72万吨。</w:t>
      </w:r>
    </w:p>
    <w:p>
      <w:pPr>
        <w:pStyle w:val="112"/>
        <w:ind w:firstLine="480"/>
        <w:rPr>
          <w:bCs/>
        </w:rPr>
      </w:pPr>
      <w:r>
        <w:rPr>
          <w:rFonts w:hint="eastAsia"/>
          <w:bCs/>
        </w:rPr>
        <w:t>（2）钻前工程</w:t>
      </w:r>
    </w:p>
    <w:p>
      <w:pPr>
        <w:pStyle w:val="112"/>
        <w:ind w:firstLine="480"/>
        <w:rPr>
          <w:bCs/>
        </w:rPr>
      </w:pPr>
      <w:r>
        <w:rPr>
          <w:rFonts w:hint="eastAsia"/>
          <w:bCs/>
        </w:rPr>
        <w:t>利旧井场1座，新建方井1座、加长井架基础1座、利旧放喷池1座、清水池1座、循环罐、储备罐等设备基础，新建井场配套设施、进场道路100米等。</w:t>
      </w:r>
    </w:p>
    <w:p>
      <w:pPr>
        <w:pStyle w:val="112"/>
        <w:ind w:firstLine="480"/>
        <w:rPr>
          <w:bCs/>
        </w:rPr>
      </w:pPr>
      <w:r>
        <w:rPr>
          <w:rFonts w:hint="eastAsia"/>
          <w:bCs/>
        </w:rPr>
        <w:t>（3）钻井工程</w:t>
      </w:r>
    </w:p>
    <w:p>
      <w:pPr>
        <w:pStyle w:val="112"/>
        <w:ind w:firstLine="480"/>
        <w:rPr>
          <w:bCs/>
        </w:rPr>
      </w:pPr>
      <w:r>
        <w:rPr>
          <w:rFonts w:hint="eastAsia"/>
          <w:bCs/>
        </w:rPr>
        <w:t>设计井深5552米，井型为水平井，水平段长1851米，造斜点2730米。采用三开井身结构：一开选用φ406.4毫米钻头钻至井深351米，下φ339.7毫米套管；二开选用φ311.2毫米钻头钻至井深3088米，下入φ244.5毫米套管；三开采用旋转导向，φ215.9毫米钻头钻至完钻井深，下入139.7毫米套管。自造斜段至井底采用随钻导向系列的自然伽马和井斜方位测井。</w:t>
      </w:r>
    </w:p>
    <w:p>
      <w:pPr>
        <w:pStyle w:val="112"/>
        <w:ind w:firstLine="480"/>
        <w:rPr>
          <w:bCs/>
        </w:rPr>
      </w:pPr>
      <w:r>
        <w:rPr>
          <w:rFonts w:hint="eastAsia"/>
          <w:bCs/>
        </w:rPr>
        <w:t>（4）采气工程</w:t>
      </w:r>
    </w:p>
    <w:p>
      <w:pPr>
        <w:pStyle w:val="112"/>
        <w:ind w:firstLine="480"/>
        <w:rPr>
          <w:bCs/>
        </w:rPr>
      </w:pPr>
      <w:r>
        <w:rPr>
          <w:rFonts w:hint="eastAsia"/>
          <w:bCs/>
        </w:rPr>
        <w:t>采用桥塞分段、套管注入体积压裂工艺，开展二氧化碳前置压裂先导试验，二氧化碳注入排量2-4立方米/分钟，总量2100立方米。设计分14段压裂改造，施工压力89.6兆帕，施工排量18立方米/分钟，总液量23060立方米，总砂量1832立方米。首段采用连续油管射孔，后续采用泵送桥塞+电缆射孔联作工艺。完井采用φ60.3</w:t>
      </w:r>
      <w:r>
        <w:rPr>
          <w:bCs/>
        </w:rPr>
        <w:t>×</w:t>
      </w:r>
      <w:r>
        <w:rPr>
          <w:rFonts w:hint="eastAsia"/>
          <w:bCs/>
        </w:rPr>
        <w:t>4.83毫米N80EU扣油管，DD级70兆帕采气井口，配套70兆帕地面控制系统。设计开展地面微地震人工裂缝监测，各压裂段开展分段改造产能评价。</w:t>
      </w:r>
    </w:p>
    <w:p>
      <w:pPr>
        <w:pStyle w:val="112"/>
        <w:ind w:firstLine="480"/>
        <w:rPr>
          <w:bCs/>
        </w:rPr>
      </w:pPr>
      <w:r>
        <w:rPr>
          <w:rFonts w:hint="eastAsia"/>
          <w:bCs/>
        </w:rPr>
        <w:t>（5）地面集输工程</w:t>
      </w:r>
    </w:p>
    <w:p>
      <w:pPr>
        <w:pStyle w:val="112"/>
        <w:ind w:firstLine="480"/>
      </w:pPr>
      <w:r>
        <w:rPr>
          <w:rFonts w:hint="eastAsia"/>
          <w:bCs/>
        </w:rPr>
        <w:t>新建普陆4-1H井地面集输装置1套，采用湿气外输工艺，井口来气经除砂、加热荣流、气液分离、闪蒸分离后气、水分输进P107集气站，凝析油在站内拉运；配套地面流程及自控、电力、通讯等设施。普陆4-1H井因采用注二氧化碳采气工艺，地面采用加注缓蚀剂、站内设备采用内涂层等抗腐蚀工艺。拆除并恢复站内普陆4井已建的井口流程、水套加热炉、乙二醇加注撬、管网等设施。预计永久性征地13. 08亩</w:t>
      </w:r>
      <w:r>
        <w:rPr>
          <w:rFonts w:hint="eastAsia"/>
        </w:rPr>
        <w:t>。</w:t>
      </w:r>
    </w:p>
    <w:bookmarkEnd w:id="122"/>
    <w:p>
      <w:pPr>
        <w:pStyle w:val="4"/>
        <w:rPr>
          <w:rFonts w:eastAsia="宋体"/>
        </w:rPr>
      </w:pPr>
      <w:bookmarkStart w:id="123" w:name="_Toc12288397"/>
      <w:bookmarkStart w:id="124" w:name="_Toc19815952"/>
      <w:r>
        <w:rPr>
          <w:rFonts w:eastAsia="宋体"/>
        </w:rPr>
        <w:t>3.2.2 项目组成</w:t>
      </w:r>
      <w:bookmarkEnd w:id="123"/>
      <w:bookmarkEnd w:id="124"/>
    </w:p>
    <w:p>
      <w:pPr>
        <w:pStyle w:val="112"/>
        <w:ind w:firstLine="480"/>
      </w:pPr>
      <w:r>
        <w:t>本项目为天然气开采和内部集输工程，工程建设内容主要分为</w:t>
      </w:r>
      <w:bookmarkStart w:id="125" w:name="OLE_LINK111"/>
      <w:bookmarkStart w:id="126" w:name="OLE_LINK112"/>
      <w:r>
        <w:rPr>
          <w:rFonts w:hint="eastAsia"/>
        </w:rPr>
        <w:t>气藏地质与气藏工程、钻前工程、钻前工程</w:t>
      </w:r>
      <w:r>
        <w:t>、</w:t>
      </w:r>
      <w:r>
        <w:rPr>
          <w:rFonts w:hint="eastAsia"/>
        </w:rPr>
        <w:t>采气工程和地面集输工程</w:t>
      </w:r>
      <w:bookmarkEnd w:id="125"/>
      <w:bookmarkEnd w:id="126"/>
      <w:r>
        <w:t>。本项目的项目组成详见表3.2-1。</w:t>
      </w:r>
    </w:p>
    <w:p>
      <w:pPr>
        <w:pStyle w:val="37"/>
        <w:rPr>
          <w:rFonts w:cs="Times New Roman"/>
        </w:rPr>
      </w:pPr>
      <w:r>
        <w:rPr>
          <w:rFonts w:cs="Times New Roman"/>
        </w:rPr>
        <w:t>表3.2-1  项目组成及主要环境问题</w:t>
      </w:r>
    </w:p>
    <w:tbl>
      <w:tblPr>
        <w:tblStyle w:val="57"/>
        <w:tblW w:w="5401"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486"/>
        <w:gridCol w:w="869"/>
        <w:gridCol w:w="630"/>
        <w:gridCol w:w="7"/>
        <w:gridCol w:w="5028"/>
        <w:gridCol w:w="1111"/>
        <w:gridCol w:w="845"/>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3" w:hRule="atLeast"/>
          <w:jc w:val="center"/>
        </w:trPr>
        <w:tc>
          <w:tcPr>
            <w:tcW w:w="271" w:type="pct"/>
            <w:vMerge w:val="restart"/>
            <w:vAlign w:val="center"/>
          </w:tcPr>
          <w:p>
            <w:pPr>
              <w:pStyle w:val="95"/>
              <w:rPr>
                <w:b/>
                <w:bCs/>
              </w:rPr>
            </w:pPr>
            <w:r>
              <w:rPr>
                <w:b/>
                <w:bCs/>
              </w:rPr>
              <w:t>名称</w:t>
            </w:r>
          </w:p>
        </w:tc>
        <w:tc>
          <w:tcPr>
            <w:tcW w:w="3640" w:type="pct"/>
            <w:gridSpan w:val="4"/>
            <w:vMerge w:val="restart"/>
            <w:vAlign w:val="center"/>
          </w:tcPr>
          <w:p>
            <w:pPr>
              <w:pStyle w:val="95"/>
              <w:rPr>
                <w:b/>
                <w:bCs/>
              </w:rPr>
            </w:pPr>
            <w:r>
              <w:rPr>
                <w:b/>
                <w:bCs/>
              </w:rPr>
              <w:t>建设内容及规模项目</w:t>
            </w:r>
          </w:p>
        </w:tc>
        <w:tc>
          <w:tcPr>
            <w:tcW w:w="1089" w:type="pct"/>
            <w:gridSpan w:val="2"/>
            <w:vAlign w:val="center"/>
          </w:tcPr>
          <w:p>
            <w:pPr>
              <w:pStyle w:val="95"/>
              <w:rPr>
                <w:b/>
                <w:bCs/>
              </w:rPr>
            </w:pPr>
            <w:r>
              <w:rPr>
                <w:b/>
                <w:bCs/>
              </w:rPr>
              <w:t>可能产生的环境影响</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0" w:hRule="atLeast"/>
          <w:jc w:val="center"/>
        </w:trPr>
        <w:tc>
          <w:tcPr>
            <w:tcW w:w="271" w:type="pct"/>
            <w:vMerge w:val="continue"/>
            <w:vAlign w:val="center"/>
          </w:tcPr>
          <w:p>
            <w:pPr>
              <w:pStyle w:val="95"/>
              <w:rPr>
                <w:b/>
                <w:bCs/>
              </w:rPr>
            </w:pPr>
          </w:p>
        </w:tc>
        <w:tc>
          <w:tcPr>
            <w:tcW w:w="3640" w:type="pct"/>
            <w:gridSpan w:val="4"/>
            <w:vMerge w:val="continue"/>
            <w:vAlign w:val="center"/>
          </w:tcPr>
          <w:p>
            <w:pPr>
              <w:pStyle w:val="95"/>
              <w:rPr>
                <w:b/>
                <w:bCs/>
              </w:rPr>
            </w:pPr>
          </w:p>
        </w:tc>
        <w:tc>
          <w:tcPr>
            <w:tcW w:w="619" w:type="pct"/>
            <w:vAlign w:val="center"/>
          </w:tcPr>
          <w:p>
            <w:pPr>
              <w:pStyle w:val="95"/>
              <w:rPr>
                <w:b/>
                <w:bCs/>
              </w:rPr>
            </w:pPr>
            <w:r>
              <w:rPr>
                <w:b/>
                <w:bCs/>
              </w:rPr>
              <w:t>施工期</w:t>
            </w:r>
          </w:p>
        </w:tc>
        <w:tc>
          <w:tcPr>
            <w:tcW w:w="470" w:type="pct"/>
            <w:vAlign w:val="center"/>
          </w:tcPr>
          <w:p>
            <w:pPr>
              <w:pStyle w:val="95"/>
              <w:rPr>
                <w:b/>
                <w:bCs/>
              </w:rPr>
            </w:pPr>
            <w:r>
              <w:rPr>
                <w:b/>
                <w:bCs/>
              </w:rPr>
              <w:t>运营期</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162" w:hRule="atLeast"/>
          <w:jc w:val="center"/>
        </w:trPr>
        <w:tc>
          <w:tcPr>
            <w:tcW w:w="271" w:type="pct"/>
            <w:vMerge w:val="restart"/>
            <w:vAlign w:val="center"/>
          </w:tcPr>
          <w:p>
            <w:pPr>
              <w:pStyle w:val="95"/>
            </w:pPr>
            <w:r>
              <w:t>主体工程</w:t>
            </w:r>
          </w:p>
        </w:tc>
        <w:tc>
          <w:tcPr>
            <w:tcW w:w="484" w:type="pct"/>
            <w:vAlign w:val="center"/>
          </w:tcPr>
          <w:p>
            <w:pPr>
              <w:pStyle w:val="95"/>
              <w:rPr>
                <w:szCs w:val="21"/>
              </w:rPr>
            </w:pPr>
            <w:r>
              <w:rPr>
                <w:rFonts w:hint="eastAsia"/>
                <w:szCs w:val="21"/>
              </w:rPr>
              <w:t>气藏地质与气藏工程</w:t>
            </w:r>
          </w:p>
        </w:tc>
        <w:tc>
          <w:tcPr>
            <w:tcW w:w="3156" w:type="pct"/>
            <w:gridSpan w:val="3"/>
            <w:vAlign w:val="center"/>
          </w:tcPr>
          <w:p>
            <w:pPr>
              <w:pStyle w:val="95"/>
              <w:rPr>
                <w:bCs/>
                <w:szCs w:val="21"/>
              </w:rPr>
            </w:pPr>
            <w:r>
              <w:rPr>
                <w:rFonts w:hint="eastAsia"/>
                <w:bCs/>
                <w:szCs w:val="21"/>
              </w:rPr>
              <w:t>普光东向斜构造是毛坝东断层和东岳寨断层控制下的单斜构造，为动用东部浊积砂体储量、最大限度提高储量动用程度。预计增加井控储量3.31亿立方米，凝析油地质储量2.37万吨。新增经济可采储量1.03亿立方米，新建产能0.172亿立方米。</w:t>
            </w:r>
          </w:p>
          <w:p>
            <w:pPr>
              <w:pStyle w:val="95"/>
              <w:rPr>
                <w:szCs w:val="21"/>
              </w:rPr>
            </w:pPr>
            <w:r>
              <w:rPr>
                <w:rFonts w:hint="eastAsia"/>
                <w:bCs/>
                <w:szCs w:val="21"/>
              </w:rPr>
              <w:t>普陆4-1H井配产5.27万方/天，日产油4吨/天。稳产期为2年，预计15年期末累产气1.03亿立方米，凝析油0.72万吨</w:t>
            </w:r>
            <w:r>
              <w:rPr>
                <w:rFonts w:hint="eastAsia"/>
                <w:szCs w:val="21"/>
              </w:rPr>
              <w:t>。</w:t>
            </w:r>
          </w:p>
        </w:tc>
        <w:tc>
          <w:tcPr>
            <w:tcW w:w="619" w:type="pct"/>
            <w:vMerge w:val="restart"/>
            <w:vAlign w:val="center"/>
          </w:tcPr>
          <w:p>
            <w:pPr>
              <w:pStyle w:val="95"/>
            </w:pPr>
            <w:r>
              <w:t>占用土地</w:t>
            </w:r>
          </w:p>
          <w:p>
            <w:pPr>
              <w:pStyle w:val="95"/>
            </w:pPr>
            <w:r>
              <w:t>施工扬尘</w:t>
            </w:r>
          </w:p>
          <w:p>
            <w:pPr>
              <w:pStyle w:val="95"/>
            </w:pPr>
            <w:r>
              <w:t>施工废水</w:t>
            </w:r>
          </w:p>
          <w:p>
            <w:pPr>
              <w:pStyle w:val="95"/>
            </w:pPr>
            <w:r>
              <w:t>生活污水</w:t>
            </w:r>
          </w:p>
          <w:p>
            <w:pPr>
              <w:pStyle w:val="95"/>
            </w:pPr>
            <w:r>
              <w:t>施工噪声</w:t>
            </w:r>
          </w:p>
          <w:p>
            <w:pPr>
              <w:pStyle w:val="95"/>
            </w:pPr>
            <w:r>
              <w:t>生活垃圾</w:t>
            </w:r>
          </w:p>
          <w:p>
            <w:pPr>
              <w:pStyle w:val="95"/>
            </w:pPr>
            <w:r>
              <w:t>水土流失</w:t>
            </w:r>
          </w:p>
          <w:p>
            <w:pPr>
              <w:pStyle w:val="95"/>
            </w:pPr>
            <w:r>
              <w:t>弃渣</w:t>
            </w:r>
          </w:p>
          <w:p>
            <w:pPr>
              <w:pStyle w:val="95"/>
            </w:pPr>
            <w:r>
              <w:t>损坏植被</w:t>
            </w:r>
          </w:p>
        </w:tc>
        <w:tc>
          <w:tcPr>
            <w:tcW w:w="470" w:type="pct"/>
            <w:vMerge w:val="restart"/>
            <w:vAlign w:val="center"/>
          </w:tcPr>
          <w:p>
            <w:pPr>
              <w:pStyle w:val="95"/>
            </w:pPr>
            <w:r>
              <w:t>噪声</w:t>
            </w:r>
          </w:p>
          <w:p>
            <w:pPr>
              <w:pStyle w:val="95"/>
            </w:pPr>
            <w:r>
              <w:t>废水</w:t>
            </w:r>
          </w:p>
          <w:p>
            <w:pPr>
              <w:pStyle w:val="95"/>
            </w:pPr>
            <w:r>
              <w:t>环境风险</w:t>
            </w:r>
          </w:p>
          <w:p>
            <w:pPr>
              <w:pStyle w:val="95"/>
            </w:pPr>
            <w:r>
              <w:t>废气</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60" w:hRule="atLeast"/>
          <w:jc w:val="center"/>
        </w:trPr>
        <w:tc>
          <w:tcPr>
            <w:tcW w:w="271" w:type="pct"/>
            <w:vMerge w:val="continue"/>
            <w:vAlign w:val="center"/>
          </w:tcPr>
          <w:p>
            <w:pPr>
              <w:pStyle w:val="95"/>
            </w:pPr>
          </w:p>
        </w:tc>
        <w:tc>
          <w:tcPr>
            <w:tcW w:w="484" w:type="pct"/>
            <w:vAlign w:val="center"/>
          </w:tcPr>
          <w:p>
            <w:pPr>
              <w:pStyle w:val="95"/>
              <w:rPr>
                <w:szCs w:val="21"/>
              </w:rPr>
            </w:pPr>
            <w:r>
              <w:rPr>
                <w:rFonts w:hint="eastAsia"/>
                <w:szCs w:val="21"/>
              </w:rPr>
              <w:t>钻前工程</w:t>
            </w:r>
          </w:p>
        </w:tc>
        <w:tc>
          <w:tcPr>
            <w:tcW w:w="3156" w:type="pct"/>
            <w:gridSpan w:val="3"/>
            <w:vAlign w:val="center"/>
          </w:tcPr>
          <w:p>
            <w:pPr>
              <w:pStyle w:val="95"/>
            </w:pPr>
            <w:r>
              <w:rPr>
                <w:rFonts w:hint="eastAsia"/>
                <w:bCs/>
              </w:rPr>
              <w:t>利旧井场1座（</w:t>
            </w:r>
            <w:r>
              <w:rPr>
                <w:rFonts w:hint="eastAsia"/>
              </w:rPr>
              <w:t>原普陆4井台</w:t>
            </w:r>
            <w:r>
              <w:rPr>
                <w:rFonts w:hint="eastAsia"/>
                <w:bCs/>
              </w:rPr>
              <w:t>），新建方井1座、加长井架基础1座、利旧放喷池1座、清水池1座、循环罐、储备罐等设备基础，新建井场配套设施、进场道路100米，</w:t>
            </w:r>
            <w:r>
              <w:rPr>
                <w:rFonts w:hint="eastAsia"/>
              </w:rPr>
              <w:t>新建排水边沟及内排污沟，井场原破损地面修复</w:t>
            </w:r>
            <w:r>
              <w:rPr>
                <w:rFonts w:hint="eastAsia"/>
                <w:szCs w:val="21"/>
              </w:rPr>
              <w:t>。</w:t>
            </w:r>
          </w:p>
        </w:tc>
        <w:tc>
          <w:tcPr>
            <w:tcW w:w="619" w:type="pct"/>
            <w:vMerge w:val="continue"/>
            <w:vAlign w:val="center"/>
          </w:tcPr>
          <w:p>
            <w:pPr>
              <w:pStyle w:val="95"/>
            </w:pPr>
          </w:p>
        </w:tc>
        <w:tc>
          <w:tcPr>
            <w:tcW w:w="470" w:type="pct"/>
            <w:vMerge w:val="continue"/>
            <w:vAlign w:val="center"/>
          </w:tcPr>
          <w:p>
            <w:pPr>
              <w:pStyle w:val="95"/>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162" w:hRule="atLeast"/>
          <w:jc w:val="center"/>
        </w:trPr>
        <w:tc>
          <w:tcPr>
            <w:tcW w:w="271" w:type="pct"/>
            <w:vMerge w:val="continue"/>
            <w:vAlign w:val="center"/>
          </w:tcPr>
          <w:p>
            <w:pPr>
              <w:pStyle w:val="95"/>
            </w:pPr>
          </w:p>
        </w:tc>
        <w:tc>
          <w:tcPr>
            <w:tcW w:w="484" w:type="pct"/>
            <w:vAlign w:val="center"/>
          </w:tcPr>
          <w:p>
            <w:pPr>
              <w:pStyle w:val="95"/>
              <w:rPr>
                <w:szCs w:val="21"/>
              </w:rPr>
            </w:pPr>
            <w:r>
              <w:rPr>
                <w:rFonts w:hint="eastAsia"/>
                <w:bCs/>
              </w:rPr>
              <w:t>钻井工程</w:t>
            </w:r>
          </w:p>
        </w:tc>
        <w:tc>
          <w:tcPr>
            <w:tcW w:w="3156" w:type="pct"/>
            <w:gridSpan w:val="3"/>
            <w:vAlign w:val="center"/>
          </w:tcPr>
          <w:p>
            <w:pPr>
              <w:pStyle w:val="95"/>
              <w:rPr>
                <w:szCs w:val="21"/>
              </w:rPr>
            </w:pPr>
            <w:r>
              <w:rPr>
                <w:rFonts w:hint="eastAsia"/>
                <w:bCs/>
                <w:szCs w:val="21"/>
              </w:rPr>
              <w:t>设计井深5552米，井型为水平井，水平段长1851米，造斜点2730米。采用三开井身结构：一开选用φ406.4毫米钻头钻至井深351米，下φ339.7毫米套管；二开选用φ311.2毫米钻头钻至井深3088米，下入φ244.5毫米套管；三开采用旋转导向，φ215.9毫米钻头钻至完钻井深，下入139.7毫米套管。自造斜段至井底采用随钻导向系列的自然伽马和井斜方位测井</w:t>
            </w:r>
            <w:r>
              <w:rPr>
                <w:rFonts w:hint="eastAsia"/>
                <w:szCs w:val="21"/>
              </w:rPr>
              <w:t>。</w:t>
            </w:r>
          </w:p>
        </w:tc>
        <w:tc>
          <w:tcPr>
            <w:tcW w:w="619" w:type="pct"/>
            <w:vMerge w:val="continue"/>
            <w:vAlign w:val="center"/>
          </w:tcPr>
          <w:p>
            <w:pPr>
              <w:pStyle w:val="95"/>
            </w:pPr>
          </w:p>
        </w:tc>
        <w:tc>
          <w:tcPr>
            <w:tcW w:w="470" w:type="pct"/>
            <w:vMerge w:val="continue"/>
            <w:vAlign w:val="center"/>
          </w:tcPr>
          <w:p>
            <w:pPr>
              <w:pStyle w:val="95"/>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162" w:hRule="atLeast"/>
          <w:jc w:val="center"/>
        </w:trPr>
        <w:tc>
          <w:tcPr>
            <w:tcW w:w="271" w:type="pct"/>
            <w:vMerge w:val="continue"/>
            <w:vAlign w:val="center"/>
          </w:tcPr>
          <w:p>
            <w:pPr>
              <w:pStyle w:val="95"/>
            </w:pPr>
          </w:p>
        </w:tc>
        <w:tc>
          <w:tcPr>
            <w:tcW w:w="484" w:type="pct"/>
            <w:vAlign w:val="center"/>
          </w:tcPr>
          <w:p>
            <w:pPr>
              <w:pStyle w:val="95"/>
            </w:pPr>
            <w:r>
              <w:rPr>
                <w:rFonts w:hint="eastAsia"/>
              </w:rPr>
              <w:t>采气工程</w:t>
            </w:r>
          </w:p>
        </w:tc>
        <w:tc>
          <w:tcPr>
            <w:tcW w:w="3156" w:type="pct"/>
            <w:gridSpan w:val="3"/>
            <w:vAlign w:val="center"/>
          </w:tcPr>
          <w:p>
            <w:pPr>
              <w:pStyle w:val="95"/>
              <w:rPr>
                <w:szCs w:val="21"/>
              </w:rPr>
            </w:pPr>
            <w:r>
              <w:rPr>
                <w:rFonts w:hint="eastAsia"/>
                <w:bCs/>
              </w:rPr>
              <w:t>采用桥塞分段、套管注入体积压裂工艺，开展二氧化碳前置压裂先导试验，二氧化碳注入排量2-4立方米/分钟，总量2100立方米。设计分14段压裂改造，施工压力89.6兆帕，施工排量18立方米/分钟，总液量23060立方米，总砂量1832立方米。首段采用连续油管射孔，后续采用泵送桥塞+电缆射孔联作工艺。完井采用φ60.3</w:t>
            </w:r>
            <w:r>
              <w:rPr>
                <w:bCs/>
              </w:rPr>
              <w:t>×</w:t>
            </w:r>
            <w:r>
              <w:rPr>
                <w:rFonts w:hint="eastAsia"/>
                <w:bCs/>
              </w:rPr>
              <w:t>4.83毫米N80EU扣油管，DD级70兆帕采气井口，配套70兆帕地面控制系统。设计开展地面微地震人工裂缝监测，各压裂段开展分段改造产能评价</w:t>
            </w:r>
            <w:r>
              <w:rPr>
                <w:bCs/>
                <w:szCs w:val="21"/>
              </w:rPr>
              <w:t>。</w:t>
            </w:r>
            <w:r>
              <w:rPr>
                <w:rFonts w:hint="eastAsia"/>
                <w:bCs/>
                <w:szCs w:val="21"/>
              </w:rPr>
              <w:t>本项目普陆4</w:t>
            </w:r>
            <w:r>
              <w:rPr>
                <w:bCs/>
                <w:szCs w:val="21"/>
              </w:rPr>
              <w:t>-1</w:t>
            </w:r>
            <w:r>
              <w:rPr>
                <w:rFonts w:hint="eastAsia"/>
                <w:bCs/>
                <w:szCs w:val="21"/>
              </w:rPr>
              <w:t>H</w:t>
            </w:r>
            <w:r>
              <w:rPr>
                <w:bCs/>
                <w:szCs w:val="21"/>
              </w:rPr>
              <w:t>井</w:t>
            </w:r>
            <w:r>
              <w:rPr>
                <w:rFonts w:hint="eastAsia"/>
                <w:bCs/>
                <w:szCs w:val="21"/>
              </w:rPr>
              <w:t>压裂最大总液量23060m</w:t>
            </w:r>
            <w:r>
              <w:rPr>
                <w:rFonts w:hint="eastAsia"/>
                <w:bCs/>
                <w:szCs w:val="21"/>
                <w:vertAlign w:val="superscript"/>
              </w:rPr>
              <w:t>3</w:t>
            </w:r>
            <w:r>
              <w:rPr>
                <w:rFonts w:hint="eastAsia"/>
                <w:bCs/>
                <w:szCs w:val="21"/>
              </w:rPr>
              <w:t>，</w:t>
            </w:r>
            <w:r>
              <w:rPr>
                <w:bCs/>
                <w:szCs w:val="21"/>
              </w:rPr>
              <w:t>压裂返排液回用率</w:t>
            </w:r>
            <w:r>
              <w:rPr>
                <w:rFonts w:hint="eastAsia"/>
                <w:bCs/>
                <w:szCs w:val="21"/>
              </w:rPr>
              <w:t>按</w:t>
            </w:r>
            <w:r>
              <w:rPr>
                <w:bCs/>
                <w:szCs w:val="21"/>
              </w:rPr>
              <w:t>85%</w:t>
            </w:r>
            <w:r>
              <w:rPr>
                <w:rFonts w:hint="eastAsia"/>
                <w:bCs/>
                <w:szCs w:val="21"/>
              </w:rPr>
              <w:t>计，单井压裂期间最大压裂废水量为3459m</w:t>
            </w:r>
            <w:r>
              <w:rPr>
                <w:rFonts w:hint="eastAsia"/>
                <w:bCs/>
                <w:szCs w:val="21"/>
                <w:vertAlign w:val="superscript"/>
              </w:rPr>
              <w:t>3</w:t>
            </w:r>
            <w:r>
              <w:rPr>
                <w:rFonts w:hint="eastAsia"/>
                <w:bCs/>
                <w:szCs w:val="21"/>
              </w:rPr>
              <w:t>，单井平均压裂周期按45天计，压裂废水最大产生量约为76.9m</w:t>
            </w:r>
            <w:r>
              <w:rPr>
                <w:rFonts w:hint="eastAsia"/>
                <w:bCs/>
                <w:szCs w:val="21"/>
                <w:vertAlign w:val="superscript"/>
              </w:rPr>
              <w:t>3</w:t>
            </w:r>
            <w:r>
              <w:rPr>
                <w:rFonts w:hint="eastAsia"/>
                <w:bCs/>
                <w:szCs w:val="21"/>
              </w:rPr>
              <w:t>/d，压裂废水可依托现有污水池收集，并及时通过罐车拉运</w:t>
            </w:r>
            <w:r>
              <w:rPr>
                <w:bCs/>
                <w:szCs w:val="21"/>
              </w:rPr>
              <w:t>至大湾403污水站处理达标后管输至毛开1井回注站回注</w:t>
            </w:r>
            <w:r>
              <w:rPr>
                <w:rFonts w:hint="eastAsia"/>
                <w:bCs/>
                <w:szCs w:val="21"/>
              </w:rPr>
              <w:t>。污水池容积约1800m</w:t>
            </w:r>
            <w:r>
              <w:rPr>
                <w:rFonts w:hint="eastAsia"/>
                <w:bCs/>
                <w:szCs w:val="21"/>
                <w:vertAlign w:val="superscript"/>
              </w:rPr>
              <w:t>3</w:t>
            </w:r>
            <w:r>
              <w:rPr>
                <w:rFonts w:hint="eastAsia"/>
                <w:bCs/>
                <w:szCs w:val="21"/>
              </w:rPr>
              <w:t>，可满足约23天的压裂废水的储存，同时本项目设置10台罐车（罐容为20m</w:t>
            </w:r>
            <w:r>
              <w:rPr>
                <w:rFonts w:hint="eastAsia"/>
                <w:bCs/>
                <w:szCs w:val="21"/>
                <w:vertAlign w:val="superscript"/>
              </w:rPr>
              <w:t>3</w:t>
            </w:r>
            <w:r>
              <w:rPr>
                <w:rFonts w:hint="eastAsia"/>
                <w:bCs/>
                <w:szCs w:val="21"/>
              </w:rPr>
              <w:t>），压裂废水采取每周拉运一次，能够保证压裂废水得到有效收集和及时处置。</w:t>
            </w:r>
          </w:p>
        </w:tc>
        <w:tc>
          <w:tcPr>
            <w:tcW w:w="619" w:type="pct"/>
            <w:vMerge w:val="continue"/>
            <w:vAlign w:val="center"/>
          </w:tcPr>
          <w:p>
            <w:pPr>
              <w:pStyle w:val="95"/>
            </w:pPr>
          </w:p>
        </w:tc>
        <w:tc>
          <w:tcPr>
            <w:tcW w:w="470" w:type="pct"/>
            <w:vMerge w:val="continue"/>
            <w:vAlign w:val="center"/>
          </w:tcPr>
          <w:p>
            <w:pPr>
              <w:pStyle w:val="95"/>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271" w:type="pct"/>
            <w:vMerge w:val="continue"/>
            <w:vAlign w:val="center"/>
          </w:tcPr>
          <w:p>
            <w:pPr>
              <w:pStyle w:val="95"/>
            </w:pPr>
          </w:p>
        </w:tc>
        <w:tc>
          <w:tcPr>
            <w:tcW w:w="484" w:type="pct"/>
            <w:vAlign w:val="center"/>
          </w:tcPr>
          <w:p>
            <w:pPr>
              <w:pStyle w:val="95"/>
            </w:pPr>
            <w:r>
              <w:rPr>
                <w:rFonts w:hint="eastAsia"/>
              </w:rPr>
              <w:t>地面集输工程</w:t>
            </w:r>
          </w:p>
        </w:tc>
        <w:tc>
          <w:tcPr>
            <w:tcW w:w="3156" w:type="pct"/>
            <w:gridSpan w:val="3"/>
            <w:vAlign w:val="center"/>
          </w:tcPr>
          <w:p>
            <w:pPr>
              <w:pStyle w:val="95"/>
            </w:pPr>
            <w:r>
              <w:rPr>
                <w:rFonts w:hint="eastAsia"/>
                <w:bCs/>
              </w:rPr>
              <w:t>新建普陆4-1H井地面集输装置1套，采用湿气外输工艺，井口来气经除砂、加热荣流、气液分离、闪蒸分离后气、水分输进P107集气站，凝析油在站内拉运；配套地面流程及自控、电力、通讯等设施。普陆4-1H井因采用注二氧化碳采气工艺，地面采用加注缓蚀剂、站内设备采用内涂层等抗腐蚀工艺。拆除并恢复站内普陆4井已建的井口流程、水套加热炉、乙二醇加注撬、管网等设施</w:t>
            </w:r>
            <w:r>
              <w:rPr>
                <w:rFonts w:hint="eastAsia"/>
              </w:rPr>
              <w:t>。新建</w:t>
            </w:r>
            <w:r>
              <w:t>普陆4集气平台~</w:t>
            </w:r>
            <w:r>
              <w:rPr>
                <w:rFonts w:hint="eastAsia"/>
              </w:rPr>
              <w:t>P107集气站集气管道，设计压力10MPa，</w:t>
            </w:r>
            <w:r>
              <w:t>材质为</w:t>
            </w:r>
            <w:r>
              <w:rPr>
                <w:rFonts w:hint="eastAsia"/>
              </w:rPr>
              <w:t>L</w:t>
            </w:r>
            <w:r>
              <w:t>245</w:t>
            </w:r>
            <w:r>
              <w:rPr>
                <w:rFonts w:hint="eastAsia"/>
              </w:rPr>
              <w:t>N无缝钢管PSL2，管径 D</w:t>
            </w:r>
            <w:r>
              <w:t>N80</w:t>
            </w:r>
            <w:r>
              <w:rPr>
                <w:rFonts w:hint="eastAsia"/>
              </w:rPr>
              <w:t>×</w:t>
            </w:r>
            <w:r>
              <w:t>6.5</w:t>
            </w:r>
            <w:r>
              <w:rPr>
                <w:rFonts w:hint="eastAsia"/>
              </w:rPr>
              <w:t>，长度约350m</w:t>
            </w:r>
            <w:r>
              <w:t>。</w:t>
            </w:r>
          </w:p>
        </w:tc>
        <w:tc>
          <w:tcPr>
            <w:tcW w:w="619" w:type="pct"/>
            <w:vMerge w:val="continue"/>
            <w:vAlign w:val="center"/>
          </w:tcPr>
          <w:p>
            <w:pPr>
              <w:pStyle w:val="95"/>
            </w:pPr>
          </w:p>
        </w:tc>
        <w:tc>
          <w:tcPr>
            <w:tcW w:w="470" w:type="pct"/>
            <w:vMerge w:val="continue"/>
            <w:vAlign w:val="center"/>
          </w:tcPr>
          <w:p>
            <w:pPr>
              <w:pStyle w:val="95"/>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271" w:type="pct"/>
            <w:vMerge w:val="restart"/>
            <w:vAlign w:val="center"/>
          </w:tcPr>
          <w:p>
            <w:pPr>
              <w:pStyle w:val="95"/>
            </w:pPr>
            <w:r>
              <w:t>辅助工程</w:t>
            </w:r>
          </w:p>
        </w:tc>
        <w:tc>
          <w:tcPr>
            <w:tcW w:w="484" w:type="pct"/>
            <w:vAlign w:val="center"/>
          </w:tcPr>
          <w:p>
            <w:pPr>
              <w:pStyle w:val="95"/>
            </w:pPr>
            <w:r>
              <w:t>管道防腐</w:t>
            </w:r>
          </w:p>
        </w:tc>
        <w:tc>
          <w:tcPr>
            <w:tcW w:w="3156" w:type="pct"/>
            <w:gridSpan w:val="3"/>
            <w:vAlign w:val="center"/>
          </w:tcPr>
          <w:p>
            <w:pPr>
              <w:pStyle w:val="95"/>
            </w:pPr>
            <w:r>
              <w:t>埋地酸气管线防腐保温采用“管中管”成型工艺，保温层采用硬质</w:t>
            </w:r>
            <w:r>
              <w:rPr>
                <w:rFonts w:hint="eastAsia"/>
                <w:lang w:eastAsia="zh-CN"/>
              </w:rPr>
              <w:t>聚氨酯</w:t>
            </w:r>
            <w:r>
              <w:t>泡沫聚乙烯防腐保温层（保温层厚40mm），防腐层采用环氧粉末；防护层采用聚乙烯层，酸气管道补口采用现场发泡，补口防腐采用无溶剂液体环氧涂料+粘弹体胶带+聚乙烯袖套管+粘弹体胶带+辐射交联聚乙烯热收缩带。</w:t>
            </w:r>
          </w:p>
        </w:tc>
        <w:tc>
          <w:tcPr>
            <w:tcW w:w="619" w:type="pct"/>
            <w:vMerge w:val="restart"/>
            <w:vAlign w:val="center"/>
          </w:tcPr>
          <w:p>
            <w:pPr>
              <w:pStyle w:val="95"/>
            </w:pPr>
            <w:r>
              <w:t>噪声</w:t>
            </w:r>
          </w:p>
          <w:p>
            <w:pPr>
              <w:pStyle w:val="95"/>
            </w:pPr>
            <w:r>
              <w:t>水土流失</w:t>
            </w:r>
          </w:p>
          <w:p>
            <w:pPr>
              <w:pStyle w:val="95"/>
            </w:pPr>
            <w:r>
              <w:t>植物破坏</w:t>
            </w:r>
          </w:p>
        </w:tc>
        <w:tc>
          <w:tcPr>
            <w:tcW w:w="470" w:type="pct"/>
            <w:tcBorders>
              <w:bottom w:val="single" w:color="000000" w:sz="2" w:space="0"/>
            </w:tcBorders>
            <w:vAlign w:val="center"/>
          </w:tcPr>
          <w:p>
            <w:pPr>
              <w:pStyle w:val="95"/>
            </w:pPr>
            <w: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271" w:type="pct"/>
            <w:vMerge w:val="continue"/>
            <w:vAlign w:val="center"/>
          </w:tcPr>
          <w:p>
            <w:pPr>
              <w:pStyle w:val="95"/>
            </w:pPr>
          </w:p>
        </w:tc>
        <w:tc>
          <w:tcPr>
            <w:tcW w:w="484" w:type="pct"/>
            <w:vAlign w:val="center"/>
          </w:tcPr>
          <w:p>
            <w:pPr>
              <w:pStyle w:val="95"/>
            </w:pPr>
            <w:r>
              <w:t>管道阴极保护</w:t>
            </w:r>
          </w:p>
        </w:tc>
        <w:tc>
          <w:tcPr>
            <w:tcW w:w="3156" w:type="pct"/>
            <w:gridSpan w:val="3"/>
            <w:vAlign w:val="center"/>
          </w:tcPr>
          <w:p>
            <w:pPr>
              <w:pStyle w:val="95"/>
            </w:pPr>
            <w:r>
              <w:rPr>
                <w:rFonts w:hint="eastAsia"/>
              </w:rPr>
              <w:t>普陆4集气平台</w:t>
            </w:r>
            <w:r>
              <w:t>新建阴极保护站1座。实施强制电流阴极保护。</w:t>
            </w:r>
          </w:p>
        </w:tc>
        <w:tc>
          <w:tcPr>
            <w:tcW w:w="619" w:type="pct"/>
            <w:vMerge w:val="continue"/>
            <w:vAlign w:val="center"/>
          </w:tcPr>
          <w:p>
            <w:pPr>
              <w:pStyle w:val="95"/>
            </w:pPr>
          </w:p>
        </w:tc>
        <w:tc>
          <w:tcPr>
            <w:tcW w:w="470" w:type="pct"/>
            <w:tcBorders>
              <w:top w:val="single" w:color="000000" w:sz="2" w:space="0"/>
              <w:bottom w:val="single" w:color="000000" w:sz="2" w:space="0"/>
            </w:tcBorders>
            <w:vAlign w:val="center"/>
          </w:tcPr>
          <w:p>
            <w:pPr>
              <w:pStyle w:val="95"/>
            </w:pPr>
            <w: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271" w:type="pct"/>
            <w:vMerge w:val="continue"/>
            <w:vAlign w:val="center"/>
          </w:tcPr>
          <w:p>
            <w:pPr>
              <w:pStyle w:val="95"/>
            </w:pPr>
          </w:p>
        </w:tc>
        <w:tc>
          <w:tcPr>
            <w:tcW w:w="484" w:type="pct"/>
            <w:vAlign w:val="center"/>
          </w:tcPr>
          <w:p>
            <w:pPr>
              <w:pStyle w:val="95"/>
            </w:pPr>
            <w:r>
              <w:t>探伤检测</w:t>
            </w:r>
          </w:p>
        </w:tc>
        <w:tc>
          <w:tcPr>
            <w:tcW w:w="3156" w:type="pct"/>
            <w:gridSpan w:val="3"/>
            <w:vAlign w:val="center"/>
          </w:tcPr>
          <w:p>
            <w:pPr>
              <w:pStyle w:val="95"/>
            </w:pPr>
            <w:r>
              <w:t>管道焊缝进行100%超声波探伤检测，检测合格后，再采取100%的射线探伤复检。工程探伤检验由专业队伍开展，应按照《工业X射线探伤放射防护要求》（GBZ117-2015）对管道探伤射线复验进行。不在本次评价范围内。</w:t>
            </w:r>
          </w:p>
        </w:tc>
        <w:tc>
          <w:tcPr>
            <w:tcW w:w="619" w:type="pct"/>
            <w:vMerge w:val="continue"/>
            <w:vAlign w:val="center"/>
          </w:tcPr>
          <w:p>
            <w:pPr>
              <w:pStyle w:val="95"/>
            </w:pPr>
          </w:p>
        </w:tc>
        <w:tc>
          <w:tcPr>
            <w:tcW w:w="470" w:type="pct"/>
            <w:tcBorders>
              <w:top w:val="single" w:color="000000" w:sz="2" w:space="0"/>
              <w:bottom w:val="single" w:color="000000" w:sz="2" w:space="0"/>
            </w:tcBorders>
            <w:vAlign w:val="center"/>
          </w:tcPr>
          <w:p>
            <w:pPr>
              <w:pStyle w:val="95"/>
            </w:pPr>
            <w: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271" w:type="pct"/>
            <w:vMerge w:val="continue"/>
            <w:vAlign w:val="center"/>
          </w:tcPr>
          <w:p>
            <w:pPr>
              <w:pStyle w:val="95"/>
            </w:pPr>
          </w:p>
        </w:tc>
        <w:tc>
          <w:tcPr>
            <w:tcW w:w="484" w:type="pct"/>
            <w:vAlign w:val="center"/>
          </w:tcPr>
          <w:p>
            <w:pPr>
              <w:pStyle w:val="95"/>
            </w:pPr>
            <w:r>
              <w:t>通讯工程</w:t>
            </w:r>
          </w:p>
        </w:tc>
        <w:tc>
          <w:tcPr>
            <w:tcW w:w="3156" w:type="pct"/>
            <w:gridSpan w:val="3"/>
            <w:vAlign w:val="center"/>
          </w:tcPr>
          <w:p>
            <w:pPr>
              <w:snapToGrid w:val="0"/>
              <w:spacing w:line="240" w:lineRule="auto"/>
              <w:ind w:firstLine="0" w:firstLineChars="0"/>
              <w:jc w:val="center"/>
              <w:rPr>
                <w:rFonts w:ascii="Times New Roman" w:cs="Times New Roman"/>
                <w:kern w:val="2"/>
                <w:sz w:val="21"/>
              </w:rPr>
            </w:pPr>
            <w:r>
              <w:rPr>
                <w:rFonts w:ascii="Times New Roman" w:cs="Times New Roman"/>
                <w:kern w:val="2"/>
                <w:sz w:val="21"/>
              </w:rPr>
              <w:t>含光缆线路、光传输系统、工业以太网、站场广播对讲系统（PA/GA）、工业电视监控系统、周界报警系统、办公网及语音系统、气象系统、紧急疏散广播系统扩容、通信基站。</w:t>
            </w:r>
          </w:p>
        </w:tc>
        <w:tc>
          <w:tcPr>
            <w:tcW w:w="619" w:type="pct"/>
            <w:vMerge w:val="continue"/>
            <w:vAlign w:val="center"/>
          </w:tcPr>
          <w:p>
            <w:pPr>
              <w:pStyle w:val="95"/>
            </w:pPr>
          </w:p>
        </w:tc>
        <w:tc>
          <w:tcPr>
            <w:tcW w:w="470" w:type="pct"/>
            <w:tcBorders>
              <w:top w:val="single" w:color="000000" w:sz="2" w:space="0"/>
              <w:bottom w:val="single" w:color="000000" w:sz="2" w:space="0"/>
            </w:tcBorders>
            <w:vAlign w:val="center"/>
          </w:tcPr>
          <w:p>
            <w:pPr>
              <w:pStyle w:val="95"/>
            </w:pPr>
            <w: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15" w:hRule="atLeast"/>
          <w:jc w:val="center"/>
        </w:trPr>
        <w:tc>
          <w:tcPr>
            <w:tcW w:w="271" w:type="pct"/>
            <w:vMerge w:val="continue"/>
            <w:vAlign w:val="center"/>
          </w:tcPr>
          <w:p>
            <w:pPr>
              <w:pStyle w:val="95"/>
            </w:pPr>
          </w:p>
        </w:tc>
        <w:tc>
          <w:tcPr>
            <w:tcW w:w="484" w:type="pct"/>
            <w:vAlign w:val="center"/>
          </w:tcPr>
          <w:p>
            <w:pPr>
              <w:pStyle w:val="95"/>
            </w:pPr>
            <w:r>
              <w:t>自动控制</w:t>
            </w:r>
          </w:p>
        </w:tc>
        <w:tc>
          <w:tcPr>
            <w:tcW w:w="3156" w:type="pct"/>
            <w:gridSpan w:val="3"/>
            <w:tcBorders>
              <w:bottom w:val="single" w:color="000000" w:sz="2" w:space="0"/>
            </w:tcBorders>
            <w:vAlign w:val="center"/>
          </w:tcPr>
          <w:p>
            <w:pPr>
              <w:snapToGrid w:val="0"/>
              <w:spacing w:line="240" w:lineRule="auto"/>
              <w:ind w:firstLine="0" w:firstLineChars="0"/>
              <w:jc w:val="center"/>
              <w:rPr>
                <w:rFonts w:ascii="Times New Roman" w:cs="Times New Roman"/>
                <w:kern w:val="2"/>
                <w:sz w:val="21"/>
              </w:rPr>
            </w:pPr>
            <w:r>
              <w:rPr>
                <w:rFonts w:ascii="Times New Roman" w:cs="Times New Roman"/>
                <w:kern w:val="2"/>
                <w:sz w:val="21"/>
              </w:rPr>
              <w:t>过程控制系统（PCS）和安全仪表系统（SIS）</w:t>
            </w:r>
          </w:p>
        </w:tc>
        <w:tc>
          <w:tcPr>
            <w:tcW w:w="619" w:type="pct"/>
            <w:vMerge w:val="continue"/>
            <w:vAlign w:val="center"/>
          </w:tcPr>
          <w:p>
            <w:pPr>
              <w:ind w:firstLine="480"/>
              <w:rPr>
                <w:rFonts w:ascii="Times New Roman" w:cs="Times New Roman"/>
              </w:rPr>
            </w:pPr>
          </w:p>
        </w:tc>
        <w:tc>
          <w:tcPr>
            <w:tcW w:w="470" w:type="pct"/>
            <w:tcBorders>
              <w:top w:val="single" w:color="000000" w:sz="2" w:space="0"/>
              <w:bottom w:val="single" w:color="000000" w:sz="2" w:space="0"/>
            </w:tcBorders>
            <w:vAlign w:val="center"/>
          </w:tcPr>
          <w:p>
            <w:pPr>
              <w:ind w:firstLine="360" w:firstLineChars="150"/>
              <w:rPr>
                <w:rFonts w:ascii="Times New Roman" w:cs="Times New Roman"/>
              </w:rPr>
            </w:pPr>
            <w:r>
              <w:rPr>
                <w:rFonts w:ascii="Times New Roman" w:cs="Times New Roman"/>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16" w:hRule="atLeast"/>
          <w:jc w:val="center"/>
        </w:trPr>
        <w:tc>
          <w:tcPr>
            <w:tcW w:w="271" w:type="pct"/>
            <w:vMerge w:val="continue"/>
            <w:vAlign w:val="center"/>
          </w:tcPr>
          <w:p>
            <w:pPr>
              <w:pStyle w:val="95"/>
            </w:pPr>
          </w:p>
        </w:tc>
        <w:tc>
          <w:tcPr>
            <w:tcW w:w="484" w:type="pct"/>
            <w:vAlign w:val="center"/>
          </w:tcPr>
          <w:p>
            <w:pPr>
              <w:pStyle w:val="95"/>
            </w:pPr>
            <w:r>
              <w:t>给排水工程</w:t>
            </w:r>
          </w:p>
        </w:tc>
        <w:tc>
          <w:tcPr>
            <w:tcW w:w="3156" w:type="pct"/>
            <w:gridSpan w:val="3"/>
            <w:tcBorders>
              <w:top w:val="single" w:color="000000" w:sz="2" w:space="0"/>
              <w:bottom w:val="single" w:color="000000" w:sz="2" w:space="0"/>
            </w:tcBorders>
            <w:vAlign w:val="center"/>
          </w:tcPr>
          <w:p>
            <w:pPr>
              <w:snapToGrid w:val="0"/>
              <w:spacing w:line="240" w:lineRule="auto"/>
              <w:ind w:firstLine="0" w:firstLineChars="0"/>
              <w:jc w:val="center"/>
              <w:rPr>
                <w:rFonts w:ascii="Times New Roman" w:cs="Times New Roman"/>
                <w:kern w:val="2"/>
                <w:sz w:val="21"/>
              </w:rPr>
            </w:pPr>
            <w:r>
              <w:rPr>
                <w:rFonts w:ascii="Times New Roman" w:cs="Times New Roman"/>
                <w:kern w:val="2"/>
                <w:sz w:val="21"/>
              </w:rPr>
              <w:t>井场生活、生产用水采用罐车拉水的方式，车拉水卸至站场高架水箱，由水箱供给单井站生产生活用水；</w:t>
            </w:r>
            <w:r>
              <w:rPr>
                <w:rFonts w:hint="eastAsia" w:ascii="Times New Roman" w:cs="Times New Roman"/>
                <w:kern w:val="2"/>
                <w:sz w:val="21"/>
              </w:rPr>
              <w:t>施工期井</w:t>
            </w:r>
            <w:r>
              <w:rPr>
                <w:rFonts w:ascii="Times New Roman" w:cs="Times New Roman"/>
                <w:kern w:val="2"/>
                <w:sz w:val="21"/>
              </w:rPr>
              <w:t>场施工</w:t>
            </w:r>
            <w:r>
              <w:rPr>
                <w:rFonts w:hint="eastAsia" w:ascii="Times New Roman" w:cs="Times New Roman"/>
                <w:kern w:val="2"/>
                <w:sz w:val="21"/>
                <w:lang w:eastAsia="zh-CN"/>
              </w:rPr>
              <w:t>如厕</w:t>
            </w:r>
            <w:r>
              <w:rPr>
                <w:rFonts w:ascii="Times New Roman" w:cs="Times New Roman"/>
                <w:kern w:val="2"/>
                <w:sz w:val="21"/>
              </w:rPr>
              <w:t>生活污水</w:t>
            </w:r>
            <w:r>
              <w:rPr>
                <w:rFonts w:hint="eastAsia" w:ascii="Times New Roman" w:cs="Times New Roman"/>
                <w:kern w:val="2"/>
                <w:sz w:val="21"/>
              </w:rPr>
              <w:t>依托</w:t>
            </w:r>
            <w:r>
              <w:rPr>
                <w:rFonts w:ascii="Times New Roman" w:cs="Times New Roman"/>
                <w:kern w:val="2"/>
                <w:sz w:val="21"/>
              </w:rPr>
              <w:t>经</w:t>
            </w:r>
            <w:r>
              <w:rPr>
                <w:rFonts w:ascii="Times New Roman" w:cs="Times New Roman"/>
                <w:bCs/>
                <w:kern w:val="2"/>
                <w:sz w:val="21"/>
              </w:rPr>
              <w:t>生态环保厕所收集处理</w:t>
            </w:r>
            <w:r>
              <w:rPr>
                <w:rFonts w:ascii="Times New Roman" w:cs="Times New Roman"/>
                <w:kern w:val="2"/>
                <w:sz w:val="21"/>
              </w:rPr>
              <w:t>后，用作周边农肥，不外排</w:t>
            </w:r>
            <w:r>
              <w:rPr>
                <w:rFonts w:hint="eastAsia" w:ascii="Times New Roman" w:cs="Times New Roman"/>
                <w:kern w:val="2"/>
                <w:sz w:val="21"/>
              </w:rPr>
              <w:t>，员工洗澡、食堂废水经单独收集后拉运至黄金镇场镇污水处理厂处理</w:t>
            </w:r>
            <w:r>
              <w:rPr>
                <w:rFonts w:ascii="Times New Roman" w:cs="Times New Roman"/>
                <w:kern w:val="2"/>
                <w:sz w:val="21"/>
              </w:rPr>
              <w:t>；雨水依托站内排水沟散排。</w:t>
            </w:r>
          </w:p>
        </w:tc>
        <w:tc>
          <w:tcPr>
            <w:tcW w:w="619" w:type="pct"/>
            <w:vMerge w:val="continue"/>
            <w:vAlign w:val="center"/>
          </w:tcPr>
          <w:p>
            <w:pPr>
              <w:ind w:firstLine="480"/>
              <w:rPr>
                <w:rFonts w:ascii="Times New Roman" w:cs="Times New Roman"/>
              </w:rPr>
            </w:pPr>
          </w:p>
        </w:tc>
        <w:tc>
          <w:tcPr>
            <w:tcW w:w="470" w:type="pct"/>
            <w:tcBorders>
              <w:top w:val="single" w:color="000000" w:sz="2" w:space="0"/>
              <w:bottom w:val="single" w:color="000000" w:sz="2" w:space="0"/>
            </w:tcBorders>
            <w:vAlign w:val="center"/>
          </w:tcPr>
          <w:p>
            <w:pPr>
              <w:pStyle w:val="95"/>
            </w:pPr>
            <w: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16" w:hRule="atLeast"/>
          <w:jc w:val="center"/>
        </w:trPr>
        <w:tc>
          <w:tcPr>
            <w:tcW w:w="271" w:type="pct"/>
            <w:vMerge w:val="continue"/>
            <w:vAlign w:val="center"/>
          </w:tcPr>
          <w:p>
            <w:pPr>
              <w:pStyle w:val="95"/>
            </w:pPr>
          </w:p>
        </w:tc>
        <w:tc>
          <w:tcPr>
            <w:tcW w:w="484" w:type="pct"/>
            <w:vAlign w:val="center"/>
          </w:tcPr>
          <w:p>
            <w:pPr>
              <w:pStyle w:val="95"/>
            </w:pPr>
            <w:r>
              <w:t>供配电</w:t>
            </w:r>
          </w:p>
        </w:tc>
        <w:tc>
          <w:tcPr>
            <w:tcW w:w="3156" w:type="pct"/>
            <w:gridSpan w:val="3"/>
            <w:tcBorders>
              <w:top w:val="single" w:color="000000" w:sz="2" w:space="0"/>
              <w:bottom w:val="single" w:color="000000" w:sz="2" w:space="0"/>
            </w:tcBorders>
            <w:vAlign w:val="center"/>
          </w:tcPr>
          <w:p>
            <w:pPr>
              <w:snapToGrid w:val="0"/>
              <w:spacing w:line="240" w:lineRule="auto"/>
              <w:ind w:firstLine="0" w:firstLineChars="0"/>
              <w:jc w:val="center"/>
              <w:rPr>
                <w:rFonts w:ascii="Times New Roman" w:cs="Times New Roman"/>
                <w:kern w:val="2"/>
                <w:sz w:val="21"/>
              </w:rPr>
            </w:pPr>
            <w:r>
              <w:rPr>
                <w:rFonts w:ascii="Times New Roman" w:cs="Times New Roman"/>
                <w:kern w:val="2"/>
                <w:sz w:val="21"/>
              </w:rPr>
              <w:t>站内设电力小屋1座，内设35kV高压开关柜、干式变压器柜、低压配电柜和UPS装置。</w:t>
            </w:r>
          </w:p>
        </w:tc>
        <w:tc>
          <w:tcPr>
            <w:tcW w:w="619" w:type="pct"/>
            <w:vMerge w:val="continue"/>
            <w:vAlign w:val="center"/>
          </w:tcPr>
          <w:p>
            <w:pPr>
              <w:ind w:firstLine="480"/>
              <w:rPr>
                <w:rFonts w:ascii="Times New Roman" w:cs="Times New Roman"/>
              </w:rPr>
            </w:pPr>
          </w:p>
        </w:tc>
        <w:tc>
          <w:tcPr>
            <w:tcW w:w="470" w:type="pct"/>
            <w:tcBorders>
              <w:top w:val="single" w:color="000000" w:sz="2" w:space="0"/>
              <w:bottom w:val="single" w:color="000000" w:sz="2" w:space="0"/>
            </w:tcBorders>
            <w:vAlign w:val="center"/>
          </w:tcPr>
          <w:p>
            <w:pPr>
              <w:pStyle w:val="95"/>
            </w:pPr>
            <w: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16" w:hRule="atLeast"/>
          <w:jc w:val="center"/>
        </w:trPr>
        <w:tc>
          <w:tcPr>
            <w:tcW w:w="271" w:type="pct"/>
            <w:vMerge w:val="continue"/>
            <w:vAlign w:val="center"/>
          </w:tcPr>
          <w:p>
            <w:pPr>
              <w:pStyle w:val="95"/>
            </w:pPr>
          </w:p>
        </w:tc>
        <w:tc>
          <w:tcPr>
            <w:tcW w:w="484" w:type="pct"/>
            <w:vAlign w:val="center"/>
          </w:tcPr>
          <w:p>
            <w:pPr>
              <w:pStyle w:val="95"/>
              <w:rPr>
                <w:color w:val="0000FF"/>
              </w:rPr>
            </w:pPr>
            <w:r>
              <w:rPr>
                <w:color w:val="0000FF"/>
              </w:rPr>
              <w:t>水套炉</w:t>
            </w:r>
          </w:p>
        </w:tc>
        <w:tc>
          <w:tcPr>
            <w:tcW w:w="3156" w:type="pct"/>
            <w:gridSpan w:val="3"/>
            <w:tcBorders>
              <w:top w:val="single" w:color="000000" w:sz="2" w:space="0"/>
              <w:bottom w:val="single" w:color="000000" w:sz="2" w:space="0"/>
            </w:tcBorders>
            <w:vAlign w:val="center"/>
          </w:tcPr>
          <w:p>
            <w:pPr>
              <w:snapToGrid w:val="0"/>
              <w:spacing w:line="240" w:lineRule="auto"/>
              <w:ind w:firstLine="0" w:firstLineChars="0"/>
              <w:jc w:val="center"/>
              <w:rPr>
                <w:rFonts w:ascii="Times New Roman" w:cs="Times New Roman"/>
                <w:color w:val="0000FF"/>
                <w:kern w:val="2"/>
                <w:sz w:val="21"/>
              </w:rPr>
            </w:pPr>
            <w:r>
              <w:rPr>
                <w:rFonts w:ascii="Times New Roman" w:cs="Times New Roman"/>
                <w:color w:val="0000FF"/>
                <w:kern w:val="2"/>
                <w:sz w:val="21"/>
              </w:rPr>
              <w:t>设2盘管水套加热炉撬</w:t>
            </w:r>
            <w:r>
              <w:rPr>
                <w:rFonts w:hint="eastAsia" w:ascii="Times New Roman" w:cs="Times New Roman"/>
                <w:color w:val="0000FF"/>
                <w:kern w:val="2"/>
                <w:sz w:val="21"/>
              </w:rPr>
              <w:t>1套</w:t>
            </w:r>
          </w:p>
        </w:tc>
        <w:tc>
          <w:tcPr>
            <w:tcW w:w="619" w:type="pct"/>
            <w:vMerge w:val="continue"/>
            <w:vAlign w:val="center"/>
          </w:tcPr>
          <w:p>
            <w:pPr>
              <w:ind w:firstLine="480"/>
              <w:rPr>
                <w:rFonts w:ascii="Times New Roman" w:cs="Times New Roman"/>
              </w:rPr>
            </w:pPr>
          </w:p>
        </w:tc>
        <w:tc>
          <w:tcPr>
            <w:tcW w:w="470" w:type="pct"/>
            <w:tcBorders>
              <w:top w:val="single" w:color="000000" w:sz="2" w:space="0"/>
              <w:bottom w:val="single" w:color="000000" w:sz="2" w:space="0"/>
            </w:tcBorders>
            <w:vAlign w:val="center"/>
          </w:tcPr>
          <w:p>
            <w:pPr>
              <w:pStyle w:val="95"/>
              <w:rPr>
                <w:color w:val="0000FF"/>
              </w:rPr>
            </w:pPr>
            <w:r>
              <w:rPr>
                <w:color w:val="0000FF"/>
              </w:rPr>
              <w:t>废气</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16" w:hRule="atLeast"/>
          <w:jc w:val="center"/>
        </w:trPr>
        <w:tc>
          <w:tcPr>
            <w:tcW w:w="271" w:type="pct"/>
            <w:vMerge w:val="continue"/>
            <w:vAlign w:val="center"/>
          </w:tcPr>
          <w:p>
            <w:pPr>
              <w:pStyle w:val="95"/>
            </w:pPr>
          </w:p>
        </w:tc>
        <w:tc>
          <w:tcPr>
            <w:tcW w:w="484" w:type="pct"/>
            <w:vAlign w:val="center"/>
          </w:tcPr>
          <w:p>
            <w:pPr>
              <w:pStyle w:val="95"/>
            </w:pPr>
            <w:r>
              <w:rPr>
                <w:szCs w:val="21"/>
              </w:rPr>
              <w:t>管道标识</w:t>
            </w:r>
          </w:p>
        </w:tc>
        <w:tc>
          <w:tcPr>
            <w:tcW w:w="3156" w:type="pct"/>
            <w:gridSpan w:val="3"/>
            <w:tcBorders>
              <w:top w:val="single" w:color="000000" w:sz="2" w:space="0"/>
              <w:bottom w:val="single" w:color="000000" w:sz="2" w:space="0"/>
            </w:tcBorders>
            <w:vAlign w:val="center"/>
          </w:tcPr>
          <w:p>
            <w:pPr>
              <w:snapToGrid w:val="0"/>
              <w:spacing w:line="240" w:lineRule="auto"/>
              <w:ind w:firstLine="0" w:firstLineChars="0"/>
              <w:jc w:val="center"/>
              <w:rPr>
                <w:rFonts w:ascii="Times New Roman" w:cs="Times New Roman"/>
                <w:kern w:val="2"/>
                <w:sz w:val="21"/>
                <w:szCs w:val="21"/>
              </w:rPr>
            </w:pPr>
            <w:r>
              <w:rPr>
                <w:rFonts w:ascii="Times New Roman" w:cs="Times New Roman"/>
                <w:sz w:val="21"/>
                <w:szCs w:val="21"/>
              </w:rPr>
              <w:t>管道标志桩、警示牌、警示带</w:t>
            </w:r>
          </w:p>
        </w:tc>
        <w:tc>
          <w:tcPr>
            <w:tcW w:w="619" w:type="pct"/>
            <w:vMerge w:val="continue"/>
            <w:vAlign w:val="center"/>
          </w:tcPr>
          <w:p>
            <w:pPr>
              <w:ind w:firstLine="480"/>
              <w:rPr>
                <w:rFonts w:ascii="Times New Roman" w:cs="Times New Roman"/>
              </w:rPr>
            </w:pPr>
          </w:p>
        </w:tc>
        <w:tc>
          <w:tcPr>
            <w:tcW w:w="470" w:type="pct"/>
            <w:tcBorders>
              <w:top w:val="single" w:color="000000" w:sz="2" w:space="0"/>
              <w:bottom w:val="single" w:color="000000" w:sz="2" w:space="0"/>
            </w:tcBorders>
            <w:vAlign w:val="center"/>
          </w:tcPr>
          <w:p>
            <w:pPr>
              <w:pStyle w:val="95"/>
            </w:pPr>
            <w: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16" w:hRule="atLeast"/>
          <w:jc w:val="center"/>
        </w:trPr>
        <w:tc>
          <w:tcPr>
            <w:tcW w:w="271" w:type="pct"/>
            <w:vMerge w:val="continue"/>
            <w:vAlign w:val="center"/>
          </w:tcPr>
          <w:p>
            <w:pPr>
              <w:pStyle w:val="95"/>
            </w:pPr>
          </w:p>
        </w:tc>
        <w:tc>
          <w:tcPr>
            <w:tcW w:w="484" w:type="pct"/>
            <w:vAlign w:val="center"/>
          </w:tcPr>
          <w:p>
            <w:pPr>
              <w:pStyle w:val="95"/>
              <w:rPr>
                <w:szCs w:val="21"/>
              </w:rPr>
            </w:pPr>
            <w:r>
              <w:rPr>
                <w:rFonts w:hint="eastAsia"/>
              </w:rPr>
              <w:t>进场道路</w:t>
            </w:r>
          </w:p>
        </w:tc>
        <w:tc>
          <w:tcPr>
            <w:tcW w:w="3156" w:type="pct"/>
            <w:gridSpan w:val="3"/>
            <w:tcBorders>
              <w:top w:val="single" w:color="000000" w:sz="2" w:space="0"/>
              <w:bottom w:val="single" w:color="000000" w:sz="2" w:space="0"/>
            </w:tcBorders>
            <w:vAlign w:val="center"/>
          </w:tcPr>
          <w:p>
            <w:pPr>
              <w:snapToGrid w:val="0"/>
              <w:spacing w:line="240" w:lineRule="auto"/>
              <w:ind w:firstLine="0" w:firstLineChars="0"/>
              <w:jc w:val="center"/>
              <w:rPr>
                <w:rFonts w:ascii="Times New Roman" w:cs="Times New Roman"/>
                <w:sz w:val="21"/>
                <w:szCs w:val="21"/>
              </w:rPr>
            </w:pPr>
            <w:r>
              <w:rPr>
                <w:rFonts w:hint="eastAsia" w:ascii="Times New Roman" w:cs="Times New Roman"/>
                <w:sz w:val="21"/>
                <w:szCs w:val="21"/>
              </w:rPr>
              <w:t>新建</w:t>
            </w:r>
            <w:r>
              <w:rPr>
                <w:rFonts w:ascii="Times New Roman" w:cs="Times New Roman"/>
                <w:sz w:val="21"/>
                <w:szCs w:val="21"/>
              </w:rPr>
              <w:t>进场道路，长度</w:t>
            </w:r>
            <w:r>
              <w:rPr>
                <w:rFonts w:hint="eastAsia" w:ascii="Times New Roman" w:cs="Times New Roman"/>
                <w:sz w:val="21"/>
                <w:szCs w:val="21"/>
              </w:rPr>
              <w:t>10</w:t>
            </w:r>
            <w:r>
              <w:rPr>
                <w:rFonts w:ascii="Times New Roman" w:cs="Times New Roman"/>
                <w:sz w:val="21"/>
                <w:szCs w:val="21"/>
              </w:rPr>
              <w:t>0m，宽4m</w:t>
            </w:r>
          </w:p>
        </w:tc>
        <w:tc>
          <w:tcPr>
            <w:tcW w:w="619" w:type="pct"/>
            <w:vMerge w:val="continue"/>
            <w:vAlign w:val="center"/>
          </w:tcPr>
          <w:p>
            <w:pPr>
              <w:ind w:firstLine="480"/>
              <w:rPr>
                <w:rFonts w:ascii="Times New Roman" w:cs="Times New Roman"/>
              </w:rPr>
            </w:pPr>
          </w:p>
        </w:tc>
        <w:tc>
          <w:tcPr>
            <w:tcW w:w="470" w:type="pct"/>
            <w:tcBorders>
              <w:top w:val="single" w:color="000000" w:sz="2" w:space="0"/>
              <w:bottom w:val="single" w:color="000000" w:sz="2" w:space="0"/>
            </w:tcBorders>
            <w:vAlign w:val="center"/>
          </w:tcPr>
          <w:p>
            <w:pPr>
              <w:pStyle w:val="95"/>
            </w:pPr>
            <w: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271" w:type="pct"/>
            <w:vMerge w:val="continue"/>
            <w:vAlign w:val="center"/>
          </w:tcPr>
          <w:p>
            <w:pPr>
              <w:pStyle w:val="95"/>
            </w:pPr>
          </w:p>
        </w:tc>
        <w:tc>
          <w:tcPr>
            <w:tcW w:w="484" w:type="pct"/>
            <w:vAlign w:val="center"/>
          </w:tcPr>
          <w:p>
            <w:pPr>
              <w:pStyle w:val="95"/>
            </w:pPr>
            <w:r>
              <w:rPr>
                <w:bCs/>
              </w:rPr>
              <w:t>清管阀收球装置</w:t>
            </w:r>
          </w:p>
        </w:tc>
        <w:tc>
          <w:tcPr>
            <w:tcW w:w="3156" w:type="pct"/>
            <w:gridSpan w:val="3"/>
            <w:tcBorders>
              <w:top w:val="single" w:color="000000" w:sz="2" w:space="0"/>
            </w:tcBorders>
            <w:vAlign w:val="center"/>
          </w:tcPr>
          <w:p>
            <w:pPr>
              <w:pStyle w:val="95"/>
            </w:pPr>
            <w:r>
              <w:rPr>
                <w:rFonts w:hint="eastAsia"/>
                <w:bCs/>
              </w:rPr>
              <w:t>普陆4集气平台</w:t>
            </w:r>
            <w:r>
              <w:rPr>
                <w:bCs/>
              </w:rPr>
              <w:t>设有清管阀收球装置</w:t>
            </w:r>
            <w:r>
              <w:rPr>
                <w:rFonts w:hint="eastAsia"/>
                <w:bCs/>
              </w:rPr>
              <w:t>1座</w:t>
            </w:r>
          </w:p>
        </w:tc>
        <w:tc>
          <w:tcPr>
            <w:tcW w:w="619" w:type="pct"/>
            <w:vMerge w:val="continue"/>
            <w:vAlign w:val="center"/>
          </w:tcPr>
          <w:p>
            <w:pPr>
              <w:pStyle w:val="95"/>
            </w:pPr>
          </w:p>
        </w:tc>
        <w:tc>
          <w:tcPr>
            <w:tcW w:w="470" w:type="pct"/>
            <w:tcBorders>
              <w:top w:val="single" w:color="000000" w:sz="2" w:space="0"/>
            </w:tcBorders>
            <w:vAlign w:val="center"/>
          </w:tcPr>
          <w:p>
            <w:pPr>
              <w:pStyle w:val="95"/>
            </w:pPr>
            <w:r>
              <w:rPr>
                <w:bCs/>
              </w:rPr>
              <w:t>清管废渣</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271" w:type="pct"/>
            <w:vMerge w:val="restart"/>
            <w:vAlign w:val="center"/>
          </w:tcPr>
          <w:p>
            <w:pPr>
              <w:pStyle w:val="95"/>
            </w:pPr>
            <w:r>
              <w:rPr>
                <w:rFonts w:hint="eastAsia"/>
              </w:rPr>
              <w:t>仓储工程</w:t>
            </w:r>
          </w:p>
        </w:tc>
        <w:tc>
          <w:tcPr>
            <w:tcW w:w="484" w:type="pct"/>
            <w:vAlign w:val="center"/>
          </w:tcPr>
          <w:p>
            <w:pPr>
              <w:pStyle w:val="95"/>
            </w:pPr>
            <w:r>
              <w:rPr>
                <w:bCs/>
              </w:rPr>
              <w:t>柴油储罐</w:t>
            </w:r>
          </w:p>
        </w:tc>
        <w:tc>
          <w:tcPr>
            <w:tcW w:w="3156" w:type="pct"/>
            <w:gridSpan w:val="3"/>
            <w:tcBorders>
              <w:top w:val="single" w:color="000000" w:sz="2" w:space="0"/>
            </w:tcBorders>
            <w:vAlign w:val="center"/>
          </w:tcPr>
          <w:p>
            <w:pPr>
              <w:pStyle w:val="95"/>
            </w:pPr>
            <w:r>
              <w:rPr>
                <w:rFonts w:hint="eastAsia"/>
              </w:rPr>
              <w:t>1</w:t>
            </w:r>
            <w:r>
              <w:t>个柴油</w:t>
            </w:r>
            <w:r>
              <w:rPr>
                <w:rFonts w:hint="eastAsia"/>
              </w:rPr>
              <w:t>储</w:t>
            </w:r>
            <w:r>
              <w:t>罐，每个容积20m</w:t>
            </w:r>
            <w:r>
              <w:rPr>
                <w:vertAlign w:val="superscript"/>
              </w:rPr>
              <w:t>3</w:t>
            </w:r>
          </w:p>
        </w:tc>
        <w:tc>
          <w:tcPr>
            <w:tcW w:w="619" w:type="pct"/>
            <w:vAlign w:val="center"/>
          </w:tcPr>
          <w:p>
            <w:pPr>
              <w:pStyle w:val="95"/>
            </w:pPr>
            <w:r>
              <w:t>噪声</w:t>
            </w:r>
          </w:p>
          <w:p>
            <w:pPr>
              <w:pStyle w:val="95"/>
            </w:pPr>
            <w:r>
              <w:t>水土流失</w:t>
            </w:r>
          </w:p>
          <w:p>
            <w:pPr>
              <w:pStyle w:val="95"/>
            </w:pPr>
            <w:r>
              <w:t>植物破坏</w:t>
            </w:r>
          </w:p>
        </w:tc>
        <w:tc>
          <w:tcPr>
            <w:tcW w:w="470" w:type="pct"/>
            <w:tcBorders>
              <w:top w:val="single" w:color="000000" w:sz="2" w:space="0"/>
            </w:tcBorders>
            <w:vAlign w:val="center"/>
          </w:tcPr>
          <w:p>
            <w:pPr>
              <w:pStyle w:val="95"/>
            </w:pPr>
            <w:r>
              <w:rPr>
                <w:rFonts w:hint="eastAsia"/>
              </w:rPr>
              <w:t>废油</w:t>
            </w:r>
          </w:p>
          <w:p>
            <w:pPr>
              <w:pStyle w:val="95"/>
            </w:pPr>
            <w:r>
              <w:rPr>
                <w:rFonts w:hint="eastAsia"/>
              </w:rPr>
              <w:t>环境风险</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271" w:type="pct"/>
            <w:vMerge w:val="continue"/>
            <w:vAlign w:val="center"/>
          </w:tcPr>
          <w:p>
            <w:pPr>
              <w:pStyle w:val="95"/>
            </w:pPr>
          </w:p>
        </w:tc>
        <w:tc>
          <w:tcPr>
            <w:tcW w:w="484" w:type="pct"/>
            <w:vAlign w:val="center"/>
          </w:tcPr>
          <w:p>
            <w:pPr>
              <w:pStyle w:val="95"/>
              <w:rPr>
                <w:bCs/>
              </w:rPr>
            </w:pPr>
            <w:r>
              <w:rPr>
                <w:rFonts w:hint="eastAsia"/>
                <w:bCs/>
              </w:rPr>
              <w:t>凝析油储罐</w:t>
            </w:r>
          </w:p>
        </w:tc>
        <w:tc>
          <w:tcPr>
            <w:tcW w:w="3156" w:type="pct"/>
            <w:gridSpan w:val="3"/>
            <w:tcBorders>
              <w:top w:val="single" w:color="000000" w:sz="2" w:space="0"/>
            </w:tcBorders>
            <w:vAlign w:val="center"/>
          </w:tcPr>
          <w:p>
            <w:pPr>
              <w:pStyle w:val="95"/>
            </w:pPr>
            <w:r>
              <w:rPr>
                <w:rFonts w:hint="eastAsia"/>
              </w:rPr>
              <w:t>1</w:t>
            </w:r>
            <w:r>
              <w:t>个</w:t>
            </w:r>
            <w:r>
              <w:rPr>
                <w:rFonts w:hint="eastAsia"/>
              </w:rPr>
              <w:t>凝析油储</w:t>
            </w:r>
            <w:r>
              <w:t>罐，容积</w:t>
            </w:r>
            <w:r>
              <w:rPr>
                <w:rFonts w:hint="eastAsia"/>
              </w:rPr>
              <w:t>5</w:t>
            </w:r>
            <w:r>
              <w:t>0m</w:t>
            </w:r>
            <w:r>
              <w:rPr>
                <w:vertAlign w:val="superscript"/>
              </w:rPr>
              <w:t>3</w:t>
            </w:r>
          </w:p>
        </w:tc>
        <w:tc>
          <w:tcPr>
            <w:tcW w:w="619" w:type="pct"/>
            <w:vAlign w:val="center"/>
          </w:tcPr>
          <w:p>
            <w:pPr>
              <w:pStyle w:val="95"/>
            </w:pPr>
            <w:r>
              <w:t>噪声</w:t>
            </w:r>
          </w:p>
          <w:p>
            <w:pPr>
              <w:pStyle w:val="95"/>
            </w:pPr>
            <w:r>
              <w:t>水土流失</w:t>
            </w:r>
          </w:p>
          <w:p>
            <w:pPr>
              <w:pStyle w:val="95"/>
            </w:pPr>
            <w:r>
              <w:t>植物破坏</w:t>
            </w:r>
          </w:p>
        </w:tc>
        <w:tc>
          <w:tcPr>
            <w:tcW w:w="470" w:type="pct"/>
            <w:tcBorders>
              <w:top w:val="single" w:color="000000" w:sz="2" w:space="0"/>
            </w:tcBorders>
            <w:vAlign w:val="center"/>
          </w:tcPr>
          <w:p>
            <w:pPr>
              <w:pStyle w:val="95"/>
            </w:pPr>
            <w:r>
              <w:rPr>
                <w:rFonts w:hint="eastAsia"/>
              </w:rPr>
              <w:t>环境风险</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271" w:type="pct"/>
            <w:vAlign w:val="center"/>
          </w:tcPr>
          <w:p>
            <w:pPr>
              <w:pStyle w:val="95"/>
            </w:pPr>
            <w:r>
              <w:t>办公工程</w:t>
            </w:r>
          </w:p>
        </w:tc>
        <w:tc>
          <w:tcPr>
            <w:tcW w:w="484" w:type="pct"/>
            <w:vAlign w:val="center"/>
          </w:tcPr>
          <w:p>
            <w:pPr>
              <w:pStyle w:val="95"/>
            </w:pPr>
            <w:r>
              <w:rPr>
                <w:rFonts w:hint="eastAsia"/>
              </w:rPr>
              <w:t>值班室</w:t>
            </w:r>
          </w:p>
        </w:tc>
        <w:tc>
          <w:tcPr>
            <w:tcW w:w="3156" w:type="pct"/>
            <w:gridSpan w:val="3"/>
            <w:tcBorders>
              <w:top w:val="single" w:color="000000" w:sz="2" w:space="0"/>
            </w:tcBorders>
            <w:vAlign w:val="center"/>
          </w:tcPr>
          <w:p>
            <w:pPr>
              <w:pStyle w:val="95"/>
            </w:pPr>
            <w:r>
              <w:rPr>
                <w:rFonts w:hint="eastAsia"/>
              </w:rPr>
              <w:t>位于普陆4集气平台场东北侧内，项目运营期新增职守工作人员4人。</w:t>
            </w:r>
          </w:p>
        </w:tc>
        <w:tc>
          <w:tcPr>
            <w:tcW w:w="619" w:type="pct"/>
            <w:vAlign w:val="center"/>
          </w:tcPr>
          <w:p>
            <w:pPr>
              <w:pStyle w:val="95"/>
            </w:pPr>
            <w:r>
              <w:t>/</w:t>
            </w:r>
          </w:p>
        </w:tc>
        <w:tc>
          <w:tcPr>
            <w:tcW w:w="470" w:type="pct"/>
            <w:tcBorders>
              <w:top w:val="single" w:color="000000" w:sz="2" w:space="0"/>
            </w:tcBorders>
            <w:vAlign w:val="center"/>
          </w:tcPr>
          <w:p>
            <w:pPr>
              <w:pStyle w:val="95"/>
            </w:pPr>
            <w:r>
              <w:t>废水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8" w:hRule="atLeast"/>
          <w:jc w:val="center"/>
        </w:trPr>
        <w:tc>
          <w:tcPr>
            <w:tcW w:w="271" w:type="pct"/>
            <w:vMerge w:val="restart"/>
            <w:vAlign w:val="center"/>
          </w:tcPr>
          <w:p>
            <w:pPr>
              <w:pStyle w:val="95"/>
            </w:pPr>
            <w:r>
              <w:t>临时工程</w:t>
            </w:r>
          </w:p>
        </w:tc>
        <w:tc>
          <w:tcPr>
            <w:tcW w:w="484" w:type="pct"/>
            <w:vAlign w:val="center"/>
          </w:tcPr>
          <w:p>
            <w:pPr>
              <w:pStyle w:val="95"/>
            </w:pPr>
            <w:r>
              <w:t>水土保持</w:t>
            </w:r>
          </w:p>
        </w:tc>
        <w:tc>
          <w:tcPr>
            <w:tcW w:w="3156" w:type="pct"/>
            <w:gridSpan w:val="3"/>
            <w:vAlign w:val="center"/>
          </w:tcPr>
          <w:p>
            <w:pPr>
              <w:pStyle w:val="95"/>
            </w:pPr>
            <w:r>
              <w:t>做好护坡、堡坎和排水设施。</w:t>
            </w:r>
          </w:p>
        </w:tc>
        <w:tc>
          <w:tcPr>
            <w:tcW w:w="619" w:type="pct"/>
            <w:vMerge w:val="restart"/>
            <w:vAlign w:val="center"/>
          </w:tcPr>
          <w:p>
            <w:pPr>
              <w:pStyle w:val="95"/>
            </w:pPr>
            <w:r>
              <w:t>水土流失</w:t>
            </w:r>
          </w:p>
          <w:p>
            <w:pPr>
              <w:pStyle w:val="95"/>
            </w:pPr>
            <w:r>
              <w:t>植物破坏</w:t>
            </w:r>
          </w:p>
        </w:tc>
        <w:tc>
          <w:tcPr>
            <w:tcW w:w="470" w:type="pct"/>
            <w:vMerge w:val="restart"/>
            <w:vAlign w:val="center"/>
          </w:tcPr>
          <w:p>
            <w:pPr>
              <w:pStyle w:val="95"/>
            </w:pPr>
            <w: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8" w:hRule="atLeast"/>
          <w:jc w:val="center"/>
        </w:trPr>
        <w:tc>
          <w:tcPr>
            <w:tcW w:w="271" w:type="pct"/>
            <w:vMerge w:val="continue"/>
            <w:vAlign w:val="center"/>
          </w:tcPr>
          <w:p>
            <w:pPr>
              <w:pStyle w:val="95"/>
            </w:pPr>
          </w:p>
        </w:tc>
        <w:tc>
          <w:tcPr>
            <w:tcW w:w="484" w:type="pct"/>
            <w:vAlign w:val="center"/>
          </w:tcPr>
          <w:p>
            <w:pPr>
              <w:pStyle w:val="95"/>
            </w:pPr>
            <w:r>
              <w:t>弃渣场</w:t>
            </w:r>
          </w:p>
        </w:tc>
        <w:tc>
          <w:tcPr>
            <w:tcW w:w="3156" w:type="pct"/>
            <w:gridSpan w:val="3"/>
            <w:vAlign w:val="center"/>
          </w:tcPr>
          <w:p>
            <w:pPr>
              <w:pStyle w:val="95"/>
            </w:pPr>
            <w:r>
              <w:t>项目不设弃渣场</w:t>
            </w:r>
          </w:p>
        </w:tc>
        <w:tc>
          <w:tcPr>
            <w:tcW w:w="619" w:type="pct"/>
            <w:vMerge w:val="continue"/>
            <w:vAlign w:val="center"/>
          </w:tcPr>
          <w:p>
            <w:pPr>
              <w:pStyle w:val="95"/>
            </w:pPr>
          </w:p>
        </w:tc>
        <w:tc>
          <w:tcPr>
            <w:tcW w:w="470" w:type="pct"/>
            <w:vMerge w:val="continue"/>
            <w:vAlign w:val="center"/>
          </w:tcPr>
          <w:p>
            <w:pPr>
              <w:pStyle w:val="95"/>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8" w:hRule="atLeast"/>
          <w:jc w:val="center"/>
        </w:trPr>
        <w:tc>
          <w:tcPr>
            <w:tcW w:w="271" w:type="pct"/>
            <w:vMerge w:val="continue"/>
            <w:vAlign w:val="center"/>
          </w:tcPr>
          <w:p>
            <w:pPr>
              <w:pStyle w:val="95"/>
            </w:pPr>
          </w:p>
        </w:tc>
        <w:tc>
          <w:tcPr>
            <w:tcW w:w="484" w:type="pct"/>
            <w:vAlign w:val="center"/>
          </w:tcPr>
          <w:p>
            <w:pPr>
              <w:pStyle w:val="95"/>
            </w:pPr>
            <w:r>
              <w:t>表土堆场</w:t>
            </w:r>
          </w:p>
        </w:tc>
        <w:tc>
          <w:tcPr>
            <w:tcW w:w="3156" w:type="pct"/>
            <w:gridSpan w:val="3"/>
            <w:vAlign w:val="center"/>
          </w:tcPr>
          <w:p>
            <w:pPr>
              <w:pStyle w:val="95"/>
            </w:pPr>
            <w:r>
              <w:rPr>
                <w:rFonts w:hint="eastAsia"/>
              </w:rPr>
              <w:t>设置专门的表土堆场对表土进行暂存，表土堆场</w:t>
            </w:r>
            <w:r>
              <w:t>位于</w:t>
            </w:r>
            <w:r>
              <w:rPr>
                <w:rFonts w:hint="eastAsia"/>
              </w:rPr>
              <w:t>沙场村，施工结束后表土全部回用于绿化、复耕盖土等。</w:t>
            </w:r>
          </w:p>
        </w:tc>
        <w:tc>
          <w:tcPr>
            <w:tcW w:w="619" w:type="pct"/>
            <w:vMerge w:val="continue"/>
            <w:vAlign w:val="center"/>
          </w:tcPr>
          <w:p>
            <w:pPr>
              <w:pStyle w:val="95"/>
            </w:pPr>
          </w:p>
        </w:tc>
        <w:tc>
          <w:tcPr>
            <w:tcW w:w="470" w:type="pct"/>
            <w:vMerge w:val="continue"/>
            <w:vAlign w:val="center"/>
          </w:tcPr>
          <w:p>
            <w:pPr>
              <w:pStyle w:val="95"/>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8" w:hRule="atLeast"/>
          <w:jc w:val="center"/>
        </w:trPr>
        <w:tc>
          <w:tcPr>
            <w:tcW w:w="271" w:type="pct"/>
            <w:vMerge w:val="continue"/>
            <w:vAlign w:val="center"/>
          </w:tcPr>
          <w:p>
            <w:pPr>
              <w:pStyle w:val="95"/>
            </w:pPr>
          </w:p>
        </w:tc>
        <w:tc>
          <w:tcPr>
            <w:tcW w:w="484" w:type="pct"/>
            <w:vAlign w:val="center"/>
          </w:tcPr>
          <w:p>
            <w:pPr>
              <w:pStyle w:val="95"/>
            </w:pPr>
            <w:r>
              <w:t>原料堆场</w:t>
            </w:r>
          </w:p>
        </w:tc>
        <w:tc>
          <w:tcPr>
            <w:tcW w:w="3156" w:type="pct"/>
            <w:gridSpan w:val="3"/>
            <w:vAlign w:val="center"/>
          </w:tcPr>
          <w:p>
            <w:pPr>
              <w:pStyle w:val="95"/>
            </w:pPr>
            <w:r>
              <w:t>设置</w:t>
            </w:r>
            <w:r>
              <w:rPr>
                <w:rFonts w:hint="eastAsia"/>
              </w:rPr>
              <w:t>1</w:t>
            </w:r>
            <w:r>
              <w:t>个堆管场，位于</w:t>
            </w:r>
            <w:r>
              <w:rPr>
                <w:rFonts w:hint="eastAsia"/>
              </w:rPr>
              <w:t>沙场村，</w:t>
            </w:r>
            <w:r>
              <w:t>占地</w:t>
            </w:r>
            <w:r>
              <w:rPr>
                <w:rFonts w:hint="eastAsia"/>
              </w:rPr>
              <w:t>500</w:t>
            </w:r>
            <w:r>
              <w:t>m</w:t>
            </w:r>
            <w:r>
              <w:rPr>
                <w:vertAlign w:val="superscript"/>
              </w:rPr>
              <w:t>2</w:t>
            </w:r>
            <w:r>
              <w:t>，临时堆放管道。</w:t>
            </w:r>
          </w:p>
        </w:tc>
        <w:tc>
          <w:tcPr>
            <w:tcW w:w="619" w:type="pct"/>
            <w:vMerge w:val="continue"/>
            <w:vAlign w:val="center"/>
          </w:tcPr>
          <w:p>
            <w:pPr>
              <w:pStyle w:val="95"/>
            </w:pPr>
          </w:p>
        </w:tc>
        <w:tc>
          <w:tcPr>
            <w:tcW w:w="470" w:type="pct"/>
            <w:vMerge w:val="continue"/>
            <w:vAlign w:val="center"/>
          </w:tcPr>
          <w:p>
            <w:pPr>
              <w:pStyle w:val="95"/>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8" w:hRule="atLeast"/>
          <w:jc w:val="center"/>
        </w:trPr>
        <w:tc>
          <w:tcPr>
            <w:tcW w:w="271" w:type="pct"/>
            <w:vMerge w:val="continue"/>
            <w:vAlign w:val="center"/>
          </w:tcPr>
          <w:p>
            <w:pPr>
              <w:pStyle w:val="95"/>
            </w:pPr>
          </w:p>
        </w:tc>
        <w:tc>
          <w:tcPr>
            <w:tcW w:w="484" w:type="pct"/>
            <w:vAlign w:val="center"/>
          </w:tcPr>
          <w:p>
            <w:pPr>
              <w:pStyle w:val="95"/>
            </w:pPr>
            <w:r>
              <w:t>道路工程</w:t>
            </w:r>
          </w:p>
        </w:tc>
        <w:tc>
          <w:tcPr>
            <w:tcW w:w="3156" w:type="pct"/>
            <w:gridSpan w:val="3"/>
            <w:vAlign w:val="center"/>
          </w:tcPr>
          <w:p>
            <w:pPr>
              <w:pStyle w:val="95"/>
            </w:pPr>
            <w:r>
              <w:t>充分利用现有道路，局部困难路段修建施工便道，通过挖填路基，建必要的护坡挡土墙、边沟等。新建施工便道约</w:t>
            </w:r>
            <w:r>
              <w:rPr>
                <w:rFonts w:hint="eastAsia"/>
              </w:rPr>
              <w:t>100</w:t>
            </w:r>
            <w:r>
              <w:t>m，宽度约为</w:t>
            </w:r>
            <w:r>
              <w:rPr>
                <w:rFonts w:hint="eastAsia"/>
              </w:rPr>
              <w:t>4</w:t>
            </w:r>
            <w:r>
              <w:t>m。</w:t>
            </w:r>
          </w:p>
        </w:tc>
        <w:tc>
          <w:tcPr>
            <w:tcW w:w="619" w:type="pct"/>
            <w:vMerge w:val="continue"/>
            <w:vAlign w:val="center"/>
          </w:tcPr>
          <w:p>
            <w:pPr>
              <w:pStyle w:val="95"/>
            </w:pPr>
          </w:p>
        </w:tc>
        <w:tc>
          <w:tcPr>
            <w:tcW w:w="470" w:type="pct"/>
            <w:vMerge w:val="continue"/>
            <w:vAlign w:val="center"/>
          </w:tcPr>
          <w:p>
            <w:pPr>
              <w:pStyle w:val="95"/>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8" w:hRule="atLeast"/>
          <w:jc w:val="center"/>
        </w:trPr>
        <w:tc>
          <w:tcPr>
            <w:tcW w:w="271" w:type="pct"/>
            <w:vMerge w:val="continue"/>
            <w:vAlign w:val="center"/>
          </w:tcPr>
          <w:p>
            <w:pPr>
              <w:pStyle w:val="95"/>
            </w:pPr>
          </w:p>
        </w:tc>
        <w:tc>
          <w:tcPr>
            <w:tcW w:w="484" w:type="pct"/>
            <w:vAlign w:val="center"/>
          </w:tcPr>
          <w:p>
            <w:pPr>
              <w:pStyle w:val="95"/>
            </w:pPr>
            <w:r>
              <w:t>施工营地</w:t>
            </w:r>
          </w:p>
        </w:tc>
        <w:tc>
          <w:tcPr>
            <w:tcW w:w="3156" w:type="pct"/>
            <w:gridSpan w:val="3"/>
            <w:vAlign w:val="center"/>
          </w:tcPr>
          <w:p>
            <w:pPr>
              <w:pStyle w:val="95"/>
            </w:pPr>
            <w:r>
              <w:t>不设营地，站场施工员工生活租用附近居民房</w:t>
            </w:r>
            <w:r>
              <w:rPr>
                <w:rFonts w:hint="eastAsia"/>
              </w:rPr>
              <w:t>；</w:t>
            </w:r>
            <w:r>
              <w:t>钻井工程施工员工生活建设活动板房。</w:t>
            </w:r>
          </w:p>
        </w:tc>
        <w:tc>
          <w:tcPr>
            <w:tcW w:w="619" w:type="pct"/>
            <w:vMerge w:val="continue"/>
            <w:vAlign w:val="center"/>
          </w:tcPr>
          <w:p>
            <w:pPr>
              <w:pStyle w:val="95"/>
            </w:pPr>
          </w:p>
        </w:tc>
        <w:tc>
          <w:tcPr>
            <w:tcW w:w="470" w:type="pct"/>
            <w:vMerge w:val="continue"/>
            <w:vAlign w:val="center"/>
          </w:tcPr>
          <w:p>
            <w:pPr>
              <w:pStyle w:val="95"/>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271" w:type="pct"/>
            <w:vMerge w:val="restart"/>
            <w:vAlign w:val="center"/>
          </w:tcPr>
          <w:p>
            <w:pPr>
              <w:pStyle w:val="95"/>
            </w:pPr>
            <w:r>
              <w:t>环保工程</w:t>
            </w:r>
          </w:p>
        </w:tc>
        <w:tc>
          <w:tcPr>
            <w:tcW w:w="484" w:type="pct"/>
            <w:vMerge w:val="restart"/>
            <w:vAlign w:val="center"/>
          </w:tcPr>
          <w:p>
            <w:pPr>
              <w:pStyle w:val="95"/>
            </w:pPr>
            <w:r>
              <w:rPr>
                <w:rFonts w:hint="eastAsia"/>
              </w:rPr>
              <w:t>施工期</w:t>
            </w:r>
          </w:p>
        </w:tc>
        <w:tc>
          <w:tcPr>
            <w:tcW w:w="351" w:type="pct"/>
            <w:tcBorders>
              <w:right w:val="single" w:color="auto" w:sz="4" w:space="0"/>
            </w:tcBorders>
            <w:vAlign w:val="center"/>
          </w:tcPr>
          <w:p>
            <w:pPr>
              <w:pStyle w:val="95"/>
            </w:pPr>
            <w:r>
              <w:rPr>
                <w:szCs w:val="21"/>
              </w:rPr>
              <w:t>风险防范措施</w:t>
            </w:r>
          </w:p>
        </w:tc>
        <w:tc>
          <w:tcPr>
            <w:tcW w:w="2805" w:type="pct"/>
            <w:gridSpan w:val="2"/>
            <w:tcBorders>
              <w:left w:val="single" w:color="auto" w:sz="4" w:space="0"/>
            </w:tcBorders>
            <w:vAlign w:val="center"/>
          </w:tcPr>
          <w:p>
            <w:pPr>
              <w:pStyle w:val="95"/>
            </w:pPr>
            <w:r>
              <w:rPr>
                <w:rFonts w:hint="eastAsia"/>
                <w:szCs w:val="21"/>
              </w:rPr>
              <w:t>放喷池池底和池壁采取防渗措施；加强天然气管线</w:t>
            </w:r>
            <w:r>
              <w:rPr>
                <w:szCs w:val="21"/>
              </w:rPr>
              <w:t>巡线和维护</w:t>
            </w:r>
            <w:r>
              <w:rPr>
                <w:rFonts w:hint="eastAsia"/>
                <w:szCs w:val="21"/>
              </w:rPr>
              <w:t>；</w:t>
            </w:r>
            <w:r>
              <w:rPr>
                <w:szCs w:val="21"/>
              </w:rPr>
              <w:t>制定</w:t>
            </w:r>
            <w:r>
              <w:rPr>
                <w:rFonts w:hint="eastAsia"/>
                <w:szCs w:val="21"/>
              </w:rPr>
              <w:t>井喷事故合管道</w:t>
            </w:r>
            <w:r>
              <w:rPr>
                <w:szCs w:val="21"/>
              </w:rPr>
              <w:t>天然气泄漏应急救援预案并定期演练</w:t>
            </w:r>
            <w:r>
              <w:rPr>
                <w:rFonts w:hint="eastAsia"/>
                <w:szCs w:val="21"/>
              </w:rPr>
              <w:t>；事</w:t>
            </w:r>
            <w:r>
              <w:rPr>
                <w:szCs w:val="21"/>
              </w:rPr>
              <w:t>故状态下管线及站场内天然气通过新建放</w:t>
            </w:r>
            <w:r>
              <w:rPr>
                <w:rFonts w:hint="eastAsia"/>
                <w:szCs w:val="21"/>
              </w:rPr>
              <w:t>空系统燃烧</w:t>
            </w:r>
            <w:r>
              <w:rPr>
                <w:szCs w:val="21"/>
              </w:rPr>
              <w:t>排放</w:t>
            </w:r>
            <w:r>
              <w:rPr>
                <w:rFonts w:hint="eastAsia"/>
                <w:szCs w:val="21"/>
              </w:rPr>
              <w:t>；柴油储罐、凝析油储罐、</w:t>
            </w:r>
            <w:r>
              <w:rPr>
                <w:szCs w:val="21"/>
              </w:rPr>
              <w:t>污水缓冲罐四周设置防渗围堰</w:t>
            </w:r>
            <w:r>
              <w:rPr>
                <w:rFonts w:hint="eastAsia"/>
                <w:szCs w:val="21"/>
              </w:rPr>
              <w:t>。</w:t>
            </w:r>
          </w:p>
        </w:tc>
        <w:tc>
          <w:tcPr>
            <w:tcW w:w="619" w:type="pct"/>
            <w:vAlign w:val="center"/>
          </w:tcPr>
          <w:p>
            <w:pPr>
              <w:pStyle w:val="95"/>
            </w:pPr>
            <w:r>
              <w:t>/</w:t>
            </w:r>
          </w:p>
        </w:tc>
        <w:tc>
          <w:tcPr>
            <w:tcW w:w="470" w:type="pct"/>
            <w:vAlign w:val="center"/>
          </w:tcPr>
          <w:p>
            <w:pPr>
              <w:pStyle w:val="95"/>
            </w:pPr>
            <w: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271" w:type="pct"/>
            <w:vMerge w:val="continue"/>
            <w:vAlign w:val="center"/>
          </w:tcPr>
          <w:p>
            <w:pPr>
              <w:pStyle w:val="95"/>
            </w:pPr>
          </w:p>
        </w:tc>
        <w:tc>
          <w:tcPr>
            <w:tcW w:w="484" w:type="pct"/>
            <w:vMerge w:val="continue"/>
            <w:vAlign w:val="center"/>
          </w:tcPr>
          <w:p>
            <w:pPr>
              <w:pStyle w:val="95"/>
            </w:pPr>
          </w:p>
        </w:tc>
        <w:tc>
          <w:tcPr>
            <w:tcW w:w="355" w:type="pct"/>
            <w:gridSpan w:val="2"/>
            <w:vMerge w:val="restart"/>
            <w:tcBorders>
              <w:top w:val="single" w:color="auto" w:sz="4" w:space="0"/>
            </w:tcBorders>
            <w:vAlign w:val="center"/>
          </w:tcPr>
          <w:p>
            <w:pPr>
              <w:pStyle w:val="95"/>
              <w:rPr>
                <w:szCs w:val="21"/>
              </w:rPr>
            </w:pPr>
            <w:r>
              <w:rPr>
                <w:szCs w:val="21"/>
              </w:rPr>
              <w:t>废气</w:t>
            </w:r>
          </w:p>
        </w:tc>
        <w:tc>
          <w:tcPr>
            <w:tcW w:w="2801" w:type="pct"/>
            <w:vAlign w:val="center"/>
          </w:tcPr>
          <w:p>
            <w:pPr>
              <w:pStyle w:val="95"/>
            </w:pPr>
            <w:r>
              <w:rPr>
                <w:szCs w:val="21"/>
              </w:rPr>
              <w:t>采取覆盖防尘布、洒水降尘、道路洒水、车辆清洗，大风天气停止土方开挖作业</w:t>
            </w:r>
            <w:r>
              <w:rPr>
                <w:rFonts w:hint="eastAsia"/>
                <w:szCs w:val="21"/>
              </w:rPr>
              <w:t>，</w:t>
            </w:r>
            <w:r>
              <w:rPr>
                <w:szCs w:val="21"/>
              </w:rPr>
              <w:t>使用尾气达标机械车辆</w:t>
            </w:r>
            <w:r>
              <w:rPr>
                <w:rFonts w:hint="eastAsia"/>
                <w:szCs w:val="21"/>
              </w:rPr>
              <w:t>等措施，</w:t>
            </w:r>
            <w:r>
              <w:rPr>
                <w:szCs w:val="21"/>
              </w:rPr>
              <w:t>接烟尘的排放量小</w:t>
            </w:r>
            <w:r>
              <w:rPr>
                <w:rFonts w:hint="eastAsia"/>
                <w:szCs w:val="21"/>
              </w:rPr>
              <w:t>，</w:t>
            </w:r>
            <w:r>
              <w:rPr>
                <w:szCs w:val="21"/>
              </w:rPr>
              <w:t>且分散和间断</w:t>
            </w:r>
            <w:r>
              <w:rPr>
                <w:rFonts w:hint="eastAsia"/>
                <w:szCs w:val="21"/>
              </w:rPr>
              <w:t>，</w:t>
            </w:r>
            <w:r>
              <w:rPr>
                <w:szCs w:val="21"/>
              </w:rPr>
              <w:t>为</w:t>
            </w:r>
            <w:r>
              <w:rPr>
                <w:rFonts w:hint="eastAsia"/>
                <w:szCs w:val="21"/>
              </w:rPr>
              <w:t>无组织排放</w:t>
            </w:r>
            <w:r>
              <w:rPr>
                <w:szCs w:val="21"/>
              </w:rPr>
              <w:t>。</w:t>
            </w:r>
          </w:p>
        </w:tc>
        <w:tc>
          <w:tcPr>
            <w:tcW w:w="619" w:type="pct"/>
            <w:vAlign w:val="center"/>
          </w:tcPr>
          <w:p>
            <w:pPr>
              <w:pStyle w:val="95"/>
            </w:pPr>
            <w:r>
              <w:rPr>
                <w:rFonts w:hint="eastAsia"/>
                <w:szCs w:val="21"/>
              </w:rPr>
              <w:t>扬尘、</w:t>
            </w:r>
            <w:r>
              <w:rPr>
                <w:szCs w:val="21"/>
              </w:rPr>
              <w:t>燃烧废气</w:t>
            </w:r>
            <w:r>
              <w:rPr>
                <w:rFonts w:hint="eastAsia"/>
                <w:szCs w:val="21"/>
              </w:rPr>
              <w:t>、</w:t>
            </w:r>
            <w:r>
              <w:rPr>
                <w:szCs w:val="21"/>
              </w:rPr>
              <w:t>焊接烟尘</w:t>
            </w:r>
          </w:p>
        </w:tc>
        <w:tc>
          <w:tcPr>
            <w:tcW w:w="470" w:type="pct"/>
            <w:vAlign w:val="center"/>
          </w:tcPr>
          <w:p>
            <w:pPr>
              <w:pStyle w:val="95"/>
            </w:pPr>
            <w:r>
              <w:rPr>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271" w:type="pct"/>
            <w:vMerge w:val="continue"/>
            <w:vAlign w:val="center"/>
          </w:tcPr>
          <w:p>
            <w:pPr>
              <w:pStyle w:val="95"/>
            </w:pPr>
          </w:p>
        </w:tc>
        <w:tc>
          <w:tcPr>
            <w:tcW w:w="484" w:type="pct"/>
            <w:vMerge w:val="continue"/>
            <w:vAlign w:val="center"/>
          </w:tcPr>
          <w:p>
            <w:pPr>
              <w:pStyle w:val="95"/>
            </w:pPr>
          </w:p>
        </w:tc>
        <w:tc>
          <w:tcPr>
            <w:tcW w:w="355" w:type="pct"/>
            <w:gridSpan w:val="2"/>
            <w:vMerge w:val="continue"/>
            <w:vAlign w:val="center"/>
          </w:tcPr>
          <w:p>
            <w:pPr>
              <w:pStyle w:val="95"/>
              <w:rPr>
                <w:szCs w:val="21"/>
              </w:rPr>
            </w:pPr>
          </w:p>
        </w:tc>
        <w:tc>
          <w:tcPr>
            <w:tcW w:w="2801" w:type="pct"/>
            <w:vAlign w:val="center"/>
          </w:tcPr>
          <w:p>
            <w:pPr>
              <w:pStyle w:val="95"/>
              <w:rPr>
                <w:szCs w:val="21"/>
              </w:rPr>
            </w:pPr>
            <w:r>
              <w:rPr>
                <w:szCs w:val="21"/>
              </w:rPr>
              <w:t>气体钻会产生少量粉尘，喷淋系统，减少粉尘排放</w:t>
            </w:r>
          </w:p>
        </w:tc>
        <w:tc>
          <w:tcPr>
            <w:tcW w:w="619" w:type="pct"/>
            <w:vAlign w:val="center"/>
          </w:tcPr>
          <w:p>
            <w:pPr>
              <w:pStyle w:val="95"/>
              <w:rPr>
                <w:szCs w:val="21"/>
              </w:rPr>
            </w:pPr>
            <w:r>
              <w:rPr>
                <w:rFonts w:hint="eastAsia"/>
                <w:szCs w:val="21"/>
              </w:rPr>
              <w:t>粉尘</w:t>
            </w:r>
          </w:p>
        </w:tc>
        <w:tc>
          <w:tcPr>
            <w:tcW w:w="470" w:type="pct"/>
            <w:vAlign w:val="center"/>
          </w:tcPr>
          <w:p>
            <w:pPr>
              <w:pStyle w:val="95"/>
              <w:rPr>
                <w:szCs w:val="21"/>
              </w:rPr>
            </w:pPr>
            <w:r>
              <w:rPr>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271" w:type="pct"/>
            <w:vMerge w:val="continue"/>
            <w:vAlign w:val="center"/>
          </w:tcPr>
          <w:p>
            <w:pPr>
              <w:pStyle w:val="95"/>
            </w:pPr>
          </w:p>
        </w:tc>
        <w:tc>
          <w:tcPr>
            <w:tcW w:w="484" w:type="pct"/>
            <w:vMerge w:val="continue"/>
            <w:vAlign w:val="center"/>
          </w:tcPr>
          <w:p>
            <w:pPr>
              <w:pStyle w:val="95"/>
            </w:pPr>
          </w:p>
        </w:tc>
        <w:tc>
          <w:tcPr>
            <w:tcW w:w="355" w:type="pct"/>
            <w:gridSpan w:val="2"/>
            <w:vMerge w:val="continue"/>
            <w:vAlign w:val="center"/>
          </w:tcPr>
          <w:p>
            <w:pPr>
              <w:pStyle w:val="95"/>
              <w:rPr>
                <w:szCs w:val="21"/>
              </w:rPr>
            </w:pPr>
          </w:p>
        </w:tc>
        <w:tc>
          <w:tcPr>
            <w:tcW w:w="2801" w:type="pct"/>
            <w:vAlign w:val="center"/>
          </w:tcPr>
          <w:p>
            <w:pPr>
              <w:pStyle w:val="95"/>
              <w:rPr>
                <w:szCs w:val="21"/>
              </w:rPr>
            </w:pPr>
            <w:r>
              <w:rPr>
                <w:szCs w:val="21"/>
              </w:rPr>
              <w:t>测试放喷废气采取地面灼烧，</w:t>
            </w:r>
            <w:r>
              <w:rPr>
                <w:rFonts w:hint="eastAsia"/>
                <w:szCs w:val="21"/>
              </w:rPr>
              <w:t>依托现有1座</w:t>
            </w:r>
            <w:r>
              <w:rPr>
                <w:szCs w:val="21"/>
              </w:rPr>
              <w:t>放喷池</w:t>
            </w:r>
            <w:r>
              <w:rPr>
                <w:rFonts w:hint="eastAsia"/>
                <w:szCs w:val="21"/>
              </w:rPr>
              <w:t>（容积为</w:t>
            </w:r>
            <w:r>
              <w:rPr>
                <w:szCs w:val="21"/>
              </w:rPr>
              <w:t>300m</w:t>
            </w:r>
            <w:r>
              <w:rPr>
                <w:szCs w:val="21"/>
                <w:vertAlign w:val="superscript"/>
              </w:rPr>
              <w:t>3</w:t>
            </w:r>
            <w:r>
              <w:rPr>
                <w:rFonts w:hint="eastAsia"/>
                <w:szCs w:val="21"/>
              </w:rPr>
              <w:t>）</w:t>
            </w:r>
            <w:r>
              <w:rPr>
                <w:szCs w:val="21"/>
              </w:rPr>
              <w:t>及迎火墙</w:t>
            </w:r>
          </w:p>
        </w:tc>
        <w:tc>
          <w:tcPr>
            <w:tcW w:w="619" w:type="pct"/>
            <w:vAlign w:val="center"/>
          </w:tcPr>
          <w:p>
            <w:pPr>
              <w:pStyle w:val="95"/>
              <w:rPr>
                <w:szCs w:val="21"/>
              </w:rPr>
            </w:pPr>
            <w:r>
              <w:rPr>
                <w:szCs w:val="21"/>
              </w:rPr>
              <w:t>测试放喷废气</w:t>
            </w:r>
          </w:p>
        </w:tc>
        <w:tc>
          <w:tcPr>
            <w:tcW w:w="470" w:type="pct"/>
            <w:vAlign w:val="center"/>
          </w:tcPr>
          <w:p>
            <w:pPr>
              <w:pStyle w:val="95"/>
              <w:rPr>
                <w:szCs w:val="21"/>
              </w:rPr>
            </w:pPr>
            <w:r>
              <w:rPr>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271" w:type="pct"/>
            <w:vMerge w:val="continue"/>
            <w:vAlign w:val="center"/>
          </w:tcPr>
          <w:p>
            <w:pPr>
              <w:pStyle w:val="95"/>
            </w:pPr>
          </w:p>
        </w:tc>
        <w:tc>
          <w:tcPr>
            <w:tcW w:w="484" w:type="pct"/>
            <w:vMerge w:val="continue"/>
            <w:vAlign w:val="center"/>
          </w:tcPr>
          <w:p>
            <w:pPr>
              <w:pStyle w:val="95"/>
            </w:pPr>
          </w:p>
        </w:tc>
        <w:tc>
          <w:tcPr>
            <w:tcW w:w="355" w:type="pct"/>
            <w:gridSpan w:val="2"/>
            <w:vAlign w:val="center"/>
          </w:tcPr>
          <w:p>
            <w:pPr>
              <w:pStyle w:val="95"/>
            </w:pPr>
            <w:r>
              <w:rPr>
                <w:szCs w:val="21"/>
              </w:rPr>
              <w:t>废水</w:t>
            </w:r>
          </w:p>
        </w:tc>
        <w:tc>
          <w:tcPr>
            <w:tcW w:w="2801" w:type="pct"/>
            <w:vAlign w:val="center"/>
          </w:tcPr>
          <w:p>
            <w:pPr>
              <w:pStyle w:val="95"/>
            </w:pPr>
            <w:r>
              <w:rPr>
                <w:spacing w:val="-8"/>
                <w:szCs w:val="21"/>
              </w:rPr>
              <w:t>施工期管线施工人员生活污水依托租用附近居民房收集处理</w:t>
            </w:r>
            <w:r>
              <w:rPr>
                <w:rFonts w:hint="eastAsia"/>
                <w:spacing w:val="-8"/>
                <w:szCs w:val="21"/>
              </w:rPr>
              <w:t>，井</w:t>
            </w:r>
            <w:r>
              <w:rPr>
                <w:spacing w:val="-8"/>
                <w:szCs w:val="21"/>
              </w:rPr>
              <w:t>场施工</w:t>
            </w:r>
            <w:r>
              <w:rPr>
                <w:rFonts w:hint="eastAsia"/>
                <w:spacing w:val="-8"/>
                <w:szCs w:val="21"/>
                <w:lang w:eastAsia="zh-CN"/>
              </w:rPr>
              <w:t>如厕</w:t>
            </w:r>
            <w:r>
              <w:rPr>
                <w:spacing w:val="-8"/>
                <w:szCs w:val="21"/>
              </w:rPr>
              <w:t>生活污水</w:t>
            </w:r>
            <w:r>
              <w:rPr>
                <w:rFonts w:hint="eastAsia"/>
                <w:spacing w:val="-8"/>
                <w:szCs w:val="21"/>
              </w:rPr>
              <w:t>依托</w:t>
            </w:r>
            <w:r>
              <w:rPr>
                <w:spacing w:val="-8"/>
                <w:szCs w:val="21"/>
              </w:rPr>
              <w:t>经</w:t>
            </w:r>
            <w:r>
              <w:rPr>
                <w:bCs/>
                <w:spacing w:val="-8"/>
                <w:szCs w:val="21"/>
              </w:rPr>
              <w:t>生态环保厕所收集处理</w:t>
            </w:r>
            <w:r>
              <w:rPr>
                <w:spacing w:val="-8"/>
                <w:szCs w:val="21"/>
              </w:rPr>
              <w:t>后，用作周边农肥，不外排；</w:t>
            </w:r>
            <w:r>
              <w:rPr>
                <w:rFonts w:hint="eastAsia"/>
                <w:spacing w:val="-8"/>
                <w:szCs w:val="21"/>
              </w:rPr>
              <w:t>员工洗澡、食堂废水经单独收集后拉运至黄金镇场镇污水处理厂处理</w:t>
            </w:r>
            <w:r>
              <w:rPr>
                <w:spacing w:val="-8"/>
                <w:szCs w:val="21"/>
              </w:rPr>
              <w:t>；</w:t>
            </w:r>
            <w:r>
              <w:rPr>
                <w:szCs w:val="21"/>
              </w:rPr>
              <w:t>施工生产废水经沿线隔油沉淀池（2m</w:t>
            </w:r>
            <w:r>
              <w:rPr>
                <w:szCs w:val="21"/>
                <w:vertAlign w:val="superscript"/>
              </w:rPr>
              <w:t>3</w:t>
            </w:r>
            <w:r>
              <w:rPr>
                <w:szCs w:val="21"/>
              </w:rPr>
              <w:t>）沉淀后洒水降尘使用</w:t>
            </w:r>
            <w:r>
              <w:rPr>
                <w:spacing w:val="-8"/>
                <w:szCs w:val="21"/>
              </w:rPr>
              <w:t>；</w:t>
            </w:r>
            <w:r>
              <w:rPr>
                <w:rFonts w:hint="eastAsia"/>
                <w:spacing w:val="-8"/>
                <w:szCs w:val="21"/>
              </w:rPr>
              <w:t>试压废水</w:t>
            </w:r>
            <w:r>
              <w:t>经沉</w:t>
            </w:r>
            <w:r>
              <w:rPr>
                <w:rFonts w:hint="eastAsia"/>
              </w:rPr>
              <w:t>沙</w:t>
            </w:r>
            <w:r>
              <w:t>池沉淀后</w:t>
            </w:r>
            <w:r>
              <w:rPr>
                <w:rFonts w:hint="eastAsia"/>
              </w:rPr>
              <w:t>回用，不外排；</w:t>
            </w:r>
            <w:r>
              <w:rPr>
                <w:spacing w:val="-8"/>
                <w:szCs w:val="21"/>
              </w:rPr>
              <w:t>钻井废水经</w:t>
            </w:r>
            <w:r>
              <w:rPr>
                <w:rFonts w:hint="eastAsia"/>
                <w:spacing w:val="-8"/>
                <w:szCs w:val="21"/>
              </w:rPr>
              <w:t>清洁化操作平台</w:t>
            </w:r>
            <w:r>
              <w:rPr>
                <w:spacing w:val="-8"/>
                <w:szCs w:val="21"/>
              </w:rPr>
              <w:t>预处理后装车拉运至毛开1井回注站回注</w:t>
            </w:r>
            <w:r>
              <w:rPr>
                <w:rFonts w:hint="eastAsia"/>
              </w:rPr>
              <w:t>；</w:t>
            </w:r>
            <w:r>
              <w:rPr>
                <w:spacing w:val="-8"/>
                <w:szCs w:val="21"/>
              </w:rPr>
              <w:t>压裂废水和洗井废水</w:t>
            </w:r>
            <w:r>
              <w:rPr>
                <w:rFonts w:hint="eastAsia"/>
                <w:spacing w:val="-8"/>
                <w:szCs w:val="21"/>
              </w:rPr>
              <w:t>暂存于现有污水池</w:t>
            </w:r>
            <w:r>
              <w:rPr>
                <w:spacing w:val="-8"/>
                <w:szCs w:val="21"/>
              </w:rPr>
              <w:t>，并及时装车拉运至大湾403污水站处理达标后管输至毛开1井回注站回注</w:t>
            </w:r>
            <w:r>
              <w:t>。</w:t>
            </w:r>
          </w:p>
        </w:tc>
        <w:tc>
          <w:tcPr>
            <w:tcW w:w="619" w:type="pct"/>
            <w:vAlign w:val="center"/>
          </w:tcPr>
          <w:p>
            <w:pPr>
              <w:pStyle w:val="95"/>
            </w:pPr>
            <w:r>
              <w:rPr>
                <w:szCs w:val="21"/>
              </w:rPr>
              <w:t>/</w:t>
            </w:r>
          </w:p>
        </w:tc>
        <w:tc>
          <w:tcPr>
            <w:tcW w:w="470" w:type="pct"/>
            <w:vAlign w:val="center"/>
          </w:tcPr>
          <w:p>
            <w:pPr>
              <w:pStyle w:val="95"/>
            </w:pPr>
            <w:r>
              <w:rPr>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271" w:type="pct"/>
            <w:vMerge w:val="continue"/>
            <w:vAlign w:val="center"/>
          </w:tcPr>
          <w:p>
            <w:pPr>
              <w:pStyle w:val="95"/>
            </w:pPr>
          </w:p>
        </w:tc>
        <w:tc>
          <w:tcPr>
            <w:tcW w:w="484" w:type="pct"/>
            <w:vMerge w:val="continue"/>
            <w:vAlign w:val="center"/>
          </w:tcPr>
          <w:p>
            <w:pPr>
              <w:pStyle w:val="95"/>
            </w:pPr>
          </w:p>
        </w:tc>
        <w:tc>
          <w:tcPr>
            <w:tcW w:w="355" w:type="pct"/>
            <w:gridSpan w:val="2"/>
            <w:vAlign w:val="center"/>
          </w:tcPr>
          <w:p>
            <w:pPr>
              <w:pStyle w:val="95"/>
              <w:rPr>
                <w:szCs w:val="21"/>
              </w:rPr>
            </w:pPr>
            <w:r>
              <w:rPr>
                <w:szCs w:val="21"/>
              </w:rPr>
              <w:t>噪声</w:t>
            </w:r>
          </w:p>
        </w:tc>
        <w:tc>
          <w:tcPr>
            <w:tcW w:w="2801" w:type="pct"/>
            <w:vAlign w:val="center"/>
          </w:tcPr>
          <w:p>
            <w:pPr>
              <w:pStyle w:val="95"/>
              <w:rPr>
                <w:spacing w:val="-8"/>
                <w:szCs w:val="21"/>
              </w:rPr>
            </w:pPr>
            <w:r>
              <w:rPr>
                <w:szCs w:val="21"/>
              </w:rPr>
              <w:t>采取合理安排作业时间，合理布置施工机械等措施</w:t>
            </w:r>
            <w:r>
              <w:rPr>
                <w:rFonts w:hint="eastAsia"/>
                <w:szCs w:val="21"/>
              </w:rPr>
              <w:t>，</w:t>
            </w:r>
            <w:r>
              <w:t>施工沿线居民集中点设挡声板</w:t>
            </w:r>
            <w:r>
              <w:rPr>
                <w:rFonts w:hint="eastAsia"/>
              </w:rPr>
              <w:t>，</w:t>
            </w:r>
            <w:r>
              <w:t>钻井施工采用网电</w:t>
            </w:r>
            <w:r>
              <w:rPr>
                <w:szCs w:val="21"/>
              </w:rPr>
              <w:t>。</w:t>
            </w:r>
          </w:p>
        </w:tc>
        <w:tc>
          <w:tcPr>
            <w:tcW w:w="619" w:type="pct"/>
            <w:vAlign w:val="center"/>
          </w:tcPr>
          <w:p>
            <w:pPr>
              <w:pStyle w:val="95"/>
              <w:rPr>
                <w:szCs w:val="21"/>
              </w:rPr>
            </w:pPr>
            <w:r>
              <w:rPr>
                <w:szCs w:val="21"/>
              </w:rPr>
              <w:t>/</w:t>
            </w:r>
          </w:p>
        </w:tc>
        <w:tc>
          <w:tcPr>
            <w:tcW w:w="470" w:type="pct"/>
            <w:vAlign w:val="center"/>
          </w:tcPr>
          <w:p>
            <w:pPr>
              <w:pStyle w:val="95"/>
              <w:rPr>
                <w:szCs w:val="21"/>
              </w:rPr>
            </w:pPr>
            <w:r>
              <w:rPr>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271" w:type="pct"/>
            <w:vMerge w:val="continue"/>
            <w:vAlign w:val="center"/>
          </w:tcPr>
          <w:p>
            <w:pPr>
              <w:pStyle w:val="95"/>
            </w:pPr>
          </w:p>
        </w:tc>
        <w:tc>
          <w:tcPr>
            <w:tcW w:w="484" w:type="pct"/>
            <w:vMerge w:val="continue"/>
            <w:vAlign w:val="center"/>
          </w:tcPr>
          <w:p>
            <w:pPr>
              <w:pStyle w:val="95"/>
            </w:pPr>
          </w:p>
        </w:tc>
        <w:tc>
          <w:tcPr>
            <w:tcW w:w="355" w:type="pct"/>
            <w:gridSpan w:val="2"/>
            <w:vAlign w:val="center"/>
          </w:tcPr>
          <w:p>
            <w:pPr>
              <w:pStyle w:val="95"/>
              <w:rPr>
                <w:szCs w:val="21"/>
              </w:rPr>
            </w:pPr>
            <w:r>
              <w:rPr>
                <w:szCs w:val="21"/>
              </w:rPr>
              <w:t>固体废物</w:t>
            </w:r>
          </w:p>
        </w:tc>
        <w:tc>
          <w:tcPr>
            <w:tcW w:w="2801" w:type="pct"/>
            <w:vAlign w:val="center"/>
          </w:tcPr>
          <w:p>
            <w:pPr>
              <w:pStyle w:val="95"/>
              <w:rPr>
                <w:szCs w:val="21"/>
              </w:rPr>
            </w:pPr>
            <w:r>
              <w:rPr>
                <w:szCs w:val="21"/>
              </w:rPr>
              <w:t>管道沿线开挖土石方经回填后，少量土方管道沿线平整消耗，基本实现挖填平衡，管道沿线无弃方产生</w:t>
            </w:r>
            <w:r>
              <w:rPr>
                <w:rFonts w:hint="eastAsia"/>
                <w:szCs w:val="21"/>
              </w:rPr>
              <w:t>；</w:t>
            </w:r>
            <w:r>
              <w:rPr>
                <w:szCs w:val="21"/>
              </w:rPr>
              <w:t>施工人员生活垃圾交环卫处置。施工期废气焊条、废油漆桶及现场连接处防腐废料严格要求施工单位妥善处置</w:t>
            </w:r>
            <w:r>
              <w:rPr>
                <w:rFonts w:hint="eastAsia"/>
                <w:szCs w:val="21"/>
              </w:rPr>
              <w:t>；</w:t>
            </w:r>
            <w:r>
              <w:rPr>
                <w:rFonts w:hint="eastAsia"/>
              </w:rPr>
              <w:t>钻井</w:t>
            </w:r>
            <w:r>
              <w:t>采用清洁化操作平台，并采取泥浆不落地措施</w:t>
            </w:r>
            <w:r>
              <w:rPr>
                <w:rFonts w:hint="eastAsia"/>
              </w:rPr>
              <w:t>，</w:t>
            </w:r>
            <w:r>
              <w:t>废</w:t>
            </w:r>
            <w:r>
              <w:rPr>
                <w:rFonts w:hint="eastAsia"/>
              </w:rPr>
              <w:t>水基</w:t>
            </w:r>
            <w:r>
              <w:t>泥浆与</w:t>
            </w:r>
            <w:r>
              <w:rPr>
                <w:rFonts w:hint="eastAsia"/>
              </w:rPr>
              <w:t>水基</w:t>
            </w:r>
            <w:r>
              <w:t>废岩屑按照</w:t>
            </w:r>
            <w:r>
              <w:rPr>
                <w:rFonts w:hint="eastAsia"/>
              </w:rPr>
              <w:t>相关要求进行资源化利用；废油基泥浆、油基岩屑、废油暂存于危废暂存间，面积约10m</w:t>
            </w:r>
            <w:r>
              <w:rPr>
                <w:rFonts w:hint="eastAsia"/>
                <w:vertAlign w:val="superscript"/>
              </w:rPr>
              <w:t>2</w:t>
            </w:r>
            <w:r>
              <w:rPr>
                <w:rFonts w:hint="eastAsia"/>
              </w:rPr>
              <w:t>，暂存间地面采取</w:t>
            </w:r>
            <w:r>
              <w:rPr>
                <w:rFonts w:hint="eastAsia" w:hAnsi="宋体"/>
                <w:color w:val="0000FF"/>
              </w:rPr>
              <w:t>六防措施（防风、防雨、防晒、防渗、防漏、防腐）</w:t>
            </w:r>
            <w:r>
              <w:rPr>
                <w:rFonts w:hint="eastAsia"/>
              </w:rPr>
              <w:t>，</w:t>
            </w:r>
            <w:r>
              <w:rPr>
                <w:rFonts w:hint="eastAsia" w:hAnsi="宋体"/>
                <w:color w:val="0000FF"/>
              </w:rPr>
              <w:t>危险废物</w:t>
            </w:r>
            <w:r>
              <w:t>及时清运</w:t>
            </w:r>
            <w:r>
              <w:rPr>
                <w:rFonts w:hint="eastAsia"/>
              </w:rPr>
              <w:t>至企业净化厂</w:t>
            </w:r>
            <w:r>
              <w:t>危险废物贮存仓库</w:t>
            </w:r>
            <w:r>
              <w:rPr>
                <w:rFonts w:hint="eastAsia"/>
              </w:rPr>
              <w:t>（运距约20km）</w:t>
            </w:r>
            <w:r>
              <w:t>，</w:t>
            </w:r>
            <w:r>
              <w:rPr>
                <w:rFonts w:hint="eastAsia"/>
              </w:rPr>
              <w:t>定期</w:t>
            </w:r>
            <w:r>
              <w:t>委托有资质单位进行处理</w:t>
            </w:r>
            <w:r>
              <w:rPr>
                <w:szCs w:val="21"/>
              </w:rPr>
              <w:t>。</w:t>
            </w:r>
          </w:p>
        </w:tc>
        <w:tc>
          <w:tcPr>
            <w:tcW w:w="619" w:type="pct"/>
            <w:vAlign w:val="center"/>
          </w:tcPr>
          <w:p>
            <w:pPr>
              <w:pStyle w:val="95"/>
              <w:rPr>
                <w:szCs w:val="21"/>
              </w:rPr>
            </w:pPr>
            <w:r>
              <w:rPr>
                <w:szCs w:val="21"/>
              </w:rPr>
              <w:t>/</w:t>
            </w:r>
          </w:p>
        </w:tc>
        <w:tc>
          <w:tcPr>
            <w:tcW w:w="470" w:type="pct"/>
            <w:vAlign w:val="center"/>
          </w:tcPr>
          <w:p>
            <w:pPr>
              <w:pStyle w:val="95"/>
              <w:rPr>
                <w:szCs w:val="21"/>
              </w:rPr>
            </w:pPr>
            <w:r>
              <w:rPr>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271" w:type="pct"/>
            <w:vMerge w:val="continue"/>
            <w:vAlign w:val="center"/>
          </w:tcPr>
          <w:p>
            <w:pPr>
              <w:pStyle w:val="95"/>
            </w:pPr>
          </w:p>
        </w:tc>
        <w:tc>
          <w:tcPr>
            <w:tcW w:w="484" w:type="pct"/>
            <w:vMerge w:val="continue"/>
            <w:vAlign w:val="center"/>
          </w:tcPr>
          <w:p>
            <w:pPr>
              <w:pStyle w:val="95"/>
            </w:pPr>
          </w:p>
        </w:tc>
        <w:tc>
          <w:tcPr>
            <w:tcW w:w="355" w:type="pct"/>
            <w:gridSpan w:val="2"/>
            <w:vAlign w:val="center"/>
          </w:tcPr>
          <w:p>
            <w:pPr>
              <w:pStyle w:val="132"/>
            </w:pPr>
            <w:r>
              <w:rPr>
                <w:rFonts w:hint="eastAsia"/>
              </w:rPr>
              <w:t>生态</w:t>
            </w:r>
            <w:r>
              <w:t>保护</w:t>
            </w:r>
          </w:p>
        </w:tc>
        <w:tc>
          <w:tcPr>
            <w:tcW w:w="2801" w:type="pct"/>
            <w:vAlign w:val="center"/>
          </w:tcPr>
          <w:p>
            <w:pPr>
              <w:pStyle w:val="132"/>
            </w:pPr>
            <w:r>
              <w:rPr>
                <w:rFonts w:hint="eastAsia"/>
              </w:rPr>
              <w:t>站场施工：井场、进场道路及临时堆土区分区采取相应的</w:t>
            </w:r>
            <w:r>
              <w:t>表土剥离、截排水沟、排污沟、井场边沟、植草等措施，覆土、土地整治及临时措施</w:t>
            </w:r>
            <w:r>
              <w:rPr>
                <w:rFonts w:hint="eastAsia"/>
              </w:rPr>
              <w:t>。</w:t>
            </w:r>
          </w:p>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管线施工</w:t>
            </w:r>
            <w:r>
              <w:rPr>
                <w:rFonts w:hint="eastAsia" w:ascii="Times New Roman" w:cs="Times New Roman"/>
                <w:kern w:val="2"/>
                <w:sz w:val="21"/>
                <w:szCs w:val="21"/>
              </w:rPr>
              <w:t>：</w:t>
            </w:r>
            <w:r>
              <w:rPr>
                <w:rFonts w:ascii="Times New Roman" w:cs="Times New Roman"/>
                <w:kern w:val="2"/>
                <w:sz w:val="21"/>
                <w:szCs w:val="21"/>
              </w:rPr>
              <w:t>（1）尽量避开雨季施工；分段施工，做到随挖、随运、随铺、随压，尽量不留疏松地面，减少风蚀导致的水土流失。</w:t>
            </w:r>
          </w:p>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（2）划定施工作业带范围和路线，不随意扩大。并严格控制机械和车辆的作业范围，尽可能减少对土壤和农作物的破坏以及由此引发的水土流失。</w:t>
            </w:r>
          </w:p>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（3）提高工程施工效率，缩短施工工期。</w:t>
            </w:r>
          </w:p>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（4）施工时将禁止材料的随意堆放，划定统一的堆料场，防止对植物破坏范围扩大。</w:t>
            </w:r>
          </w:p>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w:t>
            </w:r>
            <w:r>
              <w:rPr>
                <w:rFonts w:hint="eastAsia" w:ascii="Times New Roman" w:cs="Times New Roman"/>
                <w:kern w:val="2"/>
                <w:sz w:val="21"/>
                <w:szCs w:val="21"/>
              </w:rPr>
              <w:t>5</w:t>
            </w:r>
            <w:r>
              <w:rPr>
                <w:rFonts w:ascii="Times New Roman" w:cs="Times New Roman"/>
                <w:kern w:val="2"/>
                <w:sz w:val="21"/>
                <w:szCs w:val="21"/>
              </w:rPr>
              <w:t>）施工破坏的植被地带，施工结束后，及时恢复植被，减少水土流失。对于穿越的一般林地，管线敷设后，土方回填不仅遵循设计规范要求，还将遵循下石上土、下粗上细、肥沃的在上贫瘠的在下的原则。回填后管线两侧5m范围内栽种根系不发达、生长性强的植被。对于耕地，施工结束后，遵循上述相同的原则，进行复耕。</w:t>
            </w:r>
          </w:p>
          <w:p>
            <w:pPr>
              <w:pStyle w:val="132"/>
            </w:pPr>
            <w:r>
              <w:rPr>
                <w:szCs w:val="21"/>
              </w:rPr>
              <w:t>（</w:t>
            </w:r>
            <w:r>
              <w:rPr>
                <w:rFonts w:hint="eastAsia"/>
                <w:szCs w:val="21"/>
              </w:rPr>
              <w:t>6</w:t>
            </w:r>
            <w:r>
              <w:rPr>
                <w:szCs w:val="21"/>
              </w:rPr>
              <w:t>）水土保持和水工保护措施相结合，工程措施和生物措施相互结合，分区进行布局</w:t>
            </w:r>
            <w:r>
              <w:t>。</w:t>
            </w:r>
          </w:p>
        </w:tc>
        <w:tc>
          <w:tcPr>
            <w:tcW w:w="619" w:type="pct"/>
            <w:vAlign w:val="center"/>
          </w:tcPr>
          <w:p>
            <w:pPr>
              <w:pStyle w:val="132"/>
            </w:pPr>
            <w:r>
              <w:t>水土流失</w:t>
            </w:r>
          </w:p>
          <w:p>
            <w:pPr>
              <w:pStyle w:val="132"/>
            </w:pPr>
            <w:r>
              <w:t>植物破坏</w:t>
            </w:r>
          </w:p>
        </w:tc>
        <w:tc>
          <w:tcPr>
            <w:tcW w:w="470" w:type="pct"/>
            <w:vAlign w:val="center"/>
          </w:tcPr>
          <w:p>
            <w:pPr>
              <w:pStyle w:val="132"/>
            </w:pPr>
            <w:r>
              <w:t>恢复地貌</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271" w:type="pct"/>
            <w:vMerge w:val="continue"/>
            <w:vAlign w:val="center"/>
          </w:tcPr>
          <w:p>
            <w:pPr>
              <w:pStyle w:val="95"/>
            </w:pPr>
          </w:p>
        </w:tc>
        <w:tc>
          <w:tcPr>
            <w:tcW w:w="484" w:type="pct"/>
            <w:vMerge w:val="restart"/>
            <w:vAlign w:val="center"/>
          </w:tcPr>
          <w:p>
            <w:pPr>
              <w:pStyle w:val="95"/>
            </w:pPr>
            <w:r>
              <w:t>运营期</w:t>
            </w:r>
          </w:p>
        </w:tc>
        <w:tc>
          <w:tcPr>
            <w:tcW w:w="355" w:type="pct"/>
            <w:gridSpan w:val="2"/>
            <w:vMerge w:val="restart"/>
            <w:vAlign w:val="center"/>
          </w:tcPr>
          <w:p>
            <w:pPr>
              <w:pStyle w:val="132"/>
            </w:pPr>
            <w:r>
              <w:t>废气</w:t>
            </w:r>
          </w:p>
        </w:tc>
        <w:tc>
          <w:tcPr>
            <w:tcW w:w="2801" w:type="pct"/>
            <w:vAlign w:val="center"/>
          </w:tcPr>
          <w:p>
            <w:pPr>
              <w:pStyle w:val="132"/>
            </w:pPr>
            <w:r>
              <w:t>水套炉燃烧废气：燃料气</w:t>
            </w:r>
            <w:r>
              <w:rPr>
                <w:rFonts w:hint="eastAsia"/>
              </w:rPr>
              <w:t>为依托现有</w:t>
            </w:r>
            <w:r>
              <w:t>燃气返输管线返输净化后天然气，废气主要为氮氧化物，利用水套炉自带的8m高排气筒外排。</w:t>
            </w:r>
          </w:p>
        </w:tc>
        <w:tc>
          <w:tcPr>
            <w:tcW w:w="619" w:type="pct"/>
            <w:vAlign w:val="center"/>
          </w:tcPr>
          <w:p>
            <w:pPr>
              <w:pStyle w:val="132"/>
            </w:pPr>
            <w:r>
              <w:t>/</w:t>
            </w:r>
          </w:p>
        </w:tc>
        <w:tc>
          <w:tcPr>
            <w:tcW w:w="470" w:type="pct"/>
            <w:vAlign w:val="center"/>
          </w:tcPr>
          <w:p>
            <w:pPr>
              <w:pStyle w:val="132"/>
            </w:pPr>
            <w: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271" w:type="pct"/>
            <w:vMerge w:val="continue"/>
            <w:vAlign w:val="center"/>
          </w:tcPr>
          <w:p>
            <w:pPr>
              <w:pStyle w:val="95"/>
            </w:pPr>
          </w:p>
        </w:tc>
        <w:tc>
          <w:tcPr>
            <w:tcW w:w="484" w:type="pct"/>
            <w:vMerge w:val="continue"/>
            <w:vAlign w:val="center"/>
          </w:tcPr>
          <w:p>
            <w:pPr>
              <w:pStyle w:val="95"/>
            </w:pPr>
          </w:p>
        </w:tc>
        <w:tc>
          <w:tcPr>
            <w:tcW w:w="355" w:type="pct"/>
            <w:gridSpan w:val="2"/>
            <w:vMerge w:val="continue"/>
            <w:vAlign w:val="center"/>
          </w:tcPr>
          <w:p>
            <w:pPr>
              <w:pStyle w:val="132"/>
            </w:pPr>
          </w:p>
        </w:tc>
        <w:tc>
          <w:tcPr>
            <w:tcW w:w="2801" w:type="pct"/>
            <w:vAlign w:val="center"/>
          </w:tcPr>
          <w:p>
            <w:pPr>
              <w:pStyle w:val="132"/>
            </w:pPr>
            <w:r>
              <w:t>事故/检修放空废气：</w:t>
            </w:r>
            <w:r>
              <w:rPr>
                <w:rFonts w:hint="eastAsia"/>
              </w:rPr>
              <w:t>普陆4集气平台新建</w:t>
            </w:r>
            <w:r>
              <w:t>放空火炬区，用于</w:t>
            </w:r>
            <w:r>
              <w:rPr>
                <w:rFonts w:hint="eastAsia"/>
              </w:rPr>
              <w:t>采气</w:t>
            </w:r>
            <w:r>
              <w:t>站或管线在事故或检修状态下产生的废气的点火放空，废气经放空火炬（</w:t>
            </w:r>
            <w:r>
              <w:rPr>
                <w:rFonts w:hint="eastAsia"/>
              </w:rPr>
              <w:t>15</w:t>
            </w:r>
            <w:r>
              <w:t>m）排放。</w:t>
            </w:r>
          </w:p>
        </w:tc>
        <w:tc>
          <w:tcPr>
            <w:tcW w:w="619" w:type="pct"/>
            <w:vAlign w:val="center"/>
          </w:tcPr>
          <w:p>
            <w:pPr>
              <w:pStyle w:val="132"/>
            </w:pPr>
            <w:r>
              <w:t>/</w:t>
            </w:r>
          </w:p>
        </w:tc>
        <w:tc>
          <w:tcPr>
            <w:tcW w:w="470" w:type="pct"/>
            <w:vAlign w:val="center"/>
          </w:tcPr>
          <w:p>
            <w:pPr>
              <w:pStyle w:val="132"/>
            </w:pPr>
            <w: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271" w:type="pct"/>
            <w:vMerge w:val="continue"/>
            <w:vAlign w:val="center"/>
          </w:tcPr>
          <w:p>
            <w:pPr>
              <w:pStyle w:val="95"/>
            </w:pPr>
          </w:p>
        </w:tc>
        <w:tc>
          <w:tcPr>
            <w:tcW w:w="484" w:type="pct"/>
            <w:vMerge w:val="continue"/>
            <w:vAlign w:val="center"/>
          </w:tcPr>
          <w:p>
            <w:pPr>
              <w:pStyle w:val="95"/>
            </w:pPr>
          </w:p>
        </w:tc>
        <w:tc>
          <w:tcPr>
            <w:tcW w:w="355" w:type="pct"/>
            <w:gridSpan w:val="2"/>
            <w:vAlign w:val="center"/>
          </w:tcPr>
          <w:p>
            <w:pPr>
              <w:pStyle w:val="132"/>
            </w:pPr>
            <w:r>
              <w:t>废水</w:t>
            </w:r>
          </w:p>
        </w:tc>
        <w:tc>
          <w:tcPr>
            <w:tcW w:w="2801" w:type="pct"/>
            <w:vAlign w:val="center"/>
          </w:tcPr>
          <w:p>
            <w:pPr>
              <w:pStyle w:val="132"/>
            </w:pPr>
            <w:r>
              <w:t>本项目运营期产生的气田水</w:t>
            </w:r>
            <w:r>
              <w:rPr>
                <w:rFonts w:hint="eastAsia"/>
              </w:rPr>
              <w:t>暂存于污水缓冲罐</w:t>
            </w:r>
            <w:r>
              <w:t>，然后通过密闭罐车拉运至大湾403污水站处理达到《气田水回注方法》（SY/T 6596</w:t>
            </w:r>
            <w:r>
              <w:rPr>
                <w:rFonts w:hint="eastAsia"/>
              </w:rPr>
              <w:t>-</w:t>
            </w:r>
            <w:r>
              <w:t>2016）中注入水基本要求后管输至毛开1井回注站回注处理，不外排</w:t>
            </w:r>
            <w:r>
              <w:rPr>
                <w:rFonts w:hint="eastAsia"/>
              </w:rPr>
              <w:t>；值守</w:t>
            </w:r>
            <w:r>
              <w:t>人员生活</w:t>
            </w:r>
            <w:r>
              <w:rPr>
                <w:rFonts w:hint="eastAsia"/>
              </w:rPr>
              <w:t>污水经</w:t>
            </w:r>
            <w:r>
              <w:t>生态环保厕所收集后，用作周边农肥，不外排</w:t>
            </w:r>
            <w:r>
              <w:rPr>
                <w:rFonts w:hint="eastAsia"/>
              </w:rPr>
              <w:t>。</w:t>
            </w:r>
          </w:p>
        </w:tc>
        <w:tc>
          <w:tcPr>
            <w:tcW w:w="619" w:type="pct"/>
            <w:vAlign w:val="center"/>
          </w:tcPr>
          <w:p>
            <w:pPr>
              <w:pStyle w:val="132"/>
            </w:pPr>
            <w:r>
              <w:t>/</w:t>
            </w:r>
          </w:p>
        </w:tc>
        <w:tc>
          <w:tcPr>
            <w:tcW w:w="470" w:type="pct"/>
            <w:vAlign w:val="center"/>
          </w:tcPr>
          <w:p>
            <w:pPr>
              <w:pStyle w:val="132"/>
            </w:pPr>
            <w: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271" w:type="pct"/>
            <w:vMerge w:val="continue"/>
            <w:vAlign w:val="center"/>
          </w:tcPr>
          <w:p>
            <w:pPr>
              <w:pStyle w:val="95"/>
            </w:pPr>
          </w:p>
        </w:tc>
        <w:tc>
          <w:tcPr>
            <w:tcW w:w="484" w:type="pct"/>
            <w:vMerge w:val="continue"/>
            <w:vAlign w:val="center"/>
          </w:tcPr>
          <w:p>
            <w:pPr>
              <w:pStyle w:val="95"/>
            </w:pPr>
          </w:p>
        </w:tc>
        <w:tc>
          <w:tcPr>
            <w:tcW w:w="355" w:type="pct"/>
            <w:gridSpan w:val="2"/>
            <w:vAlign w:val="center"/>
          </w:tcPr>
          <w:p>
            <w:pPr>
              <w:pStyle w:val="132"/>
            </w:pPr>
            <w:r>
              <w:t>噪声</w:t>
            </w:r>
          </w:p>
        </w:tc>
        <w:tc>
          <w:tcPr>
            <w:tcW w:w="2801" w:type="pct"/>
            <w:vAlign w:val="center"/>
          </w:tcPr>
          <w:p>
            <w:pPr>
              <w:pStyle w:val="132"/>
            </w:pPr>
            <w:r>
              <w:rPr>
                <w:szCs w:val="21"/>
              </w:rPr>
              <w:t>低噪声设备；管线地埋敷设。</w:t>
            </w:r>
          </w:p>
        </w:tc>
        <w:tc>
          <w:tcPr>
            <w:tcW w:w="619" w:type="pct"/>
            <w:vAlign w:val="center"/>
          </w:tcPr>
          <w:p>
            <w:pPr>
              <w:pStyle w:val="132"/>
            </w:pPr>
            <w:r>
              <w:t>/</w:t>
            </w:r>
          </w:p>
        </w:tc>
        <w:tc>
          <w:tcPr>
            <w:tcW w:w="470" w:type="pct"/>
            <w:vAlign w:val="center"/>
          </w:tcPr>
          <w:p>
            <w:pPr>
              <w:pStyle w:val="132"/>
            </w:pPr>
            <w: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271" w:type="pct"/>
            <w:vMerge w:val="continue"/>
            <w:vAlign w:val="center"/>
          </w:tcPr>
          <w:p>
            <w:pPr>
              <w:pStyle w:val="95"/>
            </w:pPr>
          </w:p>
        </w:tc>
        <w:tc>
          <w:tcPr>
            <w:tcW w:w="484" w:type="pct"/>
            <w:vMerge w:val="continue"/>
            <w:vAlign w:val="center"/>
          </w:tcPr>
          <w:p>
            <w:pPr>
              <w:pStyle w:val="95"/>
            </w:pPr>
          </w:p>
        </w:tc>
        <w:tc>
          <w:tcPr>
            <w:tcW w:w="355" w:type="pct"/>
            <w:gridSpan w:val="2"/>
            <w:vAlign w:val="center"/>
          </w:tcPr>
          <w:p>
            <w:pPr>
              <w:pStyle w:val="132"/>
            </w:pPr>
            <w:r>
              <w:rPr>
                <w:rFonts w:hint="eastAsia"/>
              </w:rPr>
              <w:t>固体废物</w:t>
            </w:r>
          </w:p>
        </w:tc>
        <w:tc>
          <w:tcPr>
            <w:tcW w:w="2801" w:type="pct"/>
            <w:vAlign w:val="center"/>
          </w:tcPr>
          <w:p>
            <w:pPr>
              <w:pStyle w:val="132"/>
              <w:rPr>
                <w:szCs w:val="21"/>
              </w:rPr>
            </w:pPr>
            <w:r>
              <w:rPr>
                <w:rFonts w:hint="eastAsia"/>
                <w:szCs w:val="21"/>
              </w:rPr>
              <w:t>运营期</w:t>
            </w:r>
            <w:r>
              <w:rPr>
                <w:szCs w:val="21"/>
              </w:rPr>
              <w:t>工作人员生活垃圾用垃圾桶收集，委托当地环卫部门清运处置</w:t>
            </w:r>
            <w:r>
              <w:rPr>
                <w:rFonts w:hint="eastAsia"/>
                <w:szCs w:val="21"/>
              </w:rPr>
              <w:t>；</w:t>
            </w:r>
            <w:r>
              <w:rPr>
                <w:rFonts w:hint="eastAsia"/>
                <w:bCs/>
                <w:szCs w:val="21"/>
              </w:rPr>
              <w:t>凝析油作为副产品外售；普陆4集气平台</w:t>
            </w:r>
            <w:r>
              <w:rPr>
                <w:bCs/>
                <w:szCs w:val="21"/>
              </w:rPr>
              <w:t>设有清管阀收球装置，会有清管废渣产生，</w:t>
            </w:r>
            <w:r>
              <w:rPr>
                <w:bCs/>
                <w:color w:val="FF0000"/>
                <w:szCs w:val="21"/>
              </w:rPr>
              <w:t>清管废渣</w:t>
            </w:r>
            <w:r>
              <w:rPr>
                <w:rFonts w:hint="eastAsia"/>
                <w:bCs/>
                <w:color w:val="FF0000"/>
                <w:szCs w:val="21"/>
              </w:rPr>
              <w:t>含凝析油</w:t>
            </w:r>
            <w:r>
              <w:rPr>
                <w:bCs/>
                <w:color w:val="FF0000"/>
                <w:szCs w:val="21"/>
              </w:rPr>
              <w:t>，属危险废物，集中收集后交有资质单位集中处置</w:t>
            </w:r>
          </w:p>
        </w:tc>
        <w:tc>
          <w:tcPr>
            <w:tcW w:w="619" w:type="pct"/>
            <w:vAlign w:val="center"/>
          </w:tcPr>
          <w:p>
            <w:pPr>
              <w:pStyle w:val="132"/>
            </w:pPr>
            <w:r>
              <w:t>/</w:t>
            </w:r>
          </w:p>
        </w:tc>
        <w:tc>
          <w:tcPr>
            <w:tcW w:w="470" w:type="pct"/>
            <w:vAlign w:val="center"/>
          </w:tcPr>
          <w:p>
            <w:pPr>
              <w:pStyle w:val="132"/>
            </w:pPr>
            <w: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4" w:hRule="atLeast"/>
          <w:jc w:val="center"/>
        </w:trPr>
        <w:tc>
          <w:tcPr>
            <w:tcW w:w="271" w:type="pct"/>
            <w:vMerge w:val="continue"/>
            <w:vAlign w:val="center"/>
          </w:tcPr>
          <w:p>
            <w:pPr>
              <w:pStyle w:val="95"/>
            </w:pPr>
          </w:p>
        </w:tc>
        <w:tc>
          <w:tcPr>
            <w:tcW w:w="484" w:type="pct"/>
            <w:vMerge w:val="continue"/>
            <w:vAlign w:val="center"/>
          </w:tcPr>
          <w:p>
            <w:pPr>
              <w:pStyle w:val="95"/>
            </w:pPr>
          </w:p>
        </w:tc>
        <w:tc>
          <w:tcPr>
            <w:tcW w:w="355" w:type="pct"/>
            <w:gridSpan w:val="2"/>
            <w:vAlign w:val="center"/>
          </w:tcPr>
          <w:p>
            <w:pPr>
              <w:pStyle w:val="132"/>
            </w:pPr>
            <w:r>
              <w:t>地下水</w:t>
            </w:r>
          </w:p>
        </w:tc>
        <w:tc>
          <w:tcPr>
            <w:tcW w:w="2801" w:type="pct"/>
            <w:vAlign w:val="center"/>
          </w:tcPr>
          <w:p>
            <w:pPr>
              <w:pStyle w:val="132"/>
            </w:pPr>
            <w:r>
              <w:t>管道采用外防腐层和强制电流阴极保护联合方式</w:t>
            </w:r>
            <w:r>
              <w:rPr>
                <w:rFonts w:hint="eastAsia"/>
              </w:rPr>
              <w:t>；</w:t>
            </w:r>
            <w:r>
              <w:t>污水缓冲罐：四周设置防渗围堰</w:t>
            </w:r>
            <w:r>
              <w:rPr>
                <w:rFonts w:hint="eastAsia"/>
              </w:rPr>
              <w:t>。</w:t>
            </w:r>
          </w:p>
        </w:tc>
        <w:tc>
          <w:tcPr>
            <w:tcW w:w="619" w:type="pct"/>
            <w:vAlign w:val="center"/>
          </w:tcPr>
          <w:p>
            <w:pPr>
              <w:pStyle w:val="132"/>
            </w:pPr>
            <w:r>
              <w:t>/</w:t>
            </w:r>
          </w:p>
        </w:tc>
        <w:tc>
          <w:tcPr>
            <w:tcW w:w="470" w:type="pct"/>
            <w:vAlign w:val="center"/>
          </w:tcPr>
          <w:p>
            <w:pPr>
              <w:pStyle w:val="132"/>
            </w:pPr>
            <w: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271" w:type="pct"/>
            <w:vMerge w:val="continue"/>
            <w:vAlign w:val="center"/>
          </w:tcPr>
          <w:p>
            <w:pPr>
              <w:pStyle w:val="95"/>
            </w:pPr>
          </w:p>
        </w:tc>
        <w:tc>
          <w:tcPr>
            <w:tcW w:w="484" w:type="pct"/>
            <w:vMerge w:val="continue"/>
            <w:vAlign w:val="center"/>
          </w:tcPr>
          <w:p>
            <w:pPr>
              <w:pStyle w:val="95"/>
            </w:pPr>
          </w:p>
        </w:tc>
        <w:tc>
          <w:tcPr>
            <w:tcW w:w="355" w:type="pct"/>
            <w:gridSpan w:val="2"/>
            <w:vAlign w:val="center"/>
          </w:tcPr>
          <w:p>
            <w:pPr>
              <w:pStyle w:val="132"/>
            </w:pPr>
            <w:r>
              <w:t>风险</w:t>
            </w:r>
          </w:p>
        </w:tc>
        <w:tc>
          <w:tcPr>
            <w:tcW w:w="2801" w:type="pct"/>
            <w:vAlign w:val="center"/>
          </w:tcPr>
          <w:p>
            <w:pPr>
              <w:pStyle w:val="132"/>
            </w:pPr>
            <w:r>
              <w:rPr>
                <w:rFonts w:hint="eastAsia"/>
                <w:szCs w:val="21"/>
              </w:rPr>
              <w:t>放喷池：池底和池壁采取防渗措施。</w:t>
            </w:r>
          </w:p>
          <w:p>
            <w:pPr>
              <w:pStyle w:val="132"/>
            </w:pPr>
            <w:r>
              <w:t>事故放空：事故状态下管线及站场内天然气通过新建放</w:t>
            </w:r>
            <w:r>
              <w:rPr>
                <w:rFonts w:hint="eastAsia"/>
              </w:rPr>
              <w:t>空系统燃烧</w:t>
            </w:r>
            <w:r>
              <w:t>排放。</w:t>
            </w:r>
          </w:p>
          <w:p>
            <w:pPr>
              <w:pStyle w:val="132"/>
            </w:pPr>
            <w:r>
              <w:rPr>
                <w:rFonts w:hint="eastAsia"/>
              </w:rPr>
              <w:t>柴油储罐、</w:t>
            </w:r>
            <w:r>
              <w:t>污水缓冲罐：四周设置防渗围堰。</w:t>
            </w:r>
          </w:p>
        </w:tc>
        <w:tc>
          <w:tcPr>
            <w:tcW w:w="619" w:type="pct"/>
            <w:vAlign w:val="center"/>
          </w:tcPr>
          <w:p>
            <w:pPr>
              <w:pStyle w:val="132"/>
            </w:pPr>
            <w:r>
              <w:t>/</w:t>
            </w:r>
          </w:p>
        </w:tc>
        <w:tc>
          <w:tcPr>
            <w:tcW w:w="470" w:type="pct"/>
            <w:vAlign w:val="center"/>
          </w:tcPr>
          <w:p>
            <w:pPr>
              <w:pStyle w:val="132"/>
            </w:pPr>
            <w: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271" w:type="pct"/>
            <w:vMerge w:val="continue"/>
            <w:vAlign w:val="center"/>
          </w:tcPr>
          <w:p>
            <w:pPr>
              <w:pStyle w:val="95"/>
            </w:pPr>
          </w:p>
        </w:tc>
        <w:tc>
          <w:tcPr>
            <w:tcW w:w="484" w:type="pct"/>
            <w:vMerge w:val="continue"/>
            <w:vAlign w:val="center"/>
          </w:tcPr>
          <w:p>
            <w:pPr>
              <w:pStyle w:val="95"/>
            </w:pPr>
          </w:p>
        </w:tc>
        <w:tc>
          <w:tcPr>
            <w:tcW w:w="355" w:type="pct"/>
            <w:gridSpan w:val="2"/>
            <w:vMerge w:val="restart"/>
            <w:vAlign w:val="center"/>
          </w:tcPr>
          <w:p>
            <w:pPr>
              <w:pStyle w:val="95"/>
            </w:pPr>
            <w:r>
              <w:t>生态</w:t>
            </w:r>
          </w:p>
          <w:p>
            <w:pPr>
              <w:pStyle w:val="132"/>
            </w:pPr>
            <w:r>
              <w:t>保护</w:t>
            </w:r>
          </w:p>
        </w:tc>
        <w:tc>
          <w:tcPr>
            <w:tcW w:w="2801" w:type="pct"/>
            <w:vAlign w:val="center"/>
          </w:tcPr>
          <w:p>
            <w:pPr>
              <w:pStyle w:val="132"/>
            </w:pPr>
            <w:r>
              <w:t>项目管沟及其施工作业带全线采取水土保持措施，包括工程措施、植物措施、管理措施，做好护坡、堡坎和排水设施。</w:t>
            </w:r>
          </w:p>
        </w:tc>
        <w:tc>
          <w:tcPr>
            <w:tcW w:w="619" w:type="pct"/>
            <w:vAlign w:val="center"/>
          </w:tcPr>
          <w:p>
            <w:pPr>
              <w:pStyle w:val="132"/>
            </w:pPr>
            <w:r>
              <w:t>/</w:t>
            </w:r>
          </w:p>
        </w:tc>
        <w:tc>
          <w:tcPr>
            <w:tcW w:w="470" w:type="pct"/>
            <w:vAlign w:val="center"/>
          </w:tcPr>
          <w:p>
            <w:pPr>
              <w:pStyle w:val="132"/>
            </w:pPr>
            <w: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271" w:type="pct"/>
            <w:vMerge w:val="continue"/>
            <w:vAlign w:val="center"/>
          </w:tcPr>
          <w:p>
            <w:pPr>
              <w:pStyle w:val="95"/>
            </w:pPr>
          </w:p>
        </w:tc>
        <w:tc>
          <w:tcPr>
            <w:tcW w:w="484" w:type="pct"/>
            <w:vMerge w:val="continue"/>
            <w:vAlign w:val="center"/>
          </w:tcPr>
          <w:p>
            <w:pPr>
              <w:pStyle w:val="95"/>
            </w:pPr>
          </w:p>
        </w:tc>
        <w:tc>
          <w:tcPr>
            <w:tcW w:w="355" w:type="pct"/>
            <w:gridSpan w:val="2"/>
            <w:vMerge w:val="continue"/>
            <w:vAlign w:val="center"/>
          </w:tcPr>
          <w:p>
            <w:pPr>
              <w:pStyle w:val="95"/>
            </w:pPr>
          </w:p>
        </w:tc>
        <w:tc>
          <w:tcPr>
            <w:tcW w:w="2801" w:type="pct"/>
            <w:vAlign w:val="center"/>
          </w:tcPr>
          <w:p>
            <w:pPr>
              <w:pStyle w:val="132"/>
            </w:pPr>
            <w:r>
              <w:t>站场周边修建排水沟，进行绿化建设；管线通过陡坡地段，设置护坡、堡坎等。</w:t>
            </w:r>
          </w:p>
        </w:tc>
        <w:tc>
          <w:tcPr>
            <w:tcW w:w="619" w:type="pct"/>
            <w:vAlign w:val="center"/>
          </w:tcPr>
          <w:p>
            <w:pPr>
              <w:pStyle w:val="132"/>
            </w:pPr>
            <w:r>
              <w:t>/</w:t>
            </w:r>
          </w:p>
        </w:tc>
        <w:tc>
          <w:tcPr>
            <w:tcW w:w="470" w:type="pct"/>
            <w:vAlign w:val="center"/>
          </w:tcPr>
          <w:p>
            <w:pPr>
              <w:pStyle w:val="132"/>
            </w:pPr>
            <w:r>
              <w:t>/</w:t>
            </w:r>
          </w:p>
        </w:tc>
      </w:tr>
    </w:tbl>
    <w:p>
      <w:pPr>
        <w:pStyle w:val="3"/>
        <w:spacing w:before="120"/>
        <w:rPr>
          <w:rFonts w:cs="Times New Roman"/>
        </w:rPr>
      </w:pPr>
      <w:bookmarkStart w:id="127" w:name="bookmark13"/>
      <w:bookmarkEnd w:id="127"/>
      <w:bookmarkStart w:id="128" w:name="_Toc81515267"/>
      <w:r>
        <w:rPr>
          <w:rFonts w:cs="Times New Roman"/>
        </w:rPr>
        <w:t>3.</w:t>
      </w:r>
      <w:bookmarkStart w:id="129" w:name="_Toc19815955"/>
      <w:bookmarkStart w:id="130" w:name="_Toc12288399"/>
      <w:r>
        <w:rPr>
          <w:rFonts w:cs="Times New Roman"/>
        </w:rPr>
        <w:t>3</w:t>
      </w:r>
      <w:bookmarkEnd w:id="129"/>
      <w:r>
        <w:rPr>
          <w:rFonts w:cs="Times New Roman"/>
        </w:rPr>
        <w:t xml:space="preserve"> 输送介质情况</w:t>
      </w:r>
      <w:bookmarkEnd w:id="128"/>
    </w:p>
    <w:bookmarkEnd w:id="130"/>
    <w:p>
      <w:pPr>
        <w:pStyle w:val="112"/>
        <w:ind w:firstLine="480"/>
        <w:rPr>
          <w:color w:val="FF0000"/>
        </w:rPr>
      </w:pPr>
      <w:bookmarkStart w:id="131" w:name="_Hlk81422789"/>
      <w:r>
        <w:rPr>
          <w:rFonts w:hint="eastAsia"/>
          <w:color w:val="FF0000"/>
        </w:rPr>
        <w:t>根据本项目可研报告，本项目天然气</w:t>
      </w:r>
      <w:r>
        <w:rPr>
          <w:color w:val="FF0000"/>
        </w:rPr>
        <w:t>组分</w:t>
      </w:r>
      <w:r>
        <w:rPr>
          <w:rFonts w:hint="eastAsia"/>
          <w:color w:val="FF0000"/>
        </w:rPr>
        <w:t>、</w:t>
      </w:r>
      <w:r>
        <w:rPr>
          <w:color w:val="FF0000"/>
        </w:rPr>
        <w:t>凝析油组分</w:t>
      </w:r>
      <w:r>
        <w:rPr>
          <w:rFonts w:hint="eastAsia"/>
          <w:color w:val="FF0000"/>
        </w:rPr>
        <w:t>、采出水质均参考</w:t>
      </w:r>
      <w:r>
        <w:rPr>
          <w:color w:val="FF0000"/>
        </w:rPr>
        <w:t>普陆</w:t>
      </w:r>
      <w:r>
        <w:rPr>
          <w:rFonts w:hint="eastAsia"/>
          <w:color w:val="FF0000"/>
        </w:rPr>
        <w:t>3井进行分析，由于本项目目的层与</w:t>
      </w:r>
      <w:r>
        <w:rPr>
          <w:color w:val="FF0000"/>
        </w:rPr>
        <w:t>普陆</w:t>
      </w:r>
      <w:r>
        <w:rPr>
          <w:rFonts w:hint="eastAsia"/>
          <w:color w:val="FF0000"/>
        </w:rPr>
        <w:t>3井相同，采用同一种开采工艺，因此具有可类比性。</w:t>
      </w:r>
    </w:p>
    <w:p>
      <w:pPr>
        <w:pStyle w:val="112"/>
        <w:ind w:firstLine="480"/>
      </w:pPr>
      <w:r>
        <w:rPr>
          <w:rFonts w:hint="eastAsia"/>
        </w:rPr>
        <w:t>天然气</w:t>
      </w:r>
      <w:r>
        <w:t>组分参考普陆</w:t>
      </w:r>
      <w:r>
        <w:rPr>
          <w:rFonts w:hint="eastAsia"/>
        </w:rPr>
        <w:t>3井</w:t>
      </w:r>
      <w:r>
        <w:t>的气组分，</w:t>
      </w:r>
      <w:r>
        <w:rPr>
          <w:rFonts w:hint="eastAsia"/>
        </w:rPr>
        <w:t>在普</w:t>
      </w:r>
      <w:r>
        <w:t>陆</w:t>
      </w:r>
      <w:r>
        <w:rPr>
          <w:rFonts w:hint="eastAsia"/>
        </w:rPr>
        <w:t>3集气站</w:t>
      </w:r>
      <w:r>
        <w:t>分离器的</w:t>
      </w:r>
      <w:r>
        <w:rPr>
          <w:rFonts w:hint="eastAsia"/>
        </w:rPr>
        <w:t>气相</w:t>
      </w:r>
      <w:r>
        <w:t>出口取样化验，</w:t>
      </w:r>
      <w:r>
        <w:rPr>
          <w:rFonts w:hint="eastAsia"/>
        </w:rPr>
        <w:t>天然气</w:t>
      </w:r>
      <w:r>
        <w:t>化验组分见表表</w:t>
      </w:r>
      <w:r>
        <w:rPr>
          <w:rFonts w:hint="eastAsia"/>
        </w:rPr>
        <w:t>3.3-1</w:t>
      </w:r>
      <w:r>
        <w:t>。</w:t>
      </w:r>
    </w:p>
    <w:p>
      <w:pPr>
        <w:pStyle w:val="37"/>
        <w:rPr>
          <w:rFonts w:cs="Times New Roman"/>
        </w:rPr>
      </w:pPr>
      <w:r>
        <w:rPr>
          <w:rFonts w:cs="Times New Roman"/>
        </w:rPr>
        <w:t>表3.3-1原料天然气气体组分表</w:t>
      </w:r>
    </w:p>
    <w:tbl>
      <w:tblPr>
        <w:tblStyle w:val="5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9"/>
        <w:gridCol w:w="1604"/>
        <w:gridCol w:w="2659"/>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Borders>
              <w:top w:val="single" w:color="auto" w:sz="12" w:space="0"/>
              <w:left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组分</w:t>
            </w:r>
          </w:p>
        </w:tc>
        <w:tc>
          <w:tcPr>
            <w:tcW w:w="1280" w:type="dxa"/>
            <w:tcBorders>
              <w:top w:val="single" w:color="auto" w:sz="12" w:space="0"/>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摩尔含量</w:t>
            </w:r>
            <w:r>
              <w:rPr>
                <w:rFonts w:ascii="Times New Roman" w:cs="Times New Roman"/>
                <w:kern w:val="2"/>
                <w:sz w:val="21"/>
                <w:szCs w:val="21"/>
              </w:rPr>
              <w:t>%</w:t>
            </w:r>
          </w:p>
        </w:tc>
        <w:tc>
          <w:tcPr>
            <w:tcW w:w="2122" w:type="dxa"/>
            <w:tcBorders>
              <w:top w:val="single" w:color="auto" w:sz="12" w:space="0"/>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组分</w:t>
            </w:r>
          </w:p>
        </w:tc>
        <w:tc>
          <w:tcPr>
            <w:tcW w:w="1280" w:type="dxa"/>
            <w:tcBorders>
              <w:top w:val="single" w:color="auto" w:sz="12" w:space="0"/>
              <w:right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摩尔含量</w:t>
            </w:r>
            <w:r>
              <w:rPr>
                <w:rFonts w:ascii="Times New Roman" w:cs="Times New Roman"/>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Borders>
              <w:left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H</w:t>
            </w:r>
            <w:r>
              <w:rPr>
                <w:rFonts w:hint="eastAsia" w:ascii="Times New Roman" w:cs="Times New Roman"/>
                <w:kern w:val="2"/>
                <w:sz w:val="21"/>
                <w:szCs w:val="21"/>
                <w:vertAlign w:val="subscript"/>
              </w:rPr>
              <w:t>2</w:t>
            </w:r>
          </w:p>
        </w:tc>
        <w:tc>
          <w:tcPr>
            <w:tcW w:w="1280" w:type="dxa"/>
            <w:noWrap/>
          </w:tcPr>
          <w:p>
            <w:pPr>
              <w:ind w:firstLine="420"/>
              <w:jc w:val="center"/>
              <w:rPr>
                <w:rFonts w:ascii="Times New Roman" w:cs="Times New Roman"/>
                <w:kern w:val="2"/>
                <w:sz w:val="21"/>
                <w:szCs w:val="21"/>
              </w:rPr>
            </w:pPr>
            <w:r>
              <w:rPr>
                <w:rFonts w:hint="eastAsia" w:ascii="Times New Roman" w:cs="Times New Roman"/>
                <w:kern w:val="2"/>
                <w:sz w:val="21"/>
                <w:szCs w:val="21"/>
              </w:rPr>
              <w:t>0.029</w:t>
            </w:r>
          </w:p>
        </w:tc>
        <w:tc>
          <w:tcPr>
            <w:tcW w:w="2122" w:type="dxa"/>
            <w:noWrap/>
          </w:tcPr>
          <w:p>
            <w:pPr>
              <w:ind w:firstLine="420"/>
              <w:jc w:val="center"/>
              <w:rPr>
                <w:rFonts w:ascii="Times New Roman" w:cs="Times New Roman"/>
                <w:kern w:val="2"/>
                <w:sz w:val="21"/>
                <w:szCs w:val="21"/>
              </w:rPr>
            </w:pPr>
            <w:r>
              <w:rPr>
                <w:rFonts w:ascii="Times New Roman" w:cs="Times New Roman"/>
                <w:kern w:val="2"/>
                <w:sz w:val="21"/>
                <w:szCs w:val="21"/>
              </w:rPr>
              <w:t>iC</w:t>
            </w:r>
            <w:r>
              <w:rPr>
                <w:rFonts w:ascii="Times New Roman" w:cs="Times New Roman"/>
                <w:kern w:val="2"/>
                <w:sz w:val="21"/>
                <w:szCs w:val="21"/>
                <w:vertAlign w:val="subscript"/>
              </w:rPr>
              <w:t>4</w:t>
            </w:r>
            <w:r>
              <w:rPr>
                <w:rFonts w:ascii="Times New Roman" w:cs="Times New Roman"/>
                <w:kern w:val="2"/>
                <w:sz w:val="21"/>
                <w:szCs w:val="21"/>
              </w:rPr>
              <w:t>H</w:t>
            </w:r>
            <w:r>
              <w:rPr>
                <w:rFonts w:ascii="Times New Roman" w:cs="Times New Roman"/>
                <w:kern w:val="2"/>
                <w:sz w:val="21"/>
                <w:szCs w:val="21"/>
                <w:vertAlign w:val="subscript"/>
              </w:rPr>
              <w:t>10</w:t>
            </w:r>
          </w:p>
        </w:tc>
        <w:tc>
          <w:tcPr>
            <w:tcW w:w="1280" w:type="dxa"/>
            <w:tcBorders>
              <w:right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0.668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Borders>
              <w:left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H</w:t>
            </w:r>
            <w:r>
              <w:rPr>
                <w:rFonts w:ascii="Times New Roman" w:cs="Times New Roman"/>
                <w:kern w:val="2"/>
                <w:sz w:val="21"/>
                <w:szCs w:val="21"/>
              </w:rPr>
              <w:t>e</w:t>
            </w:r>
          </w:p>
        </w:tc>
        <w:tc>
          <w:tcPr>
            <w:tcW w:w="1280" w:type="dxa"/>
            <w:noWrap/>
          </w:tcPr>
          <w:p>
            <w:pPr>
              <w:ind w:firstLine="420"/>
              <w:jc w:val="center"/>
              <w:rPr>
                <w:rFonts w:ascii="Times New Roman" w:cs="Times New Roman"/>
                <w:kern w:val="2"/>
                <w:sz w:val="21"/>
                <w:szCs w:val="21"/>
              </w:rPr>
            </w:pPr>
            <w:r>
              <w:rPr>
                <w:rFonts w:hint="eastAsia" w:ascii="Times New Roman" w:cs="Times New Roman"/>
                <w:kern w:val="2"/>
                <w:sz w:val="21"/>
                <w:szCs w:val="21"/>
              </w:rPr>
              <w:t>0.034</w:t>
            </w:r>
          </w:p>
        </w:tc>
        <w:tc>
          <w:tcPr>
            <w:tcW w:w="2122" w:type="dxa"/>
            <w:noWrap/>
          </w:tcPr>
          <w:p>
            <w:pPr>
              <w:ind w:firstLine="420"/>
              <w:jc w:val="center"/>
              <w:rPr>
                <w:rFonts w:ascii="Times New Roman" w:cs="Times New Roman"/>
                <w:kern w:val="2"/>
                <w:sz w:val="21"/>
                <w:szCs w:val="21"/>
              </w:rPr>
            </w:pPr>
            <w:r>
              <w:rPr>
                <w:rFonts w:ascii="Times New Roman" w:cs="Times New Roman"/>
                <w:kern w:val="2"/>
                <w:sz w:val="21"/>
                <w:szCs w:val="21"/>
              </w:rPr>
              <w:t>nC</w:t>
            </w:r>
            <w:r>
              <w:rPr>
                <w:rFonts w:ascii="Times New Roman" w:cs="Times New Roman"/>
                <w:kern w:val="2"/>
                <w:sz w:val="21"/>
                <w:szCs w:val="21"/>
                <w:vertAlign w:val="subscript"/>
              </w:rPr>
              <w:t>4</w:t>
            </w:r>
            <w:r>
              <w:rPr>
                <w:rFonts w:ascii="Times New Roman" w:cs="Times New Roman"/>
                <w:kern w:val="2"/>
                <w:sz w:val="21"/>
                <w:szCs w:val="21"/>
              </w:rPr>
              <w:t>H</w:t>
            </w:r>
            <w:r>
              <w:rPr>
                <w:rFonts w:ascii="Times New Roman" w:cs="Times New Roman"/>
                <w:kern w:val="2"/>
                <w:sz w:val="21"/>
                <w:szCs w:val="21"/>
                <w:vertAlign w:val="subscript"/>
              </w:rPr>
              <w:t>10</w:t>
            </w:r>
          </w:p>
        </w:tc>
        <w:tc>
          <w:tcPr>
            <w:tcW w:w="1280" w:type="dxa"/>
            <w:tcBorders>
              <w:right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Borders>
              <w:left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N</w:t>
            </w:r>
            <w:r>
              <w:rPr>
                <w:rFonts w:hint="eastAsia" w:ascii="Times New Roman" w:cs="Times New Roman"/>
                <w:kern w:val="2"/>
                <w:sz w:val="21"/>
                <w:szCs w:val="21"/>
                <w:vertAlign w:val="subscript"/>
              </w:rPr>
              <w:t>2</w:t>
            </w:r>
          </w:p>
        </w:tc>
        <w:tc>
          <w:tcPr>
            <w:tcW w:w="1280" w:type="dxa"/>
            <w:noWrap/>
          </w:tcPr>
          <w:p>
            <w:pPr>
              <w:ind w:firstLine="420"/>
              <w:jc w:val="center"/>
              <w:rPr>
                <w:rFonts w:ascii="Times New Roman" w:cs="Times New Roman"/>
                <w:kern w:val="2"/>
                <w:sz w:val="21"/>
                <w:szCs w:val="21"/>
              </w:rPr>
            </w:pPr>
            <w:r>
              <w:rPr>
                <w:rFonts w:hint="eastAsia" w:ascii="Times New Roman" w:cs="Times New Roman"/>
                <w:kern w:val="2"/>
                <w:sz w:val="21"/>
                <w:szCs w:val="21"/>
              </w:rPr>
              <w:t>1.11</w:t>
            </w:r>
          </w:p>
        </w:tc>
        <w:tc>
          <w:tcPr>
            <w:tcW w:w="2122" w:type="dxa"/>
            <w:noWrap/>
          </w:tcPr>
          <w:p>
            <w:pPr>
              <w:ind w:firstLine="420"/>
              <w:jc w:val="center"/>
              <w:rPr>
                <w:rFonts w:ascii="Times New Roman" w:cs="Times New Roman"/>
                <w:kern w:val="2"/>
                <w:sz w:val="21"/>
                <w:szCs w:val="21"/>
              </w:rPr>
            </w:pPr>
            <w:r>
              <w:rPr>
                <w:rFonts w:ascii="Times New Roman" w:cs="Times New Roman"/>
                <w:kern w:val="2"/>
                <w:sz w:val="21"/>
                <w:szCs w:val="21"/>
              </w:rPr>
              <w:t>iC</w:t>
            </w:r>
            <w:r>
              <w:rPr>
                <w:rFonts w:ascii="Times New Roman" w:cs="Times New Roman"/>
                <w:kern w:val="2"/>
                <w:sz w:val="21"/>
                <w:szCs w:val="21"/>
                <w:vertAlign w:val="subscript"/>
              </w:rPr>
              <w:t>5</w:t>
            </w:r>
            <w:r>
              <w:rPr>
                <w:rFonts w:ascii="Times New Roman" w:cs="Times New Roman"/>
                <w:kern w:val="2"/>
                <w:sz w:val="21"/>
                <w:szCs w:val="21"/>
              </w:rPr>
              <w:t>H</w:t>
            </w:r>
            <w:r>
              <w:rPr>
                <w:rFonts w:ascii="Times New Roman" w:cs="Times New Roman"/>
                <w:kern w:val="2"/>
                <w:sz w:val="21"/>
                <w:szCs w:val="21"/>
                <w:vertAlign w:val="subscript"/>
              </w:rPr>
              <w:t>12</w:t>
            </w:r>
          </w:p>
        </w:tc>
        <w:tc>
          <w:tcPr>
            <w:tcW w:w="1280" w:type="dxa"/>
            <w:tcBorders>
              <w:right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Borders>
              <w:left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CO</w:t>
            </w:r>
            <w:r>
              <w:rPr>
                <w:rFonts w:hint="eastAsia" w:ascii="Times New Roman" w:cs="Times New Roman"/>
                <w:kern w:val="2"/>
                <w:sz w:val="21"/>
                <w:szCs w:val="21"/>
                <w:vertAlign w:val="subscript"/>
              </w:rPr>
              <w:t>2</w:t>
            </w:r>
          </w:p>
        </w:tc>
        <w:tc>
          <w:tcPr>
            <w:tcW w:w="1280" w:type="dxa"/>
            <w:noWrap/>
          </w:tcPr>
          <w:p>
            <w:pPr>
              <w:ind w:firstLine="420"/>
              <w:jc w:val="center"/>
              <w:rPr>
                <w:rFonts w:ascii="Times New Roman" w:cs="Times New Roman"/>
                <w:kern w:val="2"/>
                <w:sz w:val="21"/>
                <w:szCs w:val="21"/>
              </w:rPr>
            </w:pPr>
            <w:r>
              <w:rPr>
                <w:rFonts w:hint="eastAsia" w:ascii="Times New Roman" w:cs="Times New Roman"/>
                <w:kern w:val="2"/>
                <w:sz w:val="21"/>
                <w:szCs w:val="21"/>
              </w:rPr>
              <w:t>0.037</w:t>
            </w:r>
          </w:p>
        </w:tc>
        <w:tc>
          <w:tcPr>
            <w:tcW w:w="2122" w:type="dxa"/>
            <w:noWrap/>
          </w:tcPr>
          <w:p>
            <w:pPr>
              <w:ind w:firstLine="420"/>
              <w:jc w:val="center"/>
              <w:rPr>
                <w:rFonts w:ascii="Times New Roman" w:cs="Times New Roman"/>
                <w:kern w:val="2"/>
                <w:sz w:val="21"/>
                <w:szCs w:val="21"/>
              </w:rPr>
            </w:pPr>
            <w:r>
              <w:rPr>
                <w:rFonts w:ascii="Times New Roman" w:cs="Times New Roman"/>
                <w:kern w:val="2"/>
                <w:sz w:val="21"/>
                <w:szCs w:val="21"/>
              </w:rPr>
              <w:t>iC</w:t>
            </w:r>
            <w:r>
              <w:rPr>
                <w:rFonts w:ascii="Times New Roman" w:cs="Times New Roman"/>
                <w:kern w:val="2"/>
                <w:sz w:val="21"/>
                <w:szCs w:val="21"/>
                <w:vertAlign w:val="subscript"/>
              </w:rPr>
              <w:t>5</w:t>
            </w:r>
            <w:r>
              <w:rPr>
                <w:rFonts w:ascii="Times New Roman" w:cs="Times New Roman"/>
                <w:kern w:val="2"/>
                <w:sz w:val="21"/>
                <w:szCs w:val="21"/>
              </w:rPr>
              <w:t>H</w:t>
            </w:r>
            <w:r>
              <w:rPr>
                <w:rFonts w:ascii="Times New Roman" w:cs="Times New Roman"/>
                <w:kern w:val="2"/>
                <w:sz w:val="21"/>
                <w:szCs w:val="21"/>
                <w:vertAlign w:val="subscript"/>
              </w:rPr>
              <w:t>12</w:t>
            </w:r>
          </w:p>
        </w:tc>
        <w:tc>
          <w:tcPr>
            <w:tcW w:w="1280" w:type="dxa"/>
            <w:tcBorders>
              <w:right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0.474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Borders>
              <w:left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H</w:t>
            </w:r>
            <w:r>
              <w:rPr>
                <w:rFonts w:hint="eastAsia" w:ascii="Times New Roman" w:cs="Times New Roman"/>
                <w:kern w:val="2"/>
                <w:sz w:val="21"/>
                <w:szCs w:val="21"/>
                <w:vertAlign w:val="subscript"/>
              </w:rPr>
              <w:t>2</w:t>
            </w:r>
            <w:r>
              <w:rPr>
                <w:rFonts w:hint="eastAsia" w:ascii="Times New Roman" w:cs="Times New Roman"/>
                <w:kern w:val="2"/>
                <w:sz w:val="21"/>
                <w:szCs w:val="21"/>
              </w:rPr>
              <w:t>S</w:t>
            </w:r>
          </w:p>
        </w:tc>
        <w:tc>
          <w:tcPr>
            <w:tcW w:w="1280" w:type="dxa"/>
            <w:noWrap/>
          </w:tcPr>
          <w:p>
            <w:pPr>
              <w:ind w:firstLine="420"/>
              <w:jc w:val="center"/>
              <w:rPr>
                <w:rFonts w:ascii="Times New Roman" w:cs="Times New Roman"/>
                <w:kern w:val="2"/>
                <w:sz w:val="21"/>
                <w:szCs w:val="21"/>
              </w:rPr>
            </w:pPr>
            <w:r>
              <w:rPr>
                <w:rFonts w:hint="eastAsia" w:ascii="Times New Roman" w:cs="Times New Roman"/>
                <w:kern w:val="2"/>
                <w:sz w:val="21"/>
                <w:szCs w:val="21"/>
              </w:rPr>
              <w:t>0.000</w:t>
            </w:r>
          </w:p>
        </w:tc>
        <w:tc>
          <w:tcPr>
            <w:tcW w:w="2122" w:type="dxa"/>
            <w:noWrap/>
          </w:tcPr>
          <w:p>
            <w:pPr>
              <w:ind w:firstLine="420"/>
              <w:jc w:val="center"/>
              <w:rPr>
                <w:rFonts w:ascii="Times New Roman" w:cs="Times New Roman"/>
                <w:kern w:val="2"/>
                <w:sz w:val="21"/>
                <w:szCs w:val="21"/>
              </w:rPr>
            </w:pPr>
            <w:r>
              <w:rPr>
                <w:rFonts w:hint="eastAsia" w:ascii="Times New Roman" w:cs="Times New Roman"/>
                <w:kern w:val="2"/>
                <w:sz w:val="21"/>
                <w:szCs w:val="21"/>
              </w:rPr>
              <w:t>C6</w:t>
            </w:r>
          </w:p>
        </w:tc>
        <w:tc>
          <w:tcPr>
            <w:tcW w:w="1280" w:type="dxa"/>
            <w:tcBorders>
              <w:right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0.293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Borders>
              <w:left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CH</w:t>
            </w:r>
            <w:r>
              <w:rPr>
                <w:rFonts w:hint="eastAsia" w:ascii="Times New Roman" w:cs="Times New Roman"/>
                <w:kern w:val="2"/>
                <w:sz w:val="21"/>
                <w:szCs w:val="21"/>
                <w:vertAlign w:val="subscript"/>
              </w:rPr>
              <w:t>4</w:t>
            </w:r>
          </w:p>
        </w:tc>
        <w:tc>
          <w:tcPr>
            <w:tcW w:w="1280" w:type="dxa"/>
            <w:noWrap/>
          </w:tcPr>
          <w:p>
            <w:pPr>
              <w:ind w:firstLine="420"/>
              <w:jc w:val="center"/>
              <w:rPr>
                <w:rFonts w:ascii="Times New Roman" w:cs="Times New Roman"/>
                <w:kern w:val="2"/>
                <w:sz w:val="21"/>
                <w:szCs w:val="21"/>
              </w:rPr>
            </w:pPr>
            <w:r>
              <w:rPr>
                <w:rFonts w:hint="eastAsia" w:ascii="Times New Roman" w:cs="Times New Roman"/>
                <w:kern w:val="2"/>
                <w:sz w:val="21"/>
                <w:szCs w:val="21"/>
              </w:rPr>
              <w:t>85.427</w:t>
            </w:r>
          </w:p>
        </w:tc>
        <w:tc>
          <w:tcPr>
            <w:tcW w:w="2122" w:type="dxa"/>
            <w:noWrap/>
          </w:tcPr>
          <w:p>
            <w:pPr>
              <w:ind w:firstLine="420"/>
              <w:jc w:val="center"/>
              <w:rPr>
                <w:rFonts w:ascii="Times New Roman" w:cs="Times New Roman"/>
                <w:kern w:val="2"/>
                <w:sz w:val="21"/>
                <w:szCs w:val="21"/>
              </w:rPr>
            </w:pPr>
            <w:r>
              <w:rPr>
                <w:rFonts w:hint="eastAsia" w:ascii="Times New Roman" w:cs="Times New Roman"/>
                <w:kern w:val="2"/>
                <w:sz w:val="21"/>
                <w:szCs w:val="21"/>
              </w:rPr>
              <w:t>C7</w:t>
            </w:r>
          </w:p>
        </w:tc>
        <w:tc>
          <w:tcPr>
            <w:tcW w:w="1280" w:type="dxa"/>
            <w:tcBorders>
              <w:right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Borders>
              <w:left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w:t>
            </w:r>
            <w:r>
              <w:rPr>
                <w:rFonts w:hint="eastAsia" w:ascii="Times New Roman" w:cs="Times New Roman"/>
                <w:kern w:val="2"/>
                <w:sz w:val="21"/>
                <w:szCs w:val="21"/>
                <w:vertAlign w:val="subscript"/>
              </w:rPr>
              <w:t>2</w:t>
            </w:r>
            <w:r>
              <w:rPr>
                <w:rFonts w:hint="eastAsia" w:ascii="Times New Roman" w:cs="Times New Roman"/>
                <w:kern w:val="2"/>
                <w:sz w:val="21"/>
                <w:szCs w:val="21"/>
              </w:rPr>
              <w:t>H</w:t>
            </w:r>
            <w:r>
              <w:rPr>
                <w:rFonts w:hint="eastAsia" w:ascii="Times New Roman" w:cs="Times New Roman"/>
                <w:kern w:val="2"/>
                <w:sz w:val="21"/>
                <w:szCs w:val="21"/>
                <w:vertAlign w:val="subscript"/>
              </w:rPr>
              <w:t>6</w:t>
            </w:r>
          </w:p>
        </w:tc>
        <w:tc>
          <w:tcPr>
            <w:tcW w:w="1280" w:type="dxa"/>
            <w:noWrap/>
          </w:tcPr>
          <w:p>
            <w:pPr>
              <w:ind w:firstLine="420"/>
              <w:jc w:val="center"/>
              <w:rPr>
                <w:rFonts w:ascii="Times New Roman" w:cs="Times New Roman"/>
                <w:kern w:val="2"/>
                <w:sz w:val="21"/>
                <w:szCs w:val="21"/>
              </w:rPr>
            </w:pPr>
            <w:r>
              <w:rPr>
                <w:rFonts w:hint="eastAsia" w:ascii="Times New Roman" w:cs="Times New Roman"/>
                <w:kern w:val="2"/>
                <w:sz w:val="21"/>
                <w:szCs w:val="21"/>
              </w:rPr>
              <w:t>7.3</w:t>
            </w:r>
            <w:r>
              <w:rPr>
                <w:rFonts w:ascii="Times New Roman" w:cs="Times New Roman"/>
                <w:kern w:val="2"/>
                <w:sz w:val="21"/>
                <w:szCs w:val="21"/>
              </w:rPr>
              <w:t>7</w:t>
            </w:r>
          </w:p>
        </w:tc>
        <w:tc>
          <w:tcPr>
            <w:tcW w:w="2122" w:type="dxa"/>
            <w:noWrap/>
          </w:tcPr>
          <w:p>
            <w:pPr>
              <w:ind w:firstLine="420"/>
              <w:jc w:val="center"/>
              <w:rPr>
                <w:rFonts w:ascii="Times New Roman" w:cs="Times New Roman"/>
                <w:kern w:val="2"/>
                <w:sz w:val="21"/>
                <w:szCs w:val="21"/>
              </w:rPr>
            </w:pPr>
            <w:r>
              <w:rPr>
                <w:rFonts w:hint="eastAsia" w:ascii="Times New Roman" w:cs="Times New Roman"/>
                <w:kern w:val="2"/>
                <w:sz w:val="21"/>
                <w:szCs w:val="21"/>
              </w:rPr>
              <w:t>C8</w:t>
            </w:r>
          </w:p>
        </w:tc>
        <w:tc>
          <w:tcPr>
            <w:tcW w:w="1280" w:type="dxa"/>
            <w:tcBorders>
              <w:right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Borders>
              <w:left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w:t>
            </w:r>
            <w:r>
              <w:rPr>
                <w:rFonts w:hint="eastAsia" w:ascii="Times New Roman" w:cs="Times New Roman"/>
                <w:kern w:val="2"/>
                <w:sz w:val="21"/>
                <w:szCs w:val="21"/>
                <w:vertAlign w:val="subscript"/>
              </w:rPr>
              <w:t>3</w:t>
            </w:r>
            <w:r>
              <w:rPr>
                <w:rFonts w:hint="eastAsia" w:ascii="Times New Roman" w:cs="Times New Roman"/>
                <w:kern w:val="2"/>
                <w:sz w:val="21"/>
                <w:szCs w:val="21"/>
              </w:rPr>
              <w:t>H</w:t>
            </w:r>
            <w:r>
              <w:rPr>
                <w:rFonts w:hint="eastAsia" w:ascii="Times New Roman" w:cs="Times New Roman"/>
                <w:kern w:val="2"/>
                <w:sz w:val="21"/>
                <w:szCs w:val="21"/>
                <w:vertAlign w:val="subscript"/>
              </w:rPr>
              <w:t>8</w:t>
            </w:r>
          </w:p>
        </w:tc>
        <w:tc>
          <w:tcPr>
            <w:tcW w:w="1280" w:type="dxa"/>
            <w:noWrap/>
          </w:tcPr>
          <w:p>
            <w:pPr>
              <w:ind w:firstLine="420"/>
              <w:jc w:val="center"/>
              <w:rPr>
                <w:rFonts w:ascii="Times New Roman" w:cs="Times New Roman"/>
                <w:kern w:val="2"/>
                <w:sz w:val="21"/>
                <w:szCs w:val="21"/>
              </w:rPr>
            </w:pPr>
            <w:r>
              <w:rPr>
                <w:rFonts w:hint="eastAsia" w:ascii="Times New Roman" w:cs="Times New Roman"/>
                <w:kern w:val="2"/>
                <w:sz w:val="21"/>
                <w:szCs w:val="21"/>
              </w:rPr>
              <w:t>2.60</w:t>
            </w:r>
          </w:p>
        </w:tc>
        <w:tc>
          <w:tcPr>
            <w:tcW w:w="2122" w:type="dxa"/>
            <w:noWrap/>
          </w:tcPr>
          <w:p>
            <w:pPr>
              <w:ind w:firstLine="420"/>
              <w:jc w:val="center"/>
              <w:rPr>
                <w:rFonts w:ascii="Times New Roman" w:cs="Times New Roman"/>
                <w:kern w:val="2"/>
                <w:sz w:val="21"/>
                <w:szCs w:val="21"/>
              </w:rPr>
            </w:pPr>
            <w:r>
              <w:rPr>
                <w:rFonts w:hint="eastAsia" w:ascii="Times New Roman" w:cs="Times New Roman"/>
                <w:kern w:val="2"/>
                <w:sz w:val="21"/>
                <w:szCs w:val="21"/>
              </w:rPr>
              <w:t>C9</w:t>
            </w:r>
          </w:p>
        </w:tc>
        <w:tc>
          <w:tcPr>
            <w:tcW w:w="1280" w:type="dxa"/>
            <w:tcBorders>
              <w:right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Borders>
              <w:left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硫化氢</w:t>
            </w:r>
          </w:p>
        </w:tc>
        <w:tc>
          <w:tcPr>
            <w:tcW w:w="4682" w:type="dxa"/>
            <w:gridSpan w:val="3"/>
            <w:tcBorders>
              <w:right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Borders>
              <w:left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相对密度</w:t>
            </w:r>
          </w:p>
        </w:tc>
        <w:tc>
          <w:tcPr>
            <w:tcW w:w="1280" w:type="dxa"/>
            <w:noWrap/>
          </w:tcPr>
          <w:p>
            <w:pPr>
              <w:ind w:firstLine="420"/>
              <w:jc w:val="center"/>
              <w:rPr>
                <w:rFonts w:ascii="Times New Roman" w:cs="Times New Roman"/>
                <w:kern w:val="2"/>
                <w:sz w:val="21"/>
                <w:szCs w:val="21"/>
              </w:rPr>
            </w:pPr>
            <w:r>
              <w:rPr>
                <w:rFonts w:hint="eastAsia" w:ascii="Times New Roman" w:cs="Times New Roman"/>
                <w:kern w:val="2"/>
                <w:sz w:val="21"/>
                <w:szCs w:val="21"/>
              </w:rPr>
              <w:t>0.</w:t>
            </w:r>
            <w:r>
              <w:rPr>
                <w:rFonts w:ascii="Times New Roman" w:cs="Times New Roman"/>
                <w:kern w:val="2"/>
                <w:sz w:val="21"/>
                <w:szCs w:val="21"/>
              </w:rPr>
              <w:t>6815</w:t>
            </w:r>
          </w:p>
        </w:tc>
        <w:tc>
          <w:tcPr>
            <w:tcW w:w="2122" w:type="dxa"/>
            <w:noWrap/>
          </w:tcPr>
          <w:p>
            <w:pPr>
              <w:ind w:firstLine="420"/>
              <w:jc w:val="center"/>
              <w:rPr>
                <w:rFonts w:ascii="Times New Roman" w:cs="Times New Roman"/>
                <w:kern w:val="2"/>
                <w:sz w:val="21"/>
                <w:szCs w:val="21"/>
              </w:rPr>
            </w:pPr>
            <w:r>
              <w:rPr>
                <w:rFonts w:hint="eastAsia" w:ascii="Times New Roman" w:cs="Times New Roman"/>
                <w:kern w:val="2"/>
                <w:sz w:val="21"/>
                <w:szCs w:val="21"/>
              </w:rPr>
              <w:t>真实</w:t>
            </w:r>
            <w:r>
              <w:rPr>
                <w:rFonts w:ascii="Times New Roman" w:cs="Times New Roman"/>
                <w:kern w:val="2"/>
                <w:sz w:val="21"/>
                <w:szCs w:val="21"/>
              </w:rPr>
              <w:t>密（</w:t>
            </w:r>
            <w:r>
              <w:rPr>
                <w:rFonts w:hint="eastAsia" w:ascii="Times New Roman" w:cs="Times New Roman"/>
                <w:kern w:val="2"/>
                <w:sz w:val="21"/>
                <w:szCs w:val="21"/>
              </w:rPr>
              <w:t>kg</w:t>
            </w:r>
            <w:r>
              <w:rPr>
                <w:rFonts w:ascii="Times New Roman" w:cs="Times New Roman"/>
                <w:kern w:val="2"/>
                <w:sz w:val="21"/>
                <w:szCs w:val="21"/>
              </w:rPr>
              <w:t>/m</w:t>
            </w:r>
            <w:r>
              <w:rPr>
                <w:rFonts w:ascii="Times New Roman" w:cs="Times New Roman"/>
                <w:kern w:val="2"/>
                <w:sz w:val="21"/>
                <w:szCs w:val="21"/>
                <w:vertAlign w:val="superscript"/>
              </w:rPr>
              <w:t>3</w:t>
            </w:r>
            <w:r>
              <w:rPr>
                <w:rFonts w:ascii="Times New Roman" w:cs="Times New Roman"/>
                <w:kern w:val="2"/>
                <w:sz w:val="21"/>
                <w:szCs w:val="21"/>
              </w:rPr>
              <w:t>）</w:t>
            </w:r>
          </w:p>
        </w:tc>
        <w:tc>
          <w:tcPr>
            <w:tcW w:w="1280" w:type="dxa"/>
            <w:tcBorders>
              <w:right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0.8</w:t>
            </w:r>
            <w:r>
              <w:rPr>
                <w:rFonts w:ascii="Times New Roman" w:cs="Times New Roman"/>
                <w:kern w:val="2"/>
                <w:sz w:val="21"/>
                <w:szCs w:val="21"/>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tcBorders>
              <w:left w:val="nil"/>
              <w:bottom w:val="single" w:color="auto" w:sz="12" w:space="0"/>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高位</w:t>
            </w:r>
            <w:r>
              <w:rPr>
                <w:rFonts w:ascii="Times New Roman" w:cs="Times New Roman"/>
                <w:kern w:val="2"/>
                <w:sz w:val="21"/>
                <w:szCs w:val="21"/>
              </w:rPr>
              <w:t>发热（</w:t>
            </w:r>
            <w:r>
              <w:rPr>
                <w:rFonts w:hint="eastAsia" w:ascii="Times New Roman" w:cs="Times New Roman"/>
                <w:kern w:val="2"/>
                <w:sz w:val="21"/>
                <w:szCs w:val="21"/>
              </w:rPr>
              <w:t>MJ/</w:t>
            </w:r>
            <w:r>
              <w:rPr>
                <w:rFonts w:ascii="Times New Roman" w:cs="Times New Roman"/>
                <w:kern w:val="2"/>
                <w:sz w:val="21"/>
                <w:szCs w:val="21"/>
              </w:rPr>
              <w:t>m</w:t>
            </w:r>
            <w:r>
              <w:rPr>
                <w:rFonts w:ascii="Times New Roman" w:cs="Times New Roman"/>
                <w:kern w:val="2"/>
                <w:sz w:val="21"/>
                <w:szCs w:val="21"/>
                <w:vertAlign w:val="superscript"/>
              </w:rPr>
              <w:t>3</w:t>
            </w:r>
            <w:r>
              <w:rPr>
                <w:rFonts w:ascii="Times New Roman" w:cs="Times New Roman"/>
                <w:kern w:val="2"/>
                <w:sz w:val="21"/>
                <w:szCs w:val="21"/>
              </w:rPr>
              <w:t>）</w:t>
            </w:r>
          </w:p>
        </w:tc>
        <w:tc>
          <w:tcPr>
            <w:tcW w:w="1280" w:type="dxa"/>
            <w:tcBorders>
              <w:bottom w:val="single" w:color="auto" w:sz="12" w:space="0"/>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43.64</w:t>
            </w:r>
          </w:p>
        </w:tc>
        <w:tc>
          <w:tcPr>
            <w:tcW w:w="2122" w:type="dxa"/>
            <w:tcBorders>
              <w:bottom w:val="single" w:color="auto" w:sz="12" w:space="0"/>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沃泊</w:t>
            </w:r>
            <w:r>
              <w:rPr>
                <w:rFonts w:ascii="Times New Roman" w:cs="Times New Roman"/>
                <w:kern w:val="2"/>
                <w:sz w:val="21"/>
                <w:szCs w:val="21"/>
              </w:rPr>
              <w:t>指数（</w:t>
            </w:r>
            <w:r>
              <w:rPr>
                <w:rFonts w:hint="eastAsia" w:ascii="Times New Roman" w:cs="Times New Roman"/>
                <w:kern w:val="2"/>
                <w:sz w:val="21"/>
                <w:szCs w:val="21"/>
              </w:rPr>
              <w:t>MJ/</w:t>
            </w:r>
            <w:r>
              <w:rPr>
                <w:rFonts w:ascii="Times New Roman" w:cs="Times New Roman"/>
                <w:kern w:val="2"/>
                <w:sz w:val="21"/>
                <w:szCs w:val="21"/>
              </w:rPr>
              <w:t>m</w:t>
            </w:r>
            <w:r>
              <w:rPr>
                <w:rFonts w:ascii="Times New Roman" w:cs="Times New Roman"/>
                <w:kern w:val="2"/>
                <w:sz w:val="21"/>
                <w:szCs w:val="21"/>
                <w:vertAlign w:val="superscript"/>
              </w:rPr>
              <w:t>3</w:t>
            </w:r>
            <w:r>
              <w:rPr>
                <w:rFonts w:ascii="Times New Roman" w:cs="Times New Roman"/>
                <w:kern w:val="2"/>
                <w:sz w:val="21"/>
                <w:szCs w:val="21"/>
              </w:rPr>
              <w:t>）</w:t>
            </w:r>
          </w:p>
        </w:tc>
        <w:tc>
          <w:tcPr>
            <w:tcW w:w="1280" w:type="dxa"/>
            <w:tcBorders>
              <w:bottom w:val="single" w:color="auto" w:sz="12" w:space="0"/>
              <w:right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52.86</w:t>
            </w:r>
          </w:p>
        </w:tc>
      </w:tr>
    </w:tbl>
    <w:p>
      <w:pPr>
        <w:ind w:firstLine="480"/>
        <w:rPr>
          <w:rFonts w:ascii="Times New Roman" w:cs="Times New Roman"/>
        </w:rPr>
      </w:pPr>
      <w:r>
        <w:rPr>
          <w:rFonts w:ascii="Times New Roman" w:cs="Times New Roman"/>
        </w:rPr>
        <w:t>凝析油组分参考普陆3井的凝析油组分，普陆3集气站凝析油组分见表</w:t>
      </w:r>
      <w:r>
        <w:rPr>
          <w:rFonts w:hint="eastAsia" w:ascii="Times New Roman" w:cs="Times New Roman"/>
        </w:rPr>
        <w:t>3</w:t>
      </w:r>
      <w:r>
        <w:rPr>
          <w:rFonts w:ascii="Times New Roman" w:cs="Times New Roman"/>
        </w:rPr>
        <w:t>.3-</w:t>
      </w:r>
      <w:r>
        <w:rPr>
          <w:rFonts w:hint="eastAsia" w:ascii="Times New Roman" w:cs="Times New Roman"/>
        </w:rPr>
        <w:t>2</w:t>
      </w:r>
      <w:r>
        <w:rPr>
          <w:rFonts w:ascii="Times New Roman" w:cs="Times New Roman"/>
        </w:rPr>
        <w:t>。</w:t>
      </w:r>
    </w:p>
    <w:p>
      <w:pPr>
        <w:spacing w:line="400" w:lineRule="exact"/>
        <w:ind w:firstLine="422"/>
        <w:jc w:val="center"/>
        <w:rPr>
          <w:rFonts w:ascii="Times New Roman" w:cs="Times New Roman"/>
          <w:b/>
          <w:sz w:val="21"/>
        </w:rPr>
      </w:pPr>
      <w:r>
        <w:rPr>
          <w:rFonts w:hint="eastAsia" w:ascii="Times New Roman" w:cs="Times New Roman"/>
          <w:b/>
          <w:sz w:val="21"/>
        </w:rPr>
        <w:t>表3.</w:t>
      </w:r>
      <w:r>
        <w:rPr>
          <w:rFonts w:ascii="Times New Roman" w:cs="Times New Roman"/>
          <w:b/>
          <w:sz w:val="21"/>
        </w:rPr>
        <w:t>3-</w:t>
      </w:r>
      <w:r>
        <w:rPr>
          <w:rFonts w:hint="eastAsia" w:ascii="Times New Roman" w:cs="Times New Roman"/>
          <w:b/>
          <w:sz w:val="21"/>
        </w:rPr>
        <w:t>2</w:t>
      </w:r>
      <w:r>
        <w:rPr>
          <w:rFonts w:ascii="Times New Roman" w:cs="Times New Roman"/>
          <w:b/>
          <w:sz w:val="21"/>
        </w:rPr>
        <w:t xml:space="preserve"> </w:t>
      </w:r>
      <w:r>
        <w:rPr>
          <w:rFonts w:hint="eastAsia" w:ascii="Times New Roman" w:cs="Times New Roman"/>
          <w:b/>
          <w:sz w:val="21"/>
        </w:rPr>
        <w:t>凝析油</w:t>
      </w:r>
      <w:r>
        <w:rPr>
          <w:rFonts w:ascii="Times New Roman" w:cs="Times New Roman"/>
          <w:b/>
          <w:sz w:val="21"/>
        </w:rPr>
        <w:t>组分表</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2131"/>
        <w:gridCol w:w="2132"/>
        <w:gridCol w:w="21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组分</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质量含量</w:t>
            </w:r>
            <w:r>
              <w:rPr>
                <w:rFonts w:ascii="Times New Roman" w:cs="Times New Roman"/>
                <w:kern w:val="2"/>
                <w:sz w:val="21"/>
                <w:szCs w:val="21"/>
              </w:rPr>
              <w:t>%</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组分</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质量含量</w:t>
            </w:r>
            <w:r>
              <w:rPr>
                <w:rFonts w:ascii="Times New Roman" w:cs="Times New Roman"/>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C1</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0.000</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C19</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2.762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C2</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0.014</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C20</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2.</w:t>
            </w:r>
            <w:r>
              <w:rPr>
                <w:rFonts w:ascii="Times New Roman" w:cs="Times New Roman"/>
                <w:kern w:val="2"/>
                <w:sz w:val="21"/>
                <w:szCs w:val="21"/>
              </w:rPr>
              <w:t>213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C3</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0.141</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C21</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1.868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C4</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1.134</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C22</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1.459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C5</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2.166</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C23</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1.349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C6</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2.961</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C24</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1.218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C7</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5.455</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C25</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0.907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C8</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10.839</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C26</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0.713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C9</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7.847</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C27</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0.635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C10</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7.139</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C28</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0.443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C11</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7.65</w:t>
            </w:r>
            <w:r>
              <w:rPr>
                <w:rFonts w:ascii="Times New Roman" w:cs="Times New Roman"/>
                <w:kern w:val="2"/>
                <w:sz w:val="21"/>
                <w:szCs w:val="21"/>
              </w:rPr>
              <w:t>4</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C29</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0.270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C12</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7.722</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C30+</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0.356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C13</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7.375</w:t>
            </w:r>
          </w:p>
        </w:tc>
        <w:tc>
          <w:tcPr>
            <w:tcW w:w="1701" w:type="dxa"/>
            <w:tcBorders>
              <w:tl2br w:val="nil"/>
              <w:tr2bl w:val="nil"/>
            </w:tcBorders>
            <w:noWrap/>
          </w:tcPr>
          <w:p>
            <w:pPr>
              <w:ind w:firstLine="420"/>
              <w:jc w:val="center"/>
              <w:rPr>
                <w:rFonts w:ascii="Times New Roman" w:cs="Times New Roman"/>
                <w:kern w:val="2"/>
                <w:sz w:val="21"/>
                <w:szCs w:val="21"/>
              </w:rPr>
            </w:pPr>
          </w:p>
        </w:tc>
        <w:tc>
          <w:tcPr>
            <w:tcW w:w="1701" w:type="dxa"/>
            <w:tcBorders>
              <w:tl2br w:val="nil"/>
              <w:tr2bl w:val="nil"/>
            </w:tcBorders>
            <w:noWrap/>
          </w:tcPr>
          <w:p>
            <w:pPr>
              <w:ind w:firstLine="42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C14</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7.136</w:t>
            </w:r>
          </w:p>
        </w:tc>
        <w:tc>
          <w:tcPr>
            <w:tcW w:w="1701" w:type="dxa"/>
            <w:tcBorders>
              <w:tl2br w:val="nil"/>
              <w:tr2bl w:val="nil"/>
            </w:tcBorders>
            <w:noWrap/>
          </w:tcPr>
          <w:p>
            <w:pPr>
              <w:ind w:firstLine="420"/>
              <w:jc w:val="center"/>
              <w:rPr>
                <w:rFonts w:ascii="Times New Roman" w:cs="Times New Roman"/>
                <w:kern w:val="2"/>
                <w:sz w:val="21"/>
                <w:szCs w:val="21"/>
              </w:rPr>
            </w:pPr>
          </w:p>
        </w:tc>
        <w:tc>
          <w:tcPr>
            <w:tcW w:w="1701" w:type="dxa"/>
            <w:tcBorders>
              <w:tl2br w:val="nil"/>
              <w:tr2bl w:val="nil"/>
            </w:tcBorders>
            <w:noWrap/>
          </w:tcPr>
          <w:p>
            <w:pPr>
              <w:ind w:firstLine="42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C15</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5.894</w:t>
            </w:r>
          </w:p>
        </w:tc>
        <w:tc>
          <w:tcPr>
            <w:tcW w:w="1701" w:type="dxa"/>
            <w:tcBorders>
              <w:tl2br w:val="nil"/>
              <w:tr2bl w:val="nil"/>
            </w:tcBorders>
            <w:noWrap/>
          </w:tcPr>
          <w:p>
            <w:pPr>
              <w:ind w:firstLine="420"/>
              <w:jc w:val="center"/>
              <w:rPr>
                <w:rFonts w:ascii="Times New Roman" w:cs="Times New Roman"/>
                <w:kern w:val="2"/>
                <w:sz w:val="21"/>
                <w:szCs w:val="21"/>
              </w:rPr>
            </w:pPr>
          </w:p>
        </w:tc>
        <w:tc>
          <w:tcPr>
            <w:tcW w:w="1701" w:type="dxa"/>
            <w:tcBorders>
              <w:tl2br w:val="nil"/>
              <w:tr2bl w:val="nil"/>
            </w:tcBorders>
            <w:noWrap/>
          </w:tcPr>
          <w:p>
            <w:pPr>
              <w:ind w:firstLine="42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C16</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4.706</w:t>
            </w:r>
          </w:p>
        </w:tc>
        <w:tc>
          <w:tcPr>
            <w:tcW w:w="1701" w:type="dxa"/>
            <w:tcBorders>
              <w:tl2br w:val="nil"/>
              <w:tr2bl w:val="nil"/>
            </w:tcBorders>
            <w:noWrap/>
          </w:tcPr>
          <w:p>
            <w:pPr>
              <w:ind w:firstLine="420"/>
              <w:jc w:val="center"/>
              <w:rPr>
                <w:rFonts w:ascii="Times New Roman" w:cs="Times New Roman"/>
                <w:kern w:val="2"/>
                <w:sz w:val="21"/>
                <w:szCs w:val="21"/>
              </w:rPr>
            </w:pPr>
          </w:p>
        </w:tc>
        <w:tc>
          <w:tcPr>
            <w:tcW w:w="1701" w:type="dxa"/>
            <w:tcBorders>
              <w:tl2br w:val="nil"/>
              <w:tr2bl w:val="nil"/>
            </w:tcBorders>
            <w:noWrap/>
          </w:tcPr>
          <w:p>
            <w:pPr>
              <w:ind w:firstLine="42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C17</w:t>
            </w:r>
          </w:p>
        </w:tc>
        <w:tc>
          <w:tcPr>
            <w:tcW w:w="1701" w:type="dxa"/>
            <w:tcBorders>
              <w:tl2br w:val="nil"/>
              <w:tr2bl w:val="nil"/>
            </w:tcBorders>
            <w:noWrap/>
          </w:tcPr>
          <w:p>
            <w:pPr>
              <w:ind w:firstLine="420"/>
              <w:jc w:val="center"/>
              <w:rPr>
                <w:rFonts w:ascii="Times New Roman" w:cs="Times New Roman"/>
                <w:kern w:val="2"/>
                <w:sz w:val="21"/>
                <w:szCs w:val="21"/>
              </w:rPr>
            </w:pPr>
            <w:r>
              <w:rPr>
                <w:rFonts w:hint="eastAsia" w:ascii="Times New Roman" w:cs="Times New Roman"/>
                <w:kern w:val="2"/>
                <w:sz w:val="21"/>
                <w:szCs w:val="21"/>
              </w:rPr>
              <w:t>4.386</w:t>
            </w:r>
          </w:p>
        </w:tc>
        <w:tc>
          <w:tcPr>
            <w:tcW w:w="1701" w:type="dxa"/>
            <w:tcBorders>
              <w:tl2br w:val="nil"/>
              <w:tr2bl w:val="nil"/>
            </w:tcBorders>
            <w:noWrap/>
          </w:tcPr>
          <w:p>
            <w:pPr>
              <w:ind w:firstLine="420"/>
              <w:jc w:val="center"/>
              <w:rPr>
                <w:rFonts w:ascii="Times New Roman" w:cs="Times New Roman"/>
                <w:kern w:val="2"/>
                <w:sz w:val="21"/>
                <w:szCs w:val="21"/>
              </w:rPr>
            </w:pPr>
          </w:p>
        </w:tc>
        <w:tc>
          <w:tcPr>
            <w:tcW w:w="1701" w:type="dxa"/>
            <w:tcBorders>
              <w:tl2br w:val="nil"/>
              <w:tr2bl w:val="nil"/>
            </w:tcBorders>
            <w:noWrap/>
          </w:tcPr>
          <w:p>
            <w:pPr>
              <w:ind w:firstLine="420"/>
              <w:jc w:val="center"/>
              <w:rPr>
                <w:rFonts w:ascii="Times New Roman" w:cs="Times New Roman"/>
                <w:kern w:val="2"/>
                <w:sz w:val="21"/>
                <w:szCs w:val="21"/>
              </w:rPr>
            </w:pPr>
          </w:p>
        </w:tc>
      </w:tr>
    </w:tbl>
    <w:p>
      <w:pPr>
        <w:ind w:firstLine="480"/>
        <w:rPr>
          <w:rFonts w:ascii="Times New Roman" w:cs="Times New Roman"/>
        </w:rPr>
      </w:pPr>
      <w:r>
        <w:rPr>
          <w:rFonts w:hint="eastAsia" w:ascii="Times New Roman" w:cs="Times New Roman"/>
        </w:rPr>
        <w:t>采出水质参考普陆3井的采出水水质，普陆3井产出水水质指标见表3.3-3</w:t>
      </w:r>
      <w:r>
        <w:rPr>
          <w:rFonts w:ascii="Times New Roman" w:cs="Times New Roman"/>
        </w:rPr>
        <w:t>。</w:t>
      </w:r>
    </w:p>
    <w:p>
      <w:pPr>
        <w:spacing w:line="400" w:lineRule="exact"/>
        <w:ind w:firstLine="422"/>
        <w:jc w:val="center"/>
        <w:rPr>
          <w:rFonts w:ascii="Times New Roman" w:cs="Times New Roman"/>
          <w:b/>
          <w:sz w:val="21"/>
        </w:rPr>
      </w:pPr>
      <w:r>
        <w:rPr>
          <w:rFonts w:hint="eastAsia" w:ascii="Times New Roman" w:cs="Times New Roman"/>
          <w:b/>
          <w:sz w:val="21"/>
        </w:rPr>
        <w:t>表3.3-3 普陆3井产出水水质指标分析统计表</w:t>
      </w:r>
    </w:p>
    <w:tbl>
      <w:tblPr>
        <w:tblStyle w:val="57"/>
        <w:tblW w:w="8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988"/>
        <w:gridCol w:w="1418"/>
        <w:gridCol w:w="1559"/>
        <w:gridCol w:w="2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493" w:type="dxa"/>
            <w:gridSpan w:val="2"/>
            <w:noWrap/>
            <w:vAlign w:val="center"/>
          </w:tcPr>
          <w:p>
            <w:pPr>
              <w:ind w:firstLine="420"/>
              <w:jc w:val="center"/>
              <w:rPr>
                <w:rFonts w:ascii="Times New Roman" w:cs="Times New Roman"/>
                <w:kern w:val="2"/>
                <w:sz w:val="21"/>
                <w:szCs w:val="21"/>
              </w:rPr>
            </w:pPr>
            <w:r>
              <w:rPr>
                <w:rFonts w:ascii="Times New Roman" w:cs="Times New Roman"/>
                <w:kern w:val="2"/>
                <w:sz w:val="21"/>
                <w:szCs w:val="21"/>
              </w:rPr>
              <w:t>物 理 分 析</w:t>
            </w:r>
          </w:p>
        </w:tc>
        <w:tc>
          <w:tcPr>
            <w:tcW w:w="5609" w:type="dxa"/>
            <w:gridSpan w:val="3"/>
            <w:noWrap/>
            <w:vAlign w:val="center"/>
          </w:tcPr>
          <w:p>
            <w:pPr>
              <w:ind w:firstLine="420"/>
              <w:jc w:val="center"/>
              <w:rPr>
                <w:rFonts w:ascii="Times New Roman" w:cs="Times New Roman"/>
                <w:kern w:val="2"/>
                <w:sz w:val="21"/>
                <w:szCs w:val="21"/>
              </w:rPr>
            </w:pPr>
            <w:r>
              <w:rPr>
                <w:rFonts w:ascii="Times New Roman" w:cs="Times New Roman"/>
                <w:kern w:val="2"/>
                <w:sz w:val="21"/>
                <w:szCs w:val="21"/>
              </w:rPr>
              <w:t>密度：1.</w:t>
            </w:r>
            <w:r>
              <w:rPr>
                <w:rFonts w:hint="eastAsia" w:ascii="Times New Roman" w:cs="Times New Roman"/>
                <w:kern w:val="2"/>
                <w:sz w:val="21"/>
                <w:szCs w:val="21"/>
              </w:rPr>
              <w:t>010</w:t>
            </w:r>
            <w:r>
              <w:rPr>
                <w:rFonts w:ascii="Times New Roman" w:cs="Times New Roman"/>
                <w:kern w:val="2"/>
                <w:sz w:val="21"/>
                <w:szCs w:val="21"/>
              </w:rPr>
              <w:t>g/cm</w:t>
            </w:r>
            <w:r>
              <w:rPr>
                <w:rFonts w:ascii="Times New Roman" w:cs="Times New Roman"/>
                <w:kern w:val="2"/>
                <w:sz w:val="21"/>
                <w:szCs w:val="21"/>
                <w:vertAlign w:val="superscript"/>
              </w:rPr>
              <w:t>3</w:t>
            </w:r>
            <w:r>
              <w:rPr>
                <w:rFonts w:ascii="Times New Roman" w:cs="Times New Roman"/>
                <w:kern w:val="2"/>
                <w:sz w:val="21"/>
                <w:szCs w:val="21"/>
              </w:rPr>
              <w:t xml:space="preserve">          粘度：4 mPa</w:t>
            </w:r>
            <w:r>
              <w:rPr>
                <w:rFonts w:hint="eastAsia" w:ascii="MS Gothic" w:hAnsi="MS Gothic" w:eastAsia="MS Gothic" w:cs="MS Gothic"/>
                <w:kern w:val="2"/>
                <w:sz w:val="21"/>
                <w:szCs w:val="21"/>
              </w:rPr>
              <w:t>∙</w:t>
            </w:r>
            <w:r>
              <w:rPr>
                <w:rFonts w:ascii="Times New Roman" w:cs="Times New Roman"/>
                <w:kern w:val="2"/>
                <w:sz w:val="21"/>
                <w:szCs w:val="21"/>
              </w:rPr>
              <w:t>s   pH值</w:t>
            </w:r>
            <w:r>
              <w:rPr>
                <w:rFonts w:hint="eastAsia" w:ascii="Times New Roman" w:cs="Times New Roman"/>
                <w:kern w:val="2"/>
                <w:sz w:val="21"/>
                <w:szCs w:val="21"/>
              </w:rPr>
              <w:t>：10.22</w:t>
            </w:r>
          </w:p>
          <w:p>
            <w:pPr>
              <w:ind w:firstLine="420"/>
              <w:jc w:val="center"/>
              <w:rPr>
                <w:rFonts w:ascii="Times New Roman" w:cs="Times New Roman"/>
                <w:kern w:val="2"/>
                <w:sz w:val="21"/>
                <w:szCs w:val="21"/>
              </w:rPr>
            </w:pPr>
            <w:r>
              <w:rPr>
                <w:rFonts w:hint="eastAsia" w:ascii="Times New Roman" w:cs="Times New Roman"/>
                <w:kern w:val="2"/>
                <w:sz w:val="21"/>
                <w:szCs w:val="21"/>
              </w:rPr>
              <w:t>含油：16mg</w:t>
            </w:r>
            <w:r>
              <w:rPr>
                <w:rFonts w:ascii="Times New Roman" w:cs="Times New Roman"/>
                <w:kern w:val="2"/>
                <w:sz w:val="21"/>
                <w:szCs w:val="21"/>
              </w:rPr>
              <w:t>/L              CODCr=6360mg/L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493" w:type="dxa"/>
            <w:gridSpan w:val="2"/>
            <w:noWrap/>
            <w:vAlign w:val="center"/>
          </w:tcPr>
          <w:p>
            <w:pPr>
              <w:ind w:firstLine="420"/>
              <w:jc w:val="center"/>
              <w:rPr>
                <w:rFonts w:ascii="Times New Roman" w:cs="Times New Roman"/>
                <w:kern w:val="2"/>
                <w:sz w:val="21"/>
                <w:szCs w:val="21"/>
              </w:rPr>
            </w:pPr>
            <w:r>
              <w:rPr>
                <w:rFonts w:ascii="Times New Roman" w:cs="Times New Roman"/>
                <w:kern w:val="2"/>
                <w:sz w:val="21"/>
                <w:szCs w:val="21"/>
              </w:rPr>
              <w:t>化  学 分 析</w:t>
            </w:r>
          </w:p>
        </w:tc>
        <w:tc>
          <w:tcPr>
            <w:tcW w:w="1418" w:type="dxa"/>
            <w:noWrap/>
            <w:vAlign w:val="center"/>
          </w:tcPr>
          <w:p>
            <w:pPr>
              <w:ind w:firstLine="420"/>
              <w:jc w:val="center"/>
              <w:rPr>
                <w:rFonts w:ascii="Times New Roman" w:cs="Times New Roman"/>
                <w:kern w:val="2"/>
                <w:sz w:val="21"/>
                <w:szCs w:val="21"/>
              </w:rPr>
            </w:pPr>
            <w:r>
              <w:rPr>
                <w:rFonts w:ascii="Times New Roman" w:cs="Times New Roman"/>
                <w:kern w:val="2"/>
                <w:sz w:val="21"/>
                <w:szCs w:val="21"/>
              </w:rPr>
              <w:t>mg/L</w:t>
            </w:r>
          </w:p>
        </w:tc>
        <w:tc>
          <w:tcPr>
            <w:tcW w:w="1559" w:type="dxa"/>
            <w:noWrap/>
            <w:vAlign w:val="center"/>
          </w:tcPr>
          <w:p>
            <w:pPr>
              <w:ind w:firstLine="420"/>
              <w:jc w:val="center"/>
              <w:rPr>
                <w:rFonts w:ascii="Times New Roman" w:cs="Times New Roman"/>
                <w:kern w:val="2"/>
                <w:sz w:val="21"/>
                <w:szCs w:val="21"/>
              </w:rPr>
            </w:pPr>
            <w:r>
              <w:rPr>
                <w:rFonts w:ascii="Times New Roman" w:cs="Times New Roman"/>
                <w:kern w:val="2"/>
                <w:sz w:val="21"/>
                <w:szCs w:val="21"/>
              </w:rPr>
              <w:t>mmol/L</w:t>
            </w:r>
          </w:p>
        </w:tc>
        <w:tc>
          <w:tcPr>
            <w:tcW w:w="2632" w:type="dxa"/>
            <w:noWrap/>
            <w:vAlign w:val="center"/>
          </w:tcPr>
          <w:p>
            <w:pPr>
              <w:ind w:firstLine="420"/>
              <w:jc w:val="center"/>
              <w:rPr>
                <w:rFonts w:ascii="Times New Roman" w:cs="Times New Roman"/>
                <w:kern w:val="2"/>
                <w:sz w:val="21"/>
                <w:szCs w:val="21"/>
              </w:rPr>
            </w:pPr>
            <w:r>
              <w:rPr>
                <w:rFonts w:ascii="Times New Roman" w:cs="Times New Roman"/>
                <w:kern w:val="2"/>
                <w:sz w:val="21"/>
                <w:szCs w:val="21"/>
              </w:rPr>
              <w:t>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05" w:type="dxa"/>
            <w:vMerge w:val="restart"/>
            <w:shd w:val="clear" w:color="auto" w:fill="auto"/>
            <w:noWrap/>
            <w:vAlign w:val="center"/>
          </w:tcPr>
          <w:p>
            <w:pPr>
              <w:ind w:firstLine="420"/>
              <w:jc w:val="center"/>
              <w:rPr>
                <w:rFonts w:ascii="Times New Roman" w:cs="Times New Roman"/>
                <w:kern w:val="2"/>
                <w:sz w:val="21"/>
                <w:szCs w:val="21"/>
              </w:rPr>
            </w:pPr>
            <w:r>
              <w:rPr>
                <w:rFonts w:ascii="Times New Roman" w:cs="Times New Roman"/>
                <w:kern w:val="2"/>
                <w:sz w:val="21"/>
                <w:szCs w:val="21"/>
              </w:rPr>
              <w:t>阳</w:t>
            </w:r>
            <w:r>
              <w:rPr>
                <w:rFonts w:ascii="Times New Roman" w:cs="Times New Roman"/>
                <w:kern w:val="2"/>
                <w:sz w:val="21"/>
                <w:szCs w:val="21"/>
              </w:rPr>
              <w:br w:type="textWrapping"/>
            </w:r>
            <w:r>
              <w:rPr>
                <w:rFonts w:ascii="Times New Roman" w:cs="Times New Roman"/>
                <w:kern w:val="2"/>
                <w:sz w:val="21"/>
                <w:szCs w:val="21"/>
              </w:rPr>
              <w:t>离</w:t>
            </w:r>
            <w:r>
              <w:rPr>
                <w:rFonts w:ascii="Times New Roman" w:cs="Times New Roman"/>
                <w:kern w:val="2"/>
                <w:sz w:val="21"/>
                <w:szCs w:val="21"/>
              </w:rPr>
              <w:br w:type="textWrapping"/>
            </w:r>
            <w:r>
              <w:rPr>
                <w:rFonts w:ascii="Times New Roman" w:cs="Times New Roman"/>
                <w:kern w:val="2"/>
                <w:sz w:val="21"/>
                <w:szCs w:val="21"/>
              </w:rPr>
              <w:t>子</w:t>
            </w:r>
          </w:p>
        </w:tc>
        <w:tc>
          <w:tcPr>
            <w:tcW w:w="1988" w:type="dxa"/>
            <w:shd w:val="clear" w:color="000000" w:fill="FFFFFF"/>
            <w:noWrap/>
            <w:vAlign w:val="center"/>
          </w:tcPr>
          <w:p>
            <w:pPr>
              <w:ind w:firstLine="420"/>
              <w:jc w:val="center"/>
              <w:rPr>
                <w:rFonts w:ascii="Times New Roman" w:cs="Times New Roman"/>
                <w:kern w:val="2"/>
                <w:sz w:val="21"/>
                <w:szCs w:val="21"/>
              </w:rPr>
            </w:pPr>
            <w:r>
              <w:rPr>
                <w:rFonts w:ascii="Times New Roman" w:cs="Times New Roman"/>
                <w:kern w:val="2"/>
                <w:sz w:val="21"/>
                <w:szCs w:val="21"/>
              </w:rPr>
              <w:t>K</w:t>
            </w:r>
            <w:r>
              <w:rPr>
                <w:rFonts w:ascii="Times New Roman" w:cs="Times New Roman"/>
                <w:kern w:val="2"/>
                <w:sz w:val="21"/>
                <w:szCs w:val="21"/>
                <w:vertAlign w:val="superscript"/>
              </w:rPr>
              <w:t>+</w:t>
            </w:r>
            <w:r>
              <w:rPr>
                <w:rFonts w:ascii="Times New Roman" w:cs="Times New Roman"/>
                <w:kern w:val="2"/>
                <w:sz w:val="21"/>
                <w:szCs w:val="21"/>
              </w:rPr>
              <w:t>+Na</w:t>
            </w:r>
            <w:r>
              <w:rPr>
                <w:rFonts w:ascii="Times New Roman" w:cs="Times New Roman"/>
                <w:kern w:val="2"/>
                <w:sz w:val="21"/>
                <w:szCs w:val="21"/>
                <w:vertAlign w:val="superscript"/>
              </w:rPr>
              <w:t>+</w:t>
            </w:r>
          </w:p>
        </w:tc>
        <w:tc>
          <w:tcPr>
            <w:tcW w:w="1418"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5437</w:t>
            </w:r>
          </w:p>
        </w:tc>
        <w:tc>
          <w:tcPr>
            <w:tcW w:w="1559"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236.48</w:t>
            </w:r>
          </w:p>
        </w:tc>
        <w:tc>
          <w:tcPr>
            <w:tcW w:w="2632"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77.07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05" w:type="dxa"/>
            <w:vMerge w:val="continue"/>
            <w:shd w:val="clear" w:color="auto" w:fill="auto"/>
            <w:noWrap/>
            <w:vAlign w:val="center"/>
          </w:tcPr>
          <w:p>
            <w:pPr>
              <w:ind w:firstLine="420"/>
              <w:jc w:val="center"/>
              <w:rPr>
                <w:rFonts w:ascii="Times New Roman" w:cs="Times New Roman"/>
                <w:kern w:val="2"/>
                <w:sz w:val="21"/>
                <w:szCs w:val="21"/>
              </w:rPr>
            </w:pPr>
          </w:p>
        </w:tc>
        <w:tc>
          <w:tcPr>
            <w:tcW w:w="1988" w:type="dxa"/>
            <w:shd w:val="clear" w:color="000000" w:fill="FFFFFF"/>
            <w:noWrap/>
            <w:vAlign w:val="center"/>
          </w:tcPr>
          <w:p>
            <w:pPr>
              <w:ind w:firstLine="420"/>
              <w:jc w:val="center"/>
              <w:rPr>
                <w:rFonts w:ascii="Times New Roman" w:cs="Times New Roman"/>
                <w:kern w:val="2"/>
                <w:sz w:val="21"/>
                <w:szCs w:val="21"/>
              </w:rPr>
            </w:pPr>
            <w:r>
              <w:rPr>
                <w:rFonts w:ascii="Times New Roman" w:cs="Times New Roman"/>
                <w:kern w:val="2"/>
                <w:sz w:val="21"/>
                <w:szCs w:val="21"/>
              </w:rPr>
              <w:t>Ca</w:t>
            </w:r>
            <w:r>
              <w:rPr>
                <w:rFonts w:ascii="Times New Roman" w:cs="Times New Roman"/>
                <w:kern w:val="2"/>
                <w:sz w:val="21"/>
                <w:szCs w:val="21"/>
                <w:vertAlign w:val="superscript"/>
              </w:rPr>
              <w:t>2+</w:t>
            </w:r>
          </w:p>
        </w:tc>
        <w:tc>
          <w:tcPr>
            <w:tcW w:w="1418"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1365</w:t>
            </w:r>
          </w:p>
        </w:tc>
        <w:tc>
          <w:tcPr>
            <w:tcW w:w="1559"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34.05</w:t>
            </w:r>
          </w:p>
        </w:tc>
        <w:tc>
          <w:tcPr>
            <w:tcW w:w="2632"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05" w:type="dxa"/>
            <w:vMerge w:val="continue"/>
            <w:shd w:val="clear" w:color="auto" w:fill="auto"/>
            <w:noWrap/>
            <w:vAlign w:val="center"/>
          </w:tcPr>
          <w:p>
            <w:pPr>
              <w:ind w:firstLine="420"/>
              <w:jc w:val="center"/>
              <w:rPr>
                <w:rFonts w:ascii="Times New Roman" w:cs="Times New Roman"/>
                <w:kern w:val="2"/>
                <w:sz w:val="21"/>
                <w:szCs w:val="21"/>
              </w:rPr>
            </w:pPr>
          </w:p>
        </w:tc>
        <w:tc>
          <w:tcPr>
            <w:tcW w:w="1988" w:type="dxa"/>
            <w:shd w:val="clear" w:color="000000" w:fill="FFFFFF"/>
            <w:noWrap/>
            <w:vAlign w:val="center"/>
          </w:tcPr>
          <w:p>
            <w:pPr>
              <w:ind w:firstLine="420"/>
              <w:jc w:val="center"/>
              <w:rPr>
                <w:rFonts w:ascii="Times New Roman" w:cs="Times New Roman"/>
                <w:kern w:val="2"/>
                <w:sz w:val="21"/>
                <w:szCs w:val="21"/>
              </w:rPr>
            </w:pPr>
            <w:r>
              <w:rPr>
                <w:rFonts w:ascii="Times New Roman" w:cs="Times New Roman"/>
                <w:kern w:val="2"/>
                <w:sz w:val="21"/>
                <w:szCs w:val="21"/>
              </w:rPr>
              <w:t>Mg</w:t>
            </w:r>
            <w:r>
              <w:rPr>
                <w:rFonts w:ascii="Times New Roman" w:cs="Times New Roman"/>
                <w:kern w:val="2"/>
                <w:sz w:val="21"/>
                <w:szCs w:val="21"/>
                <w:vertAlign w:val="superscript"/>
              </w:rPr>
              <w:t>2+</w:t>
            </w:r>
          </w:p>
        </w:tc>
        <w:tc>
          <w:tcPr>
            <w:tcW w:w="1418"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883</w:t>
            </w:r>
          </w:p>
        </w:tc>
        <w:tc>
          <w:tcPr>
            <w:tcW w:w="1559"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36.32</w:t>
            </w:r>
          </w:p>
        </w:tc>
        <w:tc>
          <w:tcPr>
            <w:tcW w:w="2632"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11.84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05" w:type="dxa"/>
            <w:vMerge w:val="continue"/>
            <w:shd w:val="clear" w:color="auto" w:fill="auto"/>
            <w:noWrap/>
            <w:vAlign w:val="center"/>
          </w:tcPr>
          <w:p>
            <w:pPr>
              <w:ind w:firstLine="420"/>
              <w:jc w:val="center"/>
              <w:rPr>
                <w:rFonts w:ascii="Times New Roman" w:cs="Times New Roman"/>
                <w:kern w:val="2"/>
                <w:sz w:val="21"/>
                <w:szCs w:val="21"/>
              </w:rPr>
            </w:pPr>
          </w:p>
        </w:tc>
        <w:tc>
          <w:tcPr>
            <w:tcW w:w="1988" w:type="dxa"/>
            <w:shd w:val="clear" w:color="000000" w:fill="FFFFFF"/>
            <w:noWrap/>
            <w:vAlign w:val="center"/>
          </w:tcPr>
          <w:p>
            <w:pPr>
              <w:ind w:firstLine="420"/>
              <w:jc w:val="center"/>
              <w:rPr>
                <w:rFonts w:ascii="Times New Roman" w:cs="Times New Roman"/>
                <w:kern w:val="2"/>
                <w:sz w:val="21"/>
                <w:szCs w:val="21"/>
              </w:rPr>
            </w:pPr>
            <w:r>
              <w:rPr>
                <w:rFonts w:ascii="Times New Roman" w:cs="Times New Roman"/>
                <w:kern w:val="2"/>
                <w:sz w:val="21"/>
                <w:szCs w:val="21"/>
              </w:rPr>
              <w:t>总 计</w:t>
            </w:r>
          </w:p>
        </w:tc>
        <w:tc>
          <w:tcPr>
            <w:tcW w:w="1418"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7685</w:t>
            </w:r>
          </w:p>
        </w:tc>
        <w:tc>
          <w:tcPr>
            <w:tcW w:w="1559"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306.85</w:t>
            </w:r>
          </w:p>
        </w:tc>
        <w:tc>
          <w:tcPr>
            <w:tcW w:w="2632" w:type="dxa"/>
            <w:noWrap/>
            <w:vAlign w:val="center"/>
          </w:tcPr>
          <w:p>
            <w:pPr>
              <w:ind w:firstLine="420"/>
              <w:jc w:val="center"/>
              <w:rPr>
                <w:rFonts w:ascii="Times New Roman" w:cs="Times New Roman"/>
                <w:kern w:val="2"/>
                <w:sz w:val="21"/>
                <w:szCs w:val="21"/>
              </w:rPr>
            </w:pPr>
            <w:r>
              <w:rPr>
                <w:rFonts w:ascii="Times New Roman" w:cs="Times New Roman"/>
                <w:kern w:val="2"/>
                <w:sz w:val="21"/>
                <w:szCs w:val="21"/>
              </w:rPr>
              <w:t>100</w:t>
            </w:r>
            <w:r>
              <w:rPr>
                <w:rFonts w:hint="eastAsia" w:ascii="Times New Roman" w:cs="Times New Roman"/>
                <w:kern w:val="2"/>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05" w:type="dxa"/>
            <w:vMerge w:val="restart"/>
            <w:shd w:val="clear" w:color="auto" w:fill="auto"/>
            <w:noWrap/>
            <w:vAlign w:val="center"/>
          </w:tcPr>
          <w:p>
            <w:pPr>
              <w:ind w:firstLine="420"/>
              <w:jc w:val="center"/>
              <w:rPr>
                <w:rFonts w:ascii="Times New Roman" w:cs="Times New Roman"/>
                <w:kern w:val="2"/>
                <w:sz w:val="21"/>
                <w:szCs w:val="21"/>
              </w:rPr>
            </w:pPr>
            <w:r>
              <w:rPr>
                <w:rFonts w:ascii="Times New Roman" w:cs="Times New Roman"/>
                <w:kern w:val="2"/>
                <w:sz w:val="21"/>
                <w:szCs w:val="21"/>
              </w:rPr>
              <w:t>阴</w:t>
            </w:r>
            <w:r>
              <w:rPr>
                <w:rFonts w:ascii="Times New Roman" w:cs="Times New Roman"/>
                <w:kern w:val="2"/>
                <w:sz w:val="21"/>
                <w:szCs w:val="21"/>
              </w:rPr>
              <w:br w:type="textWrapping"/>
            </w:r>
            <w:r>
              <w:rPr>
                <w:rFonts w:ascii="Times New Roman" w:cs="Times New Roman"/>
                <w:kern w:val="2"/>
                <w:sz w:val="21"/>
                <w:szCs w:val="21"/>
              </w:rPr>
              <w:br w:type="textWrapping"/>
            </w:r>
            <w:r>
              <w:rPr>
                <w:rFonts w:ascii="Times New Roman" w:cs="Times New Roman"/>
                <w:kern w:val="2"/>
                <w:sz w:val="21"/>
                <w:szCs w:val="21"/>
              </w:rPr>
              <w:t>离</w:t>
            </w:r>
            <w:r>
              <w:rPr>
                <w:rFonts w:ascii="Times New Roman" w:cs="Times New Roman"/>
                <w:kern w:val="2"/>
                <w:sz w:val="21"/>
                <w:szCs w:val="21"/>
              </w:rPr>
              <w:br w:type="textWrapping"/>
            </w:r>
            <w:r>
              <w:rPr>
                <w:rFonts w:ascii="Times New Roman" w:cs="Times New Roman"/>
                <w:kern w:val="2"/>
                <w:sz w:val="21"/>
                <w:szCs w:val="21"/>
              </w:rPr>
              <w:br w:type="textWrapping"/>
            </w:r>
            <w:r>
              <w:rPr>
                <w:rFonts w:ascii="Times New Roman" w:cs="Times New Roman"/>
                <w:kern w:val="2"/>
                <w:sz w:val="21"/>
                <w:szCs w:val="21"/>
              </w:rPr>
              <w:t>子</w:t>
            </w:r>
          </w:p>
        </w:tc>
        <w:tc>
          <w:tcPr>
            <w:tcW w:w="1988" w:type="dxa"/>
            <w:shd w:val="clear" w:color="000000" w:fill="FFFFFF"/>
            <w:noWrap/>
            <w:vAlign w:val="center"/>
          </w:tcPr>
          <w:p>
            <w:pPr>
              <w:ind w:firstLine="420"/>
              <w:jc w:val="center"/>
              <w:rPr>
                <w:rFonts w:ascii="Times New Roman" w:cs="Times New Roman"/>
                <w:kern w:val="2"/>
                <w:sz w:val="21"/>
                <w:szCs w:val="21"/>
              </w:rPr>
            </w:pPr>
            <w:r>
              <w:rPr>
                <w:rFonts w:ascii="Times New Roman" w:cs="Times New Roman"/>
                <w:kern w:val="2"/>
                <w:sz w:val="21"/>
                <w:szCs w:val="21"/>
              </w:rPr>
              <w:t>Cl</w:t>
            </w:r>
            <w:r>
              <w:rPr>
                <w:rFonts w:ascii="Times New Roman" w:cs="Times New Roman"/>
                <w:kern w:val="2"/>
                <w:sz w:val="21"/>
                <w:szCs w:val="21"/>
                <w:vertAlign w:val="superscript"/>
              </w:rPr>
              <w:t>-</w:t>
            </w:r>
          </w:p>
        </w:tc>
        <w:tc>
          <w:tcPr>
            <w:tcW w:w="1418" w:type="dxa"/>
            <w:noWrap/>
            <w:vAlign w:val="center"/>
          </w:tcPr>
          <w:p>
            <w:pPr>
              <w:ind w:firstLine="420"/>
              <w:jc w:val="center"/>
              <w:rPr>
                <w:rFonts w:ascii="Times New Roman" w:cs="Times New Roman"/>
                <w:kern w:val="2"/>
                <w:sz w:val="21"/>
                <w:szCs w:val="21"/>
              </w:rPr>
            </w:pPr>
            <w:r>
              <w:rPr>
                <w:rFonts w:ascii="Times New Roman" w:cs="Times New Roman"/>
                <w:kern w:val="2"/>
                <w:sz w:val="21"/>
                <w:szCs w:val="21"/>
              </w:rPr>
              <w:t>1</w:t>
            </w:r>
            <w:r>
              <w:rPr>
                <w:rFonts w:hint="eastAsia" w:ascii="Times New Roman" w:cs="Times New Roman"/>
                <w:kern w:val="2"/>
                <w:sz w:val="21"/>
                <w:szCs w:val="21"/>
              </w:rPr>
              <w:t>1018</w:t>
            </w:r>
          </w:p>
        </w:tc>
        <w:tc>
          <w:tcPr>
            <w:tcW w:w="1559"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310.81</w:t>
            </w:r>
          </w:p>
        </w:tc>
        <w:tc>
          <w:tcPr>
            <w:tcW w:w="2632"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90.05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05" w:type="dxa"/>
            <w:vMerge w:val="continue"/>
            <w:shd w:val="clear" w:color="auto" w:fill="auto"/>
            <w:noWrap/>
            <w:vAlign w:val="center"/>
          </w:tcPr>
          <w:p>
            <w:pPr>
              <w:ind w:firstLine="420"/>
              <w:jc w:val="center"/>
              <w:rPr>
                <w:rFonts w:ascii="Times New Roman" w:cs="Times New Roman"/>
                <w:kern w:val="2"/>
                <w:sz w:val="21"/>
                <w:szCs w:val="21"/>
              </w:rPr>
            </w:pPr>
          </w:p>
        </w:tc>
        <w:tc>
          <w:tcPr>
            <w:tcW w:w="1988" w:type="dxa"/>
            <w:shd w:val="clear" w:color="000000" w:fill="FFFFFF"/>
            <w:noWrap/>
            <w:vAlign w:val="center"/>
          </w:tcPr>
          <w:p>
            <w:pPr>
              <w:ind w:firstLine="420"/>
              <w:jc w:val="center"/>
              <w:rPr>
                <w:rFonts w:ascii="Times New Roman" w:cs="Times New Roman"/>
                <w:kern w:val="2"/>
                <w:sz w:val="21"/>
                <w:szCs w:val="21"/>
              </w:rPr>
            </w:pPr>
            <w:r>
              <w:rPr>
                <w:rFonts w:ascii="Times New Roman" w:cs="Times New Roman"/>
                <w:kern w:val="2"/>
                <w:sz w:val="21"/>
                <w:szCs w:val="21"/>
              </w:rPr>
              <w:t>SO2- 4</w:t>
            </w:r>
          </w:p>
        </w:tc>
        <w:tc>
          <w:tcPr>
            <w:tcW w:w="1418"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2568</w:t>
            </w:r>
          </w:p>
        </w:tc>
        <w:tc>
          <w:tcPr>
            <w:tcW w:w="1559"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26.73</w:t>
            </w:r>
          </w:p>
        </w:tc>
        <w:tc>
          <w:tcPr>
            <w:tcW w:w="2632"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05" w:type="dxa"/>
            <w:vMerge w:val="continue"/>
            <w:shd w:val="clear" w:color="auto" w:fill="auto"/>
            <w:noWrap/>
            <w:vAlign w:val="center"/>
          </w:tcPr>
          <w:p>
            <w:pPr>
              <w:ind w:firstLine="420"/>
              <w:jc w:val="center"/>
              <w:rPr>
                <w:rFonts w:ascii="Times New Roman" w:cs="Times New Roman"/>
                <w:kern w:val="2"/>
                <w:sz w:val="21"/>
                <w:szCs w:val="21"/>
              </w:rPr>
            </w:pPr>
          </w:p>
        </w:tc>
        <w:tc>
          <w:tcPr>
            <w:tcW w:w="1988" w:type="dxa"/>
            <w:shd w:val="clear" w:color="000000" w:fill="FFFFFF"/>
            <w:noWrap/>
            <w:vAlign w:val="center"/>
          </w:tcPr>
          <w:p>
            <w:pPr>
              <w:ind w:firstLine="420"/>
              <w:jc w:val="center"/>
              <w:rPr>
                <w:rFonts w:ascii="Times New Roman" w:cs="Times New Roman"/>
                <w:kern w:val="2"/>
                <w:sz w:val="21"/>
                <w:szCs w:val="21"/>
              </w:rPr>
            </w:pPr>
            <w:r>
              <w:rPr>
                <w:rFonts w:ascii="Times New Roman" w:cs="Times New Roman"/>
                <w:kern w:val="2"/>
                <w:sz w:val="21"/>
                <w:szCs w:val="21"/>
              </w:rPr>
              <w:t>HCO- 3</w:t>
            </w:r>
          </w:p>
        </w:tc>
        <w:tc>
          <w:tcPr>
            <w:tcW w:w="1418"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139</w:t>
            </w:r>
          </w:p>
        </w:tc>
        <w:tc>
          <w:tcPr>
            <w:tcW w:w="1559"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2.27</w:t>
            </w:r>
          </w:p>
        </w:tc>
        <w:tc>
          <w:tcPr>
            <w:tcW w:w="2632"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05" w:type="dxa"/>
            <w:vMerge w:val="continue"/>
            <w:shd w:val="clear" w:color="auto" w:fill="auto"/>
            <w:noWrap/>
            <w:vAlign w:val="center"/>
          </w:tcPr>
          <w:p>
            <w:pPr>
              <w:ind w:firstLine="420"/>
              <w:jc w:val="center"/>
              <w:rPr>
                <w:rFonts w:ascii="Times New Roman" w:cs="Times New Roman"/>
                <w:kern w:val="2"/>
                <w:sz w:val="21"/>
                <w:szCs w:val="21"/>
              </w:rPr>
            </w:pPr>
          </w:p>
        </w:tc>
        <w:tc>
          <w:tcPr>
            <w:tcW w:w="1988" w:type="dxa"/>
            <w:shd w:val="clear" w:color="000000" w:fill="FFFFFF"/>
            <w:noWrap/>
            <w:vAlign w:val="center"/>
          </w:tcPr>
          <w:p>
            <w:pPr>
              <w:ind w:firstLine="420"/>
              <w:jc w:val="center"/>
              <w:rPr>
                <w:rFonts w:ascii="Times New Roman" w:cs="Times New Roman"/>
                <w:kern w:val="2"/>
                <w:sz w:val="21"/>
                <w:szCs w:val="21"/>
              </w:rPr>
            </w:pPr>
            <w:r>
              <w:rPr>
                <w:rFonts w:ascii="Times New Roman" w:cs="Times New Roman"/>
                <w:kern w:val="2"/>
                <w:sz w:val="21"/>
                <w:szCs w:val="21"/>
              </w:rPr>
              <w:t>CO2- 3</w:t>
            </w:r>
          </w:p>
        </w:tc>
        <w:tc>
          <w:tcPr>
            <w:tcW w:w="1418"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320</w:t>
            </w:r>
          </w:p>
        </w:tc>
        <w:tc>
          <w:tcPr>
            <w:tcW w:w="1559"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5.34</w:t>
            </w:r>
          </w:p>
        </w:tc>
        <w:tc>
          <w:tcPr>
            <w:tcW w:w="2632"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05" w:type="dxa"/>
            <w:vMerge w:val="continue"/>
            <w:shd w:val="clear" w:color="auto" w:fill="auto"/>
            <w:noWrap/>
            <w:vAlign w:val="center"/>
          </w:tcPr>
          <w:p>
            <w:pPr>
              <w:ind w:firstLine="420"/>
              <w:jc w:val="center"/>
              <w:rPr>
                <w:rFonts w:ascii="Times New Roman" w:cs="Times New Roman"/>
                <w:kern w:val="2"/>
                <w:sz w:val="21"/>
                <w:szCs w:val="21"/>
              </w:rPr>
            </w:pPr>
          </w:p>
        </w:tc>
        <w:tc>
          <w:tcPr>
            <w:tcW w:w="1988" w:type="dxa"/>
            <w:shd w:val="clear" w:color="000000" w:fill="FFFFFF"/>
            <w:noWrap/>
            <w:vAlign w:val="center"/>
          </w:tcPr>
          <w:p>
            <w:pPr>
              <w:ind w:firstLine="420"/>
              <w:jc w:val="center"/>
              <w:rPr>
                <w:rFonts w:ascii="Times New Roman" w:cs="Times New Roman"/>
                <w:kern w:val="2"/>
                <w:sz w:val="21"/>
                <w:szCs w:val="21"/>
              </w:rPr>
            </w:pPr>
            <w:r>
              <w:rPr>
                <w:rFonts w:ascii="Times New Roman" w:cs="Times New Roman"/>
                <w:kern w:val="2"/>
                <w:sz w:val="21"/>
                <w:szCs w:val="21"/>
              </w:rPr>
              <w:t>OH</w:t>
            </w:r>
            <w:r>
              <w:rPr>
                <w:rFonts w:ascii="Times New Roman" w:cs="Times New Roman"/>
                <w:kern w:val="2"/>
                <w:sz w:val="21"/>
                <w:szCs w:val="21"/>
                <w:vertAlign w:val="superscript"/>
              </w:rPr>
              <w:t>-</w:t>
            </w:r>
          </w:p>
        </w:tc>
        <w:tc>
          <w:tcPr>
            <w:tcW w:w="1418" w:type="dxa"/>
            <w:noWrap/>
            <w:vAlign w:val="center"/>
          </w:tcPr>
          <w:p>
            <w:pPr>
              <w:ind w:firstLine="420"/>
              <w:jc w:val="center"/>
              <w:rPr>
                <w:rFonts w:ascii="Times New Roman" w:cs="Times New Roman"/>
                <w:kern w:val="2"/>
                <w:sz w:val="21"/>
                <w:szCs w:val="21"/>
              </w:rPr>
            </w:pPr>
            <w:r>
              <w:rPr>
                <w:rFonts w:ascii="Times New Roman" w:cs="Times New Roman"/>
                <w:kern w:val="2"/>
                <w:sz w:val="21"/>
                <w:szCs w:val="21"/>
              </w:rPr>
              <w:t>0</w:t>
            </w:r>
          </w:p>
        </w:tc>
        <w:tc>
          <w:tcPr>
            <w:tcW w:w="1559" w:type="dxa"/>
            <w:noWrap/>
            <w:vAlign w:val="center"/>
          </w:tcPr>
          <w:p>
            <w:pPr>
              <w:ind w:firstLine="420"/>
              <w:jc w:val="center"/>
              <w:rPr>
                <w:rFonts w:ascii="Times New Roman" w:cs="Times New Roman"/>
                <w:kern w:val="2"/>
                <w:sz w:val="21"/>
                <w:szCs w:val="21"/>
              </w:rPr>
            </w:pPr>
            <w:r>
              <w:rPr>
                <w:rFonts w:ascii="Times New Roman" w:cs="Times New Roman"/>
                <w:kern w:val="2"/>
                <w:sz w:val="21"/>
                <w:szCs w:val="21"/>
              </w:rPr>
              <w:t>0.00</w:t>
            </w:r>
          </w:p>
        </w:tc>
        <w:tc>
          <w:tcPr>
            <w:tcW w:w="2632"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0</w:t>
            </w:r>
            <w:r>
              <w:rPr>
                <w:rFonts w:ascii="Times New Roman" w:cs="Times New Roman"/>
                <w:kern w:val="2"/>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505" w:type="dxa"/>
            <w:vMerge w:val="continue"/>
            <w:shd w:val="clear" w:color="auto" w:fill="auto"/>
            <w:noWrap/>
            <w:vAlign w:val="center"/>
          </w:tcPr>
          <w:p>
            <w:pPr>
              <w:ind w:firstLine="420"/>
              <w:jc w:val="center"/>
              <w:rPr>
                <w:rFonts w:ascii="Times New Roman" w:cs="Times New Roman"/>
                <w:kern w:val="2"/>
                <w:sz w:val="21"/>
                <w:szCs w:val="21"/>
              </w:rPr>
            </w:pPr>
          </w:p>
        </w:tc>
        <w:tc>
          <w:tcPr>
            <w:tcW w:w="1988" w:type="dxa"/>
            <w:shd w:val="clear" w:color="000000" w:fill="FFFFFF"/>
            <w:noWrap/>
            <w:vAlign w:val="center"/>
          </w:tcPr>
          <w:p>
            <w:pPr>
              <w:ind w:firstLine="420"/>
              <w:jc w:val="center"/>
              <w:rPr>
                <w:rFonts w:ascii="Times New Roman" w:cs="Times New Roman"/>
                <w:kern w:val="2"/>
                <w:sz w:val="21"/>
                <w:szCs w:val="21"/>
              </w:rPr>
            </w:pPr>
            <w:r>
              <w:rPr>
                <w:rFonts w:ascii="Times New Roman" w:cs="Times New Roman"/>
                <w:kern w:val="2"/>
                <w:sz w:val="21"/>
                <w:szCs w:val="21"/>
              </w:rPr>
              <w:t>总 计</w:t>
            </w:r>
          </w:p>
        </w:tc>
        <w:tc>
          <w:tcPr>
            <w:tcW w:w="1418"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14045</w:t>
            </w:r>
          </w:p>
        </w:tc>
        <w:tc>
          <w:tcPr>
            <w:tcW w:w="1559" w:type="dxa"/>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345.15</w:t>
            </w:r>
          </w:p>
        </w:tc>
        <w:tc>
          <w:tcPr>
            <w:tcW w:w="2632" w:type="dxa"/>
            <w:noWrap/>
            <w:vAlign w:val="center"/>
          </w:tcPr>
          <w:p>
            <w:pPr>
              <w:ind w:firstLine="420"/>
              <w:jc w:val="center"/>
              <w:rPr>
                <w:rFonts w:ascii="Times New Roman" w:cs="Times New Roman"/>
                <w:kern w:val="2"/>
                <w:sz w:val="21"/>
                <w:szCs w:val="21"/>
              </w:rPr>
            </w:pPr>
            <w:r>
              <w:rPr>
                <w:rFonts w:ascii="Times New Roman" w:cs="Times New Roman"/>
                <w:kern w:val="2"/>
                <w:sz w:val="21"/>
                <w:szCs w:val="21"/>
              </w:rPr>
              <w:t>100</w:t>
            </w:r>
            <w:r>
              <w:rPr>
                <w:rFonts w:hint="eastAsia" w:ascii="Times New Roman" w:cs="Times New Roman"/>
                <w:kern w:val="2"/>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493" w:type="dxa"/>
            <w:gridSpan w:val="2"/>
            <w:noWrap/>
            <w:vAlign w:val="center"/>
          </w:tcPr>
          <w:p>
            <w:pPr>
              <w:ind w:firstLine="420"/>
              <w:jc w:val="center"/>
              <w:rPr>
                <w:rFonts w:ascii="Times New Roman" w:cs="Times New Roman"/>
                <w:kern w:val="2"/>
                <w:sz w:val="21"/>
                <w:szCs w:val="21"/>
              </w:rPr>
            </w:pPr>
            <w:r>
              <w:rPr>
                <w:rFonts w:ascii="Times New Roman" w:cs="Times New Roman"/>
                <w:kern w:val="2"/>
                <w:sz w:val="21"/>
                <w:szCs w:val="21"/>
              </w:rPr>
              <w:t>总矿化度     (mg/L)</w:t>
            </w:r>
          </w:p>
        </w:tc>
        <w:tc>
          <w:tcPr>
            <w:tcW w:w="5609" w:type="dxa"/>
            <w:gridSpan w:val="3"/>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21730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493" w:type="dxa"/>
            <w:gridSpan w:val="2"/>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 xml:space="preserve">硫化物      </w:t>
            </w:r>
            <w:r>
              <w:rPr>
                <w:rFonts w:ascii="Times New Roman" w:cs="Times New Roman"/>
                <w:kern w:val="2"/>
                <w:sz w:val="21"/>
                <w:szCs w:val="21"/>
                <w:vertAlign w:val="superscript"/>
              </w:rPr>
              <w:t xml:space="preserve"> </w:t>
            </w:r>
            <w:r>
              <w:rPr>
                <w:rFonts w:ascii="Times New Roman" w:cs="Times New Roman"/>
                <w:kern w:val="2"/>
                <w:sz w:val="21"/>
                <w:szCs w:val="21"/>
              </w:rPr>
              <w:t>(mg/L)</w:t>
            </w:r>
          </w:p>
        </w:tc>
        <w:tc>
          <w:tcPr>
            <w:tcW w:w="5609" w:type="dxa"/>
            <w:gridSpan w:val="3"/>
            <w:noWrap/>
            <w:vAlign w:val="center"/>
          </w:tcPr>
          <w:p>
            <w:pPr>
              <w:ind w:firstLine="420"/>
              <w:jc w:val="center"/>
              <w:rPr>
                <w:rFonts w:ascii="Times New Roman" w:cs="Times New Roman"/>
                <w:kern w:val="2"/>
                <w:sz w:val="21"/>
                <w:szCs w:val="21"/>
              </w:rPr>
            </w:pPr>
            <w:r>
              <w:rPr>
                <w:rFonts w:hint="eastAsia" w:ascii="Times New Roman" w:cs="Times New Roman"/>
                <w:kern w:val="2"/>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493" w:type="dxa"/>
            <w:gridSpan w:val="2"/>
            <w:noWrap/>
            <w:vAlign w:val="center"/>
          </w:tcPr>
          <w:p>
            <w:pPr>
              <w:ind w:firstLine="420"/>
              <w:jc w:val="center"/>
              <w:rPr>
                <w:rFonts w:ascii="Times New Roman" w:cs="Times New Roman"/>
                <w:kern w:val="2"/>
                <w:sz w:val="21"/>
                <w:szCs w:val="21"/>
              </w:rPr>
            </w:pPr>
            <w:r>
              <w:rPr>
                <w:rFonts w:ascii="Times New Roman" w:cs="Times New Roman"/>
                <w:kern w:val="2"/>
                <w:sz w:val="21"/>
                <w:szCs w:val="21"/>
              </w:rPr>
              <w:t>成 因 系 数</w:t>
            </w:r>
          </w:p>
        </w:tc>
        <w:tc>
          <w:tcPr>
            <w:tcW w:w="5609" w:type="dxa"/>
            <w:gridSpan w:val="3"/>
            <w:noWrap/>
            <w:vAlign w:val="center"/>
          </w:tcPr>
          <w:p>
            <w:pPr>
              <w:ind w:firstLine="420"/>
              <w:jc w:val="center"/>
              <w:rPr>
                <w:rFonts w:ascii="Times New Roman" w:cs="Times New Roman"/>
                <w:kern w:val="2"/>
                <w:sz w:val="21"/>
                <w:szCs w:val="21"/>
              </w:rPr>
            </w:pPr>
            <w:r>
              <w:rPr>
                <w:rFonts w:ascii="Times New Roman" w:cs="Times New Roman"/>
                <w:kern w:val="2"/>
                <w:sz w:val="21"/>
                <w:szCs w:val="21"/>
              </w:rPr>
              <w:t>( Cl</w:t>
            </w:r>
            <w:r>
              <w:rPr>
                <w:rFonts w:ascii="Times New Roman" w:cs="Times New Roman"/>
                <w:kern w:val="2"/>
                <w:sz w:val="21"/>
                <w:szCs w:val="21"/>
                <w:vertAlign w:val="superscript"/>
              </w:rPr>
              <w:t>-</w:t>
            </w:r>
            <w:r>
              <w:rPr>
                <w:rFonts w:ascii="Times New Roman" w:cs="Times New Roman"/>
                <w:kern w:val="2"/>
                <w:sz w:val="21"/>
                <w:szCs w:val="21"/>
              </w:rPr>
              <w:t>-Na</w:t>
            </w:r>
            <w:r>
              <w:rPr>
                <w:rFonts w:ascii="Times New Roman" w:cs="Times New Roman"/>
                <w:kern w:val="2"/>
                <w:sz w:val="21"/>
                <w:szCs w:val="21"/>
                <w:vertAlign w:val="superscript"/>
              </w:rPr>
              <w:t>+</w:t>
            </w:r>
            <w:r>
              <w:rPr>
                <w:rFonts w:ascii="Times New Roman" w:cs="Times New Roman"/>
                <w:kern w:val="2"/>
                <w:sz w:val="21"/>
                <w:szCs w:val="21"/>
              </w:rPr>
              <w:t>)/2Mg</w:t>
            </w:r>
            <w:r>
              <w:rPr>
                <w:rFonts w:ascii="Times New Roman" w:cs="Times New Roman"/>
                <w:kern w:val="2"/>
                <w:sz w:val="21"/>
                <w:szCs w:val="21"/>
                <w:vertAlign w:val="superscript"/>
              </w:rPr>
              <w:t>2+</w:t>
            </w:r>
            <w:r>
              <w:rPr>
                <w:rFonts w:ascii="Times New Roman" w:cs="Times New Roman"/>
                <w:kern w:val="2"/>
                <w:sz w:val="21"/>
                <w:szCs w:val="21"/>
              </w:rPr>
              <w:t>=</w:t>
            </w:r>
            <w:r>
              <w:rPr>
                <w:rFonts w:hint="eastAsia" w:ascii="Times New Roman" w:cs="Times New Roman"/>
                <w:kern w:val="2"/>
                <w:sz w:val="21"/>
                <w:szCs w:val="21"/>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493" w:type="dxa"/>
            <w:gridSpan w:val="2"/>
            <w:shd w:val="clear" w:color="auto" w:fill="auto"/>
            <w:noWrap/>
            <w:vAlign w:val="center"/>
          </w:tcPr>
          <w:p>
            <w:pPr>
              <w:ind w:firstLine="420"/>
              <w:jc w:val="center"/>
              <w:rPr>
                <w:rFonts w:ascii="Times New Roman" w:cs="Times New Roman"/>
                <w:kern w:val="2"/>
                <w:sz w:val="21"/>
                <w:szCs w:val="21"/>
              </w:rPr>
            </w:pPr>
            <w:r>
              <w:rPr>
                <w:rFonts w:ascii="Times New Roman" w:cs="Times New Roman"/>
                <w:kern w:val="2"/>
                <w:sz w:val="21"/>
                <w:szCs w:val="21"/>
              </w:rPr>
              <w:t>水 型 分 类</w:t>
            </w:r>
          </w:p>
        </w:tc>
        <w:tc>
          <w:tcPr>
            <w:tcW w:w="5609" w:type="dxa"/>
            <w:gridSpan w:val="3"/>
            <w:shd w:val="clear" w:color="000000" w:fill="FFFFFF"/>
            <w:noWrap/>
            <w:vAlign w:val="center"/>
          </w:tcPr>
          <w:p>
            <w:pPr>
              <w:ind w:firstLine="420"/>
              <w:jc w:val="center"/>
              <w:rPr>
                <w:rFonts w:ascii="Times New Roman" w:cs="Times New Roman"/>
                <w:kern w:val="2"/>
                <w:sz w:val="21"/>
                <w:szCs w:val="21"/>
              </w:rPr>
            </w:pPr>
            <w:r>
              <w:rPr>
                <w:rFonts w:ascii="Times New Roman" w:cs="Times New Roman"/>
                <w:kern w:val="2"/>
                <w:sz w:val="21"/>
                <w:szCs w:val="21"/>
              </w:rPr>
              <w:t>CaCl</w:t>
            </w:r>
            <w:r>
              <w:rPr>
                <w:rFonts w:ascii="Times New Roman" w:cs="Times New Roman"/>
                <w:kern w:val="2"/>
                <w:sz w:val="21"/>
                <w:szCs w:val="21"/>
                <w:vertAlign w:val="subscript"/>
              </w:rPr>
              <w:t>2</w:t>
            </w:r>
          </w:p>
        </w:tc>
      </w:tr>
    </w:tbl>
    <w:p>
      <w:pPr>
        <w:ind w:firstLine="199" w:firstLineChars="83"/>
        <w:rPr>
          <w:rFonts w:ascii="Times New Roman" w:cs="Times New Roman"/>
        </w:rPr>
      </w:pPr>
      <w:r>
        <w:rPr>
          <w:rFonts w:ascii="Times New Roman" w:cs="Times New Roman"/>
          <w:color w:val="0000FF"/>
        </w:rPr>
        <w:t>普陆4</w:t>
      </w:r>
      <w:r>
        <w:rPr>
          <w:rFonts w:hint="eastAsia" w:ascii="Times New Roman" w:cs="Times New Roman"/>
          <w:color w:val="0000FF"/>
        </w:rPr>
        <w:t>集气</w:t>
      </w:r>
      <w:r>
        <w:rPr>
          <w:rFonts w:ascii="Times New Roman" w:cs="Times New Roman"/>
          <w:color w:val="0000FF"/>
        </w:rPr>
        <w:t>站</w:t>
      </w:r>
      <w:r>
        <w:rPr>
          <w:rFonts w:hint="eastAsia" w:ascii="Times New Roman" w:cs="Times New Roman"/>
          <w:color w:val="0000FF"/>
        </w:rPr>
        <w:t>用燃料气来自净化厂返输净化气</w:t>
      </w:r>
      <w:r>
        <w:rPr>
          <w:rFonts w:hint="eastAsia" w:ascii="Times New Roman" w:cs="Times New Roman"/>
        </w:rPr>
        <w:t>。其物性和组分见表3.3-4。</w:t>
      </w:r>
    </w:p>
    <w:p>
      <w:pPr>
        <w:ind w:firstLine="199" w:firstLineChars="83"/>
        <w:rPr>
          <w:rFonts w:ascii="Times New Roman" w:cs="Times New Roman"/>
        </w:rPr>
      </w:pPr>
      <w:r>
        <w:rPr>
          <w:rFonts w:ascii="Times New Roman" w:cs="Times New Roman"/>
        </w:rPr>
        <w:t>密度：0.6990kg/m</w:t>
      </w:r>
      <w:r>
        <w:rPr>
          <w:rFonts w:ascii="Times New Roman" w:cs="Times New Roman"/>
          <w:vertAlign w:val="superscript"/>
        </w:rPr>
        <w:t>3</w:t>
      </w:r>
      <w:r>
        <w:rPr>
          <w:rFonts w:ascii="Times New Roman" w:cs="Times New Roman"/>
        </w:rPr>
        <w:t xml:space="preserve">          </w:t>
      </w:r>
    </w:p>
    <w:p>
      <w:pPr>
        <w:ind w:firstLine="199" w:firstLineChars="83"/>
        <w:rPr>
          <w:rFonts w:ascii="Times New Roman" w:cs="Times New Roman"/>
        </w:rPr>
      </w:pPr>
      <w:r>
        <w:rPr>
          <w:rFonts w:ascii="Times New Roman" w:cs="Times New Roman"/>
        </w:rPr>
        <w:t>分子量：16.81</w:t>
      </w:r>
    </w:p>
    <w:p>
      <w:pPr>
        <w:ind w:firstLine="199" w:firstLineChars="83"/>
        <w:rPr>
          <w:rFonts w:ascii="Times New Roman" w:cs="Times New Roman"/>
        </w:rPr>
      </w:pPr>
      <w:r>
        <w:rPr>
          <w:rFonts w:ascii="Times New Roman" w:cs="Times New Roman"/>
        </w:rPr>
        <w:t xml:space="preserve">燃料气温度：常温           </w:t>
      </w:r>
    </w:p>
    <w:p>
      <w:pPr>
        <w:ind w:firstLine="199" w:firstLineChars="83"/>
        <w:rPr>
          <w:rFonts w:ascii="Times New Roman" w:cs="Times New Roman"/>
        </w:rPr>
      </w:pPr>
      <w:r>
        <w:rPr>
          <w:rFonts w:ascii="Times New Roman" w:cs="Times New Roman"/>
        </w:rPr>
        <w:t>H</w:t>
      </w:r>
      <w:r>
        <w:rPr>
          <w:rFonts w:ascii="Times New Roman" w:cs="Times New Roman"/>
          <w:vertAlign w:val="subscript"/>
        </w:rPr>
        <w:t>2</w:t>
      </w:r>
      <w:r>
        <w:rPr>
          <w:rFonts w:ascii="Times New Roman" w:cs="Times New Roman"/>
        </w:rPr>
        <w:t>S含量：≤6mg/m</w:t>
      </w:r>
      <w:r>
        <w:rPr>
          <w:rFonts w:ascii="Times New Roman" w:cs="Times New Roman"/>
          <w:vertAlign w:val="superscript"/>
        </w:rPr>
        <w:t>3</w:t>
      </w:r>
      <w:r>
        <w:rPr>
          <w:rFonts w:ascii="Times New Roman" w:cs="Times New Roman"/>
        </w:rPr>
        <w:t>（相当于4ppm）；</w:t>
      </w:r>
    </w:p>
    <w:p>
      <w:pPr>
        <w:ind w:firstLine="199" w:firstLineChars="83"/>
        <w:rPr>
          <w:rFonts w:ascii="Times New Roman" w:cs="Times New Roman"/>
        </w:rPr>
      </w:pPr>
      <w:r>
        <w:rPr>
          <w:rFonts w:ascii="Times New Roman" w:cs="Times New Roman"/>
        </w:rPr>
        <w:t>总S含量：≤200mg/m</w:t>
      </w:r>
      <w:r>
        <w:rPr>
          <w:rFonts w:ascii="Times New Roman" w:cs="Times New Roman"/>
          <w:vertAlign w:val="superscript"/>
        </w:rPr>
        <w:t>3</w:t>
      </w:r>
      <w:r>
        <w:rPr>
          <w:rFonts w:ascii="Times New Roman" w:cs="Times New Roman"/>
        </w:rPr>
        <w:t xml:space="preserve">      </w:t>
      </w:r>
    </w:p>
    <w:p>
      <w:pPr>
        <w:ind w:firstLine="199" w:firstLineChars="83"/>
        <w:rPr>
          <w:rFonts w:ascii="Times New Roman" w:cs="Times New Roman"/>
        </w:rPr>
      </w:pPr>
      <w:r>
        <w:rPr>
          <w:rFonts w:ascii="Times New Roman" w:cs="Times New Roman"/>
        </w:rPr>
        <w:t>水露点：≤-15</w:t>
      </w:r>
      <w:r>
        <w:rPr>
          <w:rFonts w:hint="eastAsia" w:ascii="Times New Roman" w:cs="Times New Roman"/>
        </w:rPr>
        <w:t>℃</w:t>
      </w:r>
    </w:p>
    <w:p>
      <w:pPr>
        <w:ind w:firstLine="199" w:firstLineChars="83"/>
        <w:rPr>
          <w:rFonts w:ascii="Times New Roman" w:cs="Times New Roman"/>
        </w:rPr>
      </w:pPr>
      <w:r>
        <w:rPr>
          <w:rFonts w:ascii="Times New Roman" w:cs="Times New Roman"/>
        </w:rPr>
        <w:t>烃露点：≤-15</w:t>
      </w:r>
      <w:r>
        <w:rPr>
          <w:rFonts w:hint="eastAsia" w:ascii="Times New Roman" w:cs="Times New Roman"/>
        </w:rPr>
        <w:t>℃</w:t>
      </w:r>
    </w:p>
    <w:p>
      <w:pPr>
        <w:pStyle w:val="37"/>
        <w:rPr>
          <w:rFonts w:cs="Times New Roman"/>
        </w:rPr>
      </w:pPr>
      <w:r>
        <w:rPr>
          <w:rFonts w:cs="Times New Roman"/>
        </w:rPr>
        <w:t>表3.3-</w:t>
      </w:r>
      <w:r>
        <w:rPr>
          <w:rFonts w:hint="eastAsia" w:cs="Times New Roman"/>
        </w:rPr>
        <w:t>4</w:t>
      </w:r>
      <w:r>
        <w:rPr>
          <w:rFonts w:cs="Times New Roman"/>
        </w:rPr>
        <w:t xml:space="preserve">  </w:t>
      </w:r>
      <w:r>
        <w:rPr>
          <w:snapToGrid w:val="0"/>
        </w:rPr>
        <w:t>燃料气组分表</w:t>
      </w:r>
    </w:p>
    <w:tbl>
      <w:tblPr>
        <w:tblStyle w:val="57"/>
        <w:tblW w:w="89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25"/>
        <w:gridCol w:w="2925"/>
        <w:gridCol w:w="31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tblHeader/>
          <w:jc w:val="center"/>
        </w:trPr>
        <w:tc>
          <w:tcPr>
            <w:tcW w:w="2420" w:type="dxa"/>
            <w:vAlign w:val="center"/>
          </w:tcPr>
          <w:p>
            <w:pPr>
              <w:pStyle w:val="803"/>
            </w:pPr>
            <w:r>
              <w:t>组分</w:t>
            </w:r>
          </w:p>
        </w:tc>
        <w:tc>
          <w:tcPr>
            <w:tcW w:w="2420" w:type="dxa"/>
            <w:vAlign w:val="center"/>
          </w:tcPr>
          <w:p>
            <w:pPr>
              <w:pStyle w:val="803"/>
            </w:pPr>
            <w:r>
              <w:t>分子量</w:t>
            </w:r>
          </w:p>
        </w:tc>
        <w:tc>
          <w:tcPr>
            <w:tcW w:w="2572" w:type="dxa"/>
            <w:vAlign w:val="center"/>
          </w:tcPr>
          <w:p>
            <w:pPr>
              <w:pStyle w:val="803"/>
            </w:pPr>
            <w:r>
              <w:t>摩尔分率</w:t>
            </w:r>
          </w:p>
          <w:p>
            <w:pPr>
              <w:pStyle w:val="803"/>
            </w:pPr>
            <w:r>
              <w:t>（mol%）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420" w:type="dxa"/>
            <w:vAlign w:val="center"/>
          </w:tcPr>
          <w:p>
            <w:pPr>
              <w:pStyle w:val="803"/>
            </w:pPr>
            <w:r>
              <w:t>H</w:t>
            </w:r>
            <w:r>
              <w:rPr>
                <w:vertAlign w:val="subscript"/>
              </w:rPr>
              <w:t>2</w:t>
            </w:r>
          </w:p>
        </w:tc>
        <w:tc>
          <w:tcPr>
            <w:tcW w:w="2420" w:type="dxa"/>
            <w:vAlign w:val="center"/>
          </w:tcPr>
          <w:p>
            <w:pPr>
              <w:pStyle w:val="803"/>
            </w:pPr>
            <w:r>
              <w:t>2.016</w:t>
            </w:r>
          </w:p>
        </w:tc>
        <w:tc>
          <w:tcPr>
            <w:tcW w:w="2572" w:type="dxa"/>
            <w:vAlign w:val="center"/>
          </w:tcPr>
          <w:p>
            <w:pPr>
              <w:pStyle w:val="803"/>
            </w:pPr>
            <w:r>
              <w:t>0.025467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420" w:type="dxa"/>
            <w:vAlign w:val="center"/>
          </w:tcPr>
          <w:p>
            <w:pPr>
              <w:pStyle w:val="803"/>
            </w:pPr>
            <w:r>
              <w:t>N</w:t>
            </w:r>
            <w:r>
              <w:rPr>
                <w:vertAlign w:val="subscript"/>
              </w:rPr>
              <w:t>2</w:t>
            </w:r>
          </w:p>
        </w:tc>
        <w:tc>
          <w:tcPr>
            <w:tcW w:w="2420" w:type="dxa"/>
            <w:vAlign w:val="center"/>
          </w:tcPr>
          <w:p>
            <w:pPr>
              <w:pStyle w:val="803"/>
            </w:pPr>
            <w:r>
              <w:t>28.014</w:t>
            </w:r>
          </w:p>
        </w:tc>
        <w:tc>
          <w:tcPr>
            <w:tcW w:w="2572" w:type="dxa"/>
            <w:vAlign w:val="center"/>
          </w:tcPr>
          <w:p>
            <w:pPr>
              <w:pStyle w:val="803"/>
            </w:pPr>
            <w:r>
              <w:t>0.705685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420" w:type="dxa"/>
            <w:vAlign w:val="center"/>
          </w:tcPr>
          <w:p>
            <w:pPr>
              <w:pStyle w:val="803"/>
            </w:pPr>
            <w:r>
              <w:t>CO</w:t>
            </w:r>
            <w:r>
              <w:rPr>
                <w:vertAlign w:val="subscript"/>
              </w:rPr>
              <w:t>2</w:t>
            </w:r>
          </w:p>
        </w:tc>
        <w:tc>
          <w:tcPr>
            <w:tcW w:w="2420" w:type="dxa"/>
            <w:vAlign w:val="center"/>
          </w:tcPr>
          <w:p>
            <w:pPr>
              <w:pStyle w:val="803"/>
            </w:pPr>
            <w:r>
              <w:t>44.011</w:t>
            </w:r>
          </w:p>
        </w:tc>
        <w:tc>
          <w:tcPr>
            <w:tcW w:w="2572" w:type="dxa"/>
            <w:vAlign w:val="center"/>
          </w:tcPr>
          <w:p>
            <w:pPr>
              <w:pStyle w:val="803"/>
            </w:pPr>
            <w:r>
              <w:t>2.02909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420" w:type="dxa"/>
            <w:vAlign w:val="center"/>
          </w:tcPr>
          <w:p>
            <w:pPr>
              <w:pStyle w:val="803"/>
            </w:pPr>
            <w:r>
              <w:t>H</w:t>
            </w:r>
            <w:r>
              <w:rPr>
                <w:vertAlign w:val="subscript"/>
              </w:rPr>
              <w:t>2</w:t>
            </w:r>
            <w:r>
              <w:t>S</w:t>
            </w:r>
          </w:p>
        </w:tc>
        <w:tc>
          <w:tcPr>
            <w:tcW w:w="2420" w:type="dxa"/>
            <w:vAlign w:val="center"/>
          </w:tcPr>
          <w:p>
            <w:pPr>
              <w:pStyle w:val="803"/>
            </w:pPr>
            <w:r>
              <w:t>34.08</w:t>
            </w:r>
          </w:p>
        </w:tc>
        <w:tc>
          <w:tcPr>
            <w:tcW w:w="2572" w:type="dxa"/>
            <w:vAlign w:val="center"/>
          </w:tcPr>
          <w:p>
            <w:pPr>
              <w:pStyle w:val="803"/>
            </w:pPr>
            <w:r>
              <w:t>6mg/Nm</w:t>
            </w:r>
            <w:r>
              <w:rPr>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420" w:type="dxa"/>
            <w:vAlign w:val="center"/>
          </w:tcPr>
          <w:p>
            <w:pPr>
              <w:pStyle w:val="803"/>
            </w:pPr>
            <w:r>
              <w:t>COS</w:t>
            </w:r>
          </w:p>
        </w:tc>
        <w:tc>
          <w:tcPr>
            <w:tcW w:w="2420" w:type="dxa"/>
            <w:vAlign w:val="center"/>
          </w:tcPr>
          <w:p>
            <w:pPr>
              <w:pStyle w:val="803"/>
            </w:pPr>
            <w:r>
              <w:t>60.075</w:t>
            </w:r>
          </w:p>
        </w:tc>
        <w:tc>
          <w:tcPr>
            <w:tcW w:w="2572" w:type="dxa"/>
            <w:vAlign w:val="center"/>
          </w:tcPr>
          <w:p>
            <w:pPr>
              <w:pStyle w:val="803"/>
            </w:pPr>
            <w:r>
              <w:t>0.002559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420" w:type="dxa"/>
            <w:vAlign w:val="center"/>
          </w:tcPr>
          <w:p>
            <w:pPr>
              <w:pStyle w:val="803"/>
            </w:pPr>
            <w:r>
              <w:t>H</w:t>
            </w:r>
            <w:r>
              <w:rPr>
                <w:vertAlign w:val="subscript"/>
              </w:rPr>
              <w:t>2</w:t>
            </w:r>
            <w:r>
              <w:t>O</w:t>
            </w:r>
          </w:p>
        </w:tc>
        <w:tc>
          <w:tcPr>
            <w:tcW w:w="2420" w:type="dxa"/>
            <w:vAlign w:val="center"/>
          </w:tcPr>
          <w:p>
            <w:pPr>
              <w:pStyle w:val="803"/>
            </w:pPr>
            <w:r>
              <w:t>18.016</w:t>
            </w:r>
          </w:p>
        </w:tc>
        <w:tc>
          <w:tcPr>
            <w:tcW w:w="2572" w:type="dxa"/>
            <w:vAlign w:val="center"/>
          </w:tcPr>
          <w:p>
            <w:pPr>
              <w:pStyle w:val="803"/>
            </w:pPr>
            <w:r>
              <w:t>0.00358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420" w:type="dxa"/>
            <w:vAlign w:val="center"/>
          </w:tcPr>
          <w:p>
            <w:pPr>
              <w:pStyle w:val="803"/>
            </w:pPr>
            <w:r>
              <w:t>CH</w:t>
            </w:r>
            <w:r>
              <w:rPr>
                <w:vertAlign w:val="subscript"/>
              </w:rPr>
              <w:t>4</w:t>
            </w:r>
          </w:p>
        </w:tc>
        <w:tc>
          <w:tcPr>
            <w:tcW w:w="2420" w:type="dxa"/>
            <w:vAlign w:val="center"/>
          </w:tcPr>
          <w:p>
            <w:pPr>
              <w:pStyle w:val="803"/>
            </w:pPr>
            <w:r>
              <w:t>16.043</w:t>
            </w:r>
          </w:p>
        </w:tc>
        <w:tc>
          <w:tcPr>
            <w:tcW w:w="2572" w:type="dxa"/>
            <w:vAlign w:val="center"/>
          </w:tcPr>
          <w:p>
            <w:pPr>
              <w:pStyle w:val="803"/>
            </w:pPr>
            <w:r>
              <w:t>97.058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420" w:type="dxa"/>
            <w:vAlign w:val="center"/>
          </w:tcPr>
          <w:p>
            <w:pPr>
              <w:pStyle w:val="803"/>
            </w:pPr>
            <w:r>
              <w:t>C</w:t>
            </w:r>
            <w:r>
              <w:rPr>
                <w:vertAlign w:val="subscript"/>
              </w:rPr>
              <w:t>2</w:t>
            </w:r>
            <w:r>
              <w:t>H</w:t>
            </w:r>
            <w:r>
              <w:rPr>
                <w:vertAlign w:val="subscript"/>
              </w:rPr>
              <w:t>6</w:t>
            </w:r>
          </w:p>
        </w:tc>
        <w:tc>
          <w:tcPr>
            <w:tcW w:w="2420" w:type="dxa"/>
            <w:vAlign w:val="center"/>
          </w:tcPr>
          <w:p>
            <w:pPr>
              <w:pStyle w:val="803"/>
            </w:pPr>
            <w:r>
              <w:t>30.07</w:t>
            </w:r>
          </w:p>
        </w:tc>
        <w:tc>
          <w:tcPr>
            <w:tcW w:w="2572" w:type="dxa"/>
            <w:vAlign w:val="center"/>
          </w:tcPr>
          <w:p>
            <w:pPr>
              <w:pStyle w:val="803"/>
            </w:pPr>
            <w:r>
              <w:t>0.152185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420" w:type="dxa"/>
            <w:vAlign w:val="center"/>
          </w:tcPr>
          <w:p>
            <w:pPr>
              <w:pStyle w:val="803"/>
            </w:pPr>
            <w:r>
              <w:t>C</w:t>
            </w:r>
            <w:r>
              <w:rPr>
                <w:vertAlign w:val="subscript"/>
              </w:rPr>
              <w:t>3</w:t>
            </w:r>
            <w:r>
              <w:t>H</w:t>
            </w:r>
            <w:r>
              <w:rPr>
                <w:vertAlign w:val="subscript"/>
              </w:rPr>
              <w:t>8</w:t>
            </w:r>
          </w:p>
        </w:tc>
        <w:tc>
          <w:tcPr>
            <w:tcW w:w="2420" w:type="dxa"/>
            <w:vAlign w:val="center"/>
          </w:tcPr>
          <w:p>
            <w:pPr>
              <w:pStyle w:val="803"/>
            </w:pPr>
            <w:r>
              <w:t>44.097</w:t>
            </w:r>
          </w:p>
        </w:tc>
        <w:tc>
          <w:tcPr>
            <w:tcW w:w="2572" w:type="dxa"/>
            <w:vAlign w:val="center"/>
          </w:tcPr>
          <w:p>
            <w:pPr>
              <w:pStyle w:val="803"/>
            </w:pPr>
            <w:r>
              <w:t>0.010113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420" w:type="dxa"/>
            <w:vAlign w:val="center"/>
          </w:tcPr>
          <w:p>
            <w:pPr>
              <w:pStyle w:val="803"/>
            </w:pPr>
            <w:r>
              <w:t>CH</w:t>
            </w:r>
            <w:r>
              <w:rPr>
                <w:vertAlign w:val="subscript"/>
              </w:rPr>
              <w:t>3</w:t>
            </w:r>
            <w:r>
              <w:t>SH（甲硫醇）</w:t>
            </w:r>
          </w:p>
        </w:tc>
        <w:tc>
          <w:tcPr>
            <w:tcW w:w="2420" w:type="dxa"/>
            <w:vAlign w:val="center"/>
          </w:tcPr>
          <w:p>
            <w:pPr>
              <w:pStyle w:val="803"/>
            </w:pPr>
            <w:r>
              <w:t>48.107</w:t>
            </w:r>
          </w:p>
        </w:tc>
        <w:tc>
          <w:tcPr>
            <w:tcW w:w="2572" w:type="dxa"/>
            <w:vAlign w:val="center"/>
          </w:tcPr>
          <w:p>
            <w:pPr>
              <w:pStyle w:val="803"/>
            </w:pPr>
            <w:r>
              <w:t>0.000492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420" w:type="dxa"/>
            <w:vAlign w:val="center"/>
          </w:tcPr>
          <w:p>
            <w:pPr>
              <w:pStyle w:val="803"/>
            </w:pPr>
            <w:r>
              <w:t>C</w:t>
            </w:r>
            <w:r>
              <w:rPr>
                <w:vertAlign w:val="subscript"/>
              </w:rPr>
              <w:t>2</w:t>
            </w:r>
            <w:r>
              <w:t>H</w:t>
            </w:r>
            <w:r>
              <w:rPr>
                <w:vertAlign w:val="subscript"/>
              </w:rPr>
              <w:t>5</w:t>
            </w:r>
            <w:r>
              <w:t>SH（乙硫醇）</w:t>
            </w:r>
          </w:p>
        </w:tc>
        <w:tc>
          <w:tcPr>
            <w:tcW w:w="2420" w:type="dxa"/>
            <w:vAlign w:val="center"/>
          </w:tcPr>
          <w:p>
            <w:pPr>
              <w:pStyle w:val="803"/>
            </w:pPr>
            <w:r>
              <w:t>62.134</w:t>
            </w:r>
          </w:p>
        </w:tc>
        <w:tc>
          <w:tcPr>
            <w:tcW w:w="2572" w:type="dxa"/>
            <w:vAlign w:val="center"/>
          </w:tcPr>
          <w:p>
            <w:pPr>
              <w:pStyle w:val="803"/>
            </w:pPr>
            <w:r>
              <w:t>0.0000369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2420" w:type="dxa"/>
            <w:vAlign w:val="center"/>
          </w:tcPr>
          <w:p>
            <w:pPr>
              <w:pStyle w:val="803"/>
            </w:pPr>
            <w:r>
              <w:t>He</w:t>
            </w:r>
          </w:p>
        </w:tc>
        <w:tc>
          <w:tcPr>
            <w:tcW w:w="2420" w:type="dxa"/>
            <w:vAlign w:val="center"/>
          </w:tcPr>
          <w:p>
            <w:pPr>
              <w:pStyle w:val="803"/>
            </w:pPr>
            <w:r>
              <w:t>4.003</w:t>
            </w:r>
          </w:p>
        </w:tc>
        <w:tc>
          <w:tcPr>
            <w:tcW w:w="2572" w:type="dxa"/>
            <w:vAlign w:val="center"/>
          </w:tcPr>
          <w:p>
            <w:pPr>
              <w:pStyle w:val="803"/>
            </w:pPr>
            <w:r>
              <w:t>0.012795</w:t>
            </w:r>
          </w:p>
        </w:tc>
      </w:tr>
      <w:bookmarkEnd w:id="131"/>
    </w:tbl>
    <w:p>
      <w:pPr>
        <w:pStyle w:val="3"/>
        <w:spacing w:before="120"/>
        <w:rPr>
          <w:rFonts w:cs="Times New Roman"/>
        </w:rPr>
      </w:pPr>
      <w:bookmarkStart w:id="132" w:name="bookmark15"/>
      <w:bookmarkEnd w:id="132"/>
      <w:bookmarkStart w:id="133" w:name="_Toc81515268"/>
      <w:bookmarkStart w:id="134" w:name="_Toc19815958"/>
      <w:bookmarkStart w:id="135" w:name="_Toc12288401"/>
      <w:bookmarkStart w:id="136" w:name="_Toc19815957"/>
      <w:r>
        <w:rPr>
          <w:rFonts w:cs="Times New Roman"/>
        </w:rPr>
        <w:t xml:space="preserve">3.4 </w:t>
      </w:r>
      <w:r>
        <w:rPr>
          <w:rFonts w:hint="eastAsia" w:cs="Times New Roman"/>
        </w:rPr>
        <w:t>钻井</w:t>
      </w:r>
      <w:r>
        <w:rPr>
          <w:rFonts w:cs="Times New Roman"/>
        </w:rPr>
        <w:t>工程</w:t>
      </w:r>
      <w:bookmarkEnd w:id="133"/>
    </w:p>
    <w:p>
      <w:pPr>
        <w:pStyle w:val="112"/>
        <w:ind w:firstLine="480"/>
      </w:pPr>
      <w:r>
        <w:rPr>
          <w:rFonts w:hint="eastAsia"/>
        </w:rPr>
        <w:t>本项目</w:t>
      </w:r>
      <w:r>
        <w:t>普陆</w:t>
      </w:r>
      <w:r>
        <w:rPr>
          <w:rFonts w:hint="eastAsia"/>
        </w:rPr>
        <w:t>4</w:t>
      </w:r>
      <w:r>
        <w:t>-1</w:t>
      </w:r>
      <w:r>
        <w:rPr>
          <w:rFonts w:hint="eastAsia"/>
        </w:rPr>
        <w:t>H</w:t>
      </w:r>
      <w:r>
        <w:t>井钻井</w:t>
      </w:r>
      <w:r>
        <w:rPr>
          <w:rFonts w:hint="eastAsia"/>
        </w:rPr>
        <w:t>工程包括钻前工程、钻井工程和完井工程。</w:t>
      </w:r>
    </w:p>
    <w:p>
      <w:pPr>
        <w:pStyle w:val="4"/>
        <w:rPr>
          <w:rFonts w:eastAsia="宋体"/>
        </w:rPr>
      </w:pPr>
      <w:r>
        <w:rPr>
          <w:rFonts w:eastAsia="宋体"/>
        </w:rPr>
        <w:t>3.</w:t>
      </w:r>
      <w:r>
        <w:rPr>
          <w:rFonts w:hint="eastAsia" w:eastAsia="宋体"/>
        </w:rPr>
        <w:t>4</w:t>
      </w:r>
      <w:r>
        <w:rPr>
          <w:rFonts w:eastAsia="宋体"/>
        </w:rPr>
        <w:t xml:space="preserve">.1 </w:t>
      </w:r>
      <w:r>
        <w:rPr>
          <w:rFonts w:hint="eastAsia" w:eastAsia="宋体"/>
        </w:rPr>
        <w:t>钻前工程</w:t>
      </w:r>
    </w:p>
    <w:p>
      <w:pPr>
        <w:pStyle w:val="112"/>
        <w:ind w:firstLine="480"/>
      </w:pPr>
      <w:r>
        <w:rPr>
          <w:rFonts w:hint="eastAsia"/>
        </w:rPr>
        <w:t>利用原普陆4井台，</w:t>
      </w:r>
      <w:r>
        <w:rPr>
          <w:rFonts w:hint="eastAsia" w:ascii="宋体" w:cs="宋体"/>
          <w:lang w:val="zh-CN"/>
        </w:rPr>
        <w:t>井场全长</w:t>
      </w:r>
      <w:r>
        <w:t>1</w:t>
      </w:r>
      <w:r>
        <w:rPr>
          <w:rFonts w:hint="eastAsia"/>
        </w:rPr>
        <w:t>20</w:t>
      </w:r>
      <w:r>
        <w:t>m</w:t>
      </w:r>
      <w:r>
        <w:rPr>
          <w:rFonts w:hint="eastAsia" w:ascii="宋体" w:cs="宋体"/>
          <w:lang w:val="zh-CN"/>
        </w:rPr>
        <w:t>，宽</w:t>
      </w:r>
      <w:r>
        <w:rPr>
          <w:rFonts w:hint="eastAsia"/>
        </w:rPr>
        <w:t>60</w:t>
      </w:r>
      <w:r>
        <w:t>m</w:t>
      </w:r>
      <w:r>
        <w:rPr>
          <w:rFonts w:hint="eastAsia"/>
        </w:rPr>
        <w:t>，</w:t>
      </w:r>
      <w:r>
        <w:t>占地面积</w:t>
      </w:r>
      <w:r>
        <w:rPr>
          <w:bCs/>
        </w:rPr>
        <w:t>约</w:t>
      </w:r>
      <w:r>
        <w:rPr>
          <w:rFonts w:hint="eastAsia"/>
        </w:rPr>
        <w:t>7200</w:t>
      </w:r>
      <w:r>
        <w:rPr>
          <w:bCs/>
        </w:rPr>
        <w:t>m</w:t>
      </w:r>
      <w:r>
        <w:rPr>
          <w:bCs/>
          <w:vertAlign w:val="superscript"/>
        </w:rPr>
        <w:t>2</w:t>
      </w:r>
      <w:r>
        <w:rPr>
          <w:rFonts w:hint="eastAsia"/>
        </w:rPr>
        <w:t>，新建方井1口，建设加长型井架基础、泥浆泵基础、发电机房基础、循环罐基础等各</w:t>
      </w:r>
      <w:r>
        <w:t>1</w:t>
      </w:r>
      <w:r>
        <w:rPr>
          <w:rFonts w:hint="eastAsia"/>
        </w:rPr>
        <w:t>套，利旧原污水池（</w:t>
      </w:r>
      <w:r>
        <w:rPr>
          <w:rFonts w:hint="eastAsia"/>
          <w:szCs w:val="21"/>
        </w:rPr>
        <w:t>容积为1800m</w:t>
      </w:r>
      <w:r>
        <w:rPr>
          <w:rFonts w:hint="eastAsia"/>
          <w:szCs w:val="21"/>
          <w:vertAlign w:val="superscript"/>
        </w:rPr>
        <w:t>3</w:t>
      </w:r>
      <w:r>
        <w:rPr>
          <w:rFonts w:hint="eastAsia"/>
        </w:rPr>
        <w:t>）和放喷池各</w:t>
      </w:r>
      <w:r>
        <w:t>1</w:t>
      </w:r>
      <w:r>
        <w:rPr>
          <w:rFonts w:hint="eastAsia"/>
        </w:rPr>
        <w:t>座</w:t>
      </w:r>
      <w:r>
        <w:rPr>
          <w:rFonts w:hint="eastAsia"/>
          <w:szCs w:val="21"/>
        </w:rPr>
        <w:t>（容积为300m</w:t>
      </w:r>
      <w:r>
        <w:rPr>
          <w:rFonts w:hint="eastAsia"/>
          <w:szCs w:val="21"/>
          <w:vertAlign w:val="superscript"/>
        </w:rPr>
        <w:t>3</w:t>
      </w:r>
      <w:r>
        <w:rPr>
          <w:rFonts w:hint="eastAsia"/>
          <w:szCs w:val="21"/>
        </w:rPr>
        <w:t>）</w:t>
      </w:r>
      <w:r>
        <w:t>。</w:t>
      </w:r>
    </w:p>
    <w:p>
      <w:pPr>
        <w:pStyle w:val="4"/>
        <w:rPr>
          <w:rFonts w:eastAsia="宋体"/>
        </w:rPr>
      </w:pPr>
      <w:r>
        <w:rPr>
          <w:rFonts w:eastAsia="宋体"/>
        </w:rPr>
        <w:t>3.</w:t>
      </w:r>
      <w:r>
        <w:rPr>
          <w:rFonts w:hint="eastAsia" w:eastAsia="宋体"/>
        </w:rPr>
        <w:t>4</w:t>
      </w:r>
      <w:r>
        <w:rPr>
          <w:rFonts w:eastAsia="宋体"/>
        </w:rPr>
        <w:t>.</w:t>
      </w:r>
      <w:r>
        <w:rPr>
          <w:rFonts w:hint="eastAsia" w:eastAsia="宋体"/>
        </w:rPr>
        <w:t>2</w:t>
      </w:r>
      <w:r>
        <w:rPr>
          <w:rFonts w:eastAsia="宋体"/>
        </w:rPr>
        <w:t xml:space="preserve"> </w:t>
      </w:r>
      <w:r>
        <w:rPr>
          <w:rFonts w:hint="eastAsia" w:eastAsia="宋体"/>
        </w:rPr>
        <w:t>钻井工程</w:t>
      </w:r>
    </w:p>
    <w:p>
      <w:pPr>
        <w:pStyle w:val="112"/>
        <w:ind w:firstLine="482"/>
        <w:rPr>
          <w:b/>
        </w:rPr>
      </w:pPr>
      <w:r>
        <w:rPr>
          <w:rFonts w:hint="eastAsia"/>
          <w:b/>
        </w:rPr>
        <w:t>（1）基础数据</w:t>
      </w:r>
    </w:p>
    <w:p>
      <w:pPr>
        <w:pStyle w:val="112"/>
        <w:ind w:firstLine="480"/>
      </w:pPr>
      <w:r>
        <w:rPr>
          <w:rFonts w:hint="eastAsia"/>
        </w:rPr>
        <w:t>1）</w:t>
      </w:r>
      <w:r>
        <w:t>井别</w:t>
      </w:r>
      <w:r>
        <w:rPr>
          <w:rFonts w:hint="eastAsia"/>
        </w:rPr>
        <w:t>：</w:t>
      </w:r>
      <w:r>
        <w:rPr>
          <w:szCs w:val="21"/>
        </w:rPr>
        <w:t>气藏评价井</w:t>
      </w:r>
      <w:r>
        <w:rPr>
          <w:rFonts w:hint="eastAsia"/>
        </w:rPr>
        <w:t>；</w:t>
      </w:r>
      <w:r>
        <w:t xml:space="preserve"> </w:t>
      </w:r>
    </w:p>
    <w:p>
      <w:pPr>
        <w:pStyle w:val="112"/>
        <w:ind w:firstLine="480"/>
      </w:pPr>
      <w:r>
        <w:rPr>
          <w:rFonts w:hint="eastAsia"/>
        </w:rPr>
        <w:t>2）井型：水平井；</w:t>
      </w:r>
    </w:p>
    <w:p>
      <w:pPr>
        <w:pStyle w:val="112"/>
        <w:ind w:firstLine="480"/>
      </w:pPr>
      <w:r>
        <w:rPr>
          <w:rFonts w:hint="eastAsia"/>
        </w:rPr>
        <w:t>3）地质构造：</w:t>
      </w:r>
      <w:r>
        <w:rPr>
          <w:rFonts w:hint="eastAsia"/>
          <w:bCs/>
        </w:rPr>
        <w:t>四川盆地川东断褶带毛坝构造</w:t>
      </w:r>
      <w:r>
        <w:rPr>
          <w:rFonts w:hint="eastAsia"/>
        </w:rPr>
        <w:t>；</w:t>
      </w:r>
    </w:p>
    <w:p>
      <w:pPr>
        <w:pStyle w:val="112"/>
        <w:ind w:firstLine="480"/>
      </w:pPr>
      <w:r>
        <w:rPr>
          <w:rFonts w:hint="eastAsia"/>
        </w:rPr>
        <w:t>4）设计井深：新钻井1口，目的层为千佛崖组，设计井深5552米，井型为水平井，水平段长1851米，造斜点2730米。采用三开井身结构：一开选用φ406.4毫米钻头钻至井深351米，下φ339.7毫米套管；二开选用φ311.2毫米钻头钻至井深3088米，下入φ244.5毫米套管；三开采用旋转导向，φ215.9毫米钻头钻至完钻井深，下入139.7毫米套管。自造斜段至井底采用随钻导向系列的自然伽马和井斜方位测井。</w:t>
      </w:r>
    </w:p>
    <w:p>
      <w:pPr>
        <w:pStyle w:val="112"/>
        <w:ind w:firstLine="480"/>
      </w:pPr>
      <w:r>
        <w:rPr>
          <w:rFonts w:hint="eastAsia"/>
        </w:rPr>
        <w:t>5）目的层：千佛崖组；</w:t>
      </w:r>
    </w:p>
    <w:p>
      <w:pPr>
        <w:pStyle w:val="112"/>
        <w:ind w:firstLine="480"/>
      </w:pPr>
      <w:r>
        <w:rPr>
          <w:rFonts w:hint="eastAsia"/>
        </w:rPr>
        <w:t>6）完钻层位：千佛崖组；</w:t>
      </w:r>
    </w:p>
    <w:p>
      <w:pPr>
        <w:pStyle w:val="112"/>
        <w:ind w:firstLine="480"/>
      </w:pPr>
      <w:r>
        <w:rPr>
          <w:rFonts w:hint="eastAsia"/>
        </w:rPr>
        <w:t>7）</w:t>
      </w:r>
      <w:bookmarkStart w:id="137" w:name="OLE_LINK137"/>
      <w:r>
        <w:rPr>
          <w:rFonts w:hint="eastAsia"/>
        </w:rPr>
        <w:t>钻井周期：施工周期155天，其中钻前工程50d，钻井工程45d，完井工程60d</w:t>
      </w:r>
      <w:bookmarkEnd w:id="137"/>
      <w:r>
        <w:rPr>
          <w:rFonts w:hint="eastAsia"/>
        </w:rPr>
        <w:t>。</w:t>
      </w:r>
    </w:p>
    <w:p>
      <w:pPr>
        <w:pStyle w:val="112"/>
        <w:ind w:firstLine="482"/>
        <w:rPr>
          <w:b/>
        </w:rPr>
      </w:pPr>
      <w:r>
        <w:rPr>
          <w:rFonts w:hint="eastAsia"/>
          <w:b/>
        </w:rPr>
        <w:t>（2）井身结构</w:t>
      </w:r>
    </w:p>
    <w:p>
      <w:pPr>
        <w:pStyle w:val="112"/>
        <w:ind w:firstLine="480"/>
      </w:pPr>
    </w:p>
    <w:p>
      <w:pPr>
        <w:pStyle w:val="112"/>
        <w:ind w:firstLine="480"/>
        <w:jc w:val="center"/>
      </w:pPr>
      <w:r>
        <w:pict>
          <v:shape id="Text Box 2430" o:spid="_x0000_s1168" o:spt="202" type="#_x0000_t202" style="position:absolute;left:0pt;margin-left:210.05pt;margin-top:15.4pt;height:346.95pt;width:189.45pt;z-index:251666432;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">
            <v:path/>
            <v:fill focussize="0,0"/>
            <v:stroke color="#FFFFFF" joinstyle="miter"/>
            <v:imagedata o:title=""/>
            <o:lock v:ext="edit"/>
            <v:textbox>
              <w:txbxContent>
                <w:p>
                  <w:pPr>
                    <w:spacing w:line="264" w:lineRule="auto"/>
                    <w:ind w:firstLine="480"/>
                  </w:pPr>
                  <w:r>
                    <w:rPr>
                      <w:rFonts w:hint="eastAsia"/>
                    </w:rPr>
                    <w:t>一开</w:t>
                  </w:r>
                  <w:r>
                    <w:t>：</w:t>
                  </w:r>
                </w:p>
                <w:p>
                  <w:pPr>
                    <w:spacing w:line="264" w:lineRule="auto"/>
                    <w:ind w:firstLine="480"/>
                  </w:pPr>
                  <w:r>
                    <w:t>井眼直径(mm):</w:t>
                  </w:r>
                  <w:r>
                    <w:rPr>
                      <w:rFonts w:hint="eastAsia"/>
                    </w:rPr>
                    <w:t>406.4</w:t>
                  </w:r>
                </w:p>
                <w:p>
                  <w:pPr>
                    <w:spacing w:line="264" w:lineRule="auto"/>
                    <w:ind w:firstLine="480"/>
                  </w:pPr>
                  <w:r>
                    <w:t>所钻深度(m):351</w:t>
                  </w:r>
                </w:p>
                <w:p>
                  <w:pPr>
                    <w:spacing w:line="264" w:lineRule="auto"/>
                    <w:ind w:firstLine="480"/>
                  </w:pPr>
                  <w:r>
                    <w:t>套管外径(mm):</w:t>
                  </w:r>
                  <w:r>
                    <w:rPr>
                      <w:rFonts w:hint="eastAsia"/>
                    </w:rPr>
                    <w:t>339.7</w:t>
                  </w:r>
                </w:p>
                <w:p>
                  <w:pPr>
                    <w:spacing w:line="264" w:lineRule="auto"/>
                    <w:ind w:firstLine="480"/>
                  </w:pPr>
                  <w:r>
                    <w:t>套管下深(m):35</w:t>
                  </w:r>
                  <w:r>
                    <w:rPr>
                      <w:rFonts w:hint="eastAsia"/>
                    </w:rPr>
                    <w:t>0</w:t>
                  </w:r>
                </w:p>
                <w:p>
                  <w:pPr>
                    <w:spacing w:line="264" w:lineRule="auto"/>
                    <w:ind w:firstLine="480"/>
                  </w:pPr>
                  <w:r>
                    <w:t>水泥返高(m):地面</w:t>
                  </w:r>
                </w:p>
                <w:p>
                  <w:pPr>
                    <w:spacing w:line="264" w:lineRule="auto"/>
                    <w:ind w:firstLine="480"/>
                  </w:pPr>
                </w:p>
                <w:p>
                  <w:pPr>
                    <w:spacing w:line="264" w:lineRule="auto"/>
                    <w:ind w:firstLine="480"/>
                  </w:pPr>
                  <w:r>
                    <w:rPr>
                      <w:rFonts w:hint="eastAsia"/>
                    </w:rPr>
                    <w:t>二</w:t>
                  </w:r>
                  <w:r>
                    <w:t>开：</w:t>
                  </w:r>
                </w:p>
                <w:p>
                  <w:pPr>
                    <w:spacing w:line="264" w:lineRule="auto"/>
                    <w:ind w:firstLine="480"/>
                  </w:pPr>
                  <w:r>
                    <w:t>井眼直径(mm):</w:t>
                  </w:r>
                  <w:r>
                    <w:rPr>
                      <w:rFonts w:hint="eastAsia"/>
                    </w:rPr>
                    <w:t>311.2</w:t>
                  </w:r>
                </w:p>
                <w:p>
                  <w:pPr>
                    <w:spacing w:line="264" w:lineRule="auto"/>
                    <w:ind w:firstLine="480"/>
                  </w:pPr>
                  <w:r>
                    <w:t>所钻深度(m):3088</w:t>
                  </w:r>
                </w:p>
                <w:p>
                  <w:pPr>
                    <w:spacing w:line="264" w:lineRule="auto"/>
                    <w:ind w:firstLine="480"/>
                  </w:pPr>
                  <w:r>
                    <w:t>套管外径(mm):</w:t>
                  </w:r>
                  <w:r>
                    <w:rPr>
                      <w:rFonts w:hint="eastAsia"/>
                    </w:rPr>
                    <w:t>244.5</w:t>
                  </w:r>
                </w:p>
                <w:p>
                  <w:pPr>
                    <w:spacing w:line="264" w:lineRule="auto"/>
                    <w:ind w:firstLine="480"/>
                  </w:pPr>
                  <w:r>
                    <w:t>套管下深(m):3086</w:t>
                  </w:r>
                </w:p>
                <w:p>
                  <w:pPr>
                    <w:spacing w:line="264" w:lineRule="auto"/>
                    <w:ind w:firstLine="480"/>
                    <w:rPr>
                      <w:color w:val="000000"/>
                    </w:rPr>
                  </w:pPr>
                  <w:r>
                    <w:t>水泥返高(m):地面</w:t>
                  </w:r>
                </w:p>
                <w:p>
                  <w:pPr>
                    <w:spacing w:line="264" w:lineRule="auto"/>
                    <w:ind w:firstLine="480"/>
                    <w:rPr>
                      <w:color w:val="000000"/>
                    </w:rPr>
                  </w:pPr>
                </w:p>
                <w:p>
                  <w:pPr>
                    <w:spacing w:line="264" w:lineRule="auto"/>
                    <w:ind w:firstLine="480"/>
                    <w:rPr>
                      <w:color w:val="000000"/>
                    </w:rPr>
                  </w:pPr>
                </w:p>
                <w:p>
                  <w:pPr>
                    <w:spacing w:line="264" w:lineRule="auto"/>
                    <w:ind w:firstLine="480"/>
                  </w:pPr>
                  <w:r>
                    <w:rPr>
                      <w:rFonts w:hint="eastAsia"/>
                    </w:rPr>
                    <w:t>三</w:t>
                  </w:r>
                  <w:r>
                    <w:t>开：</w:t>
                  </w:r>
                </w:p>
                <w:p>
                  <w:pPr>
                    <w:spacing w:line="264" w:lineRule="auto"/>
                    <w:ind w:firstLine="480"/>
                  </w:pPr>
                  <w:r>
                    <w:t>井眼直径(mm):</w:t>
                  </w:r>
                  <w:r>
                    <w:rPr>
                      <w:rFonts w:hint="eastAsia"/>
                    </w:rPr>
                    <w:t>215.9</w:t>
                  </w:r>
                </w:p>
                <w:p>
                  <w:pPr>
                    <w:spacing w:line="264" w:lineRule="auto"/>
                    <w:ind w:firstLine="480"/>
                  </w:pPr>
                  <w:r>
                    <w:t>所钻深度(m):5552.39</w:t>
                  </w:r>
                </w:p>
                <w:p>
                  <w:pPr>
                    <w:spacing w:line="264" w:lineRule="auto"/>
                    <w:ind w:firstLine="480"/>
                  </w:pPr>
                  <w:r>
                    <w:t>套管外径(mm):</w:t>
                  </w:r>
                  <w:r>
                    <w:rPr>
                      <w:rFonts w:hint="eastAsia"/>
                    </w:rPr>
                    <w:t>139.7</w:t>
                  </w:r>
                </w:p>
                <w:p>
                  <w:pPr>
                    <w:spacing w:line="264" w:lineRule="auto"/>
                    <w:ind w:firstLine="480"/>
                    <w:rPr>
                      <w:color w:val="FF0000"/>
                    </w:rPr>
                  </w:pPr>
                  <w:r>
                    <w:t>套管下深(m):5549</w:t>
                  </w:r>
                </w:p>
                <w:p>
                  <w:pPr>
                    <w:spacing w:line="264" w:lineRule="auto"/>
                    <w:ind w:firstLine="480"/>
                    <w:rPr>
                      <w:rFonts w:cs="Times New Roman" w:asciiTheme="minorEastAsia" w:hAnsiTheme="minorEastAsia" w:eastAsiaTheme="minorEastAsia"/>
                    </w:rPr>
                  </w:pPr>
                  <w:r>
                    <w:t>水泥返高(m):2586</w:t>
                  </w:r>
                </w:p>
                <w:p>
                  <w:pPr>
                    <w:spacing w:line="264" w:lineRule="auto"/>
                    <w:ind w:firstLine="480"/>
                  </w:pPr>
                  <w:r>
                    <w:t>套管外径(mm):</w:t>
                  </w:r>
                  <w:r>
                    <w:rPr>
                      <w:rFonts w:hint="eastAsia"/>
                    </w:rPr>
                    <w:t>139.7</w:t>
                  </w:r>
                </w:p>
                <w:p>
                  <w:pPr>
                    <w:spacing w:line="264" w:lineRule="auto"/>
                    <w:ind w:firstLine="480"/>
                    <w:rPr>
                      <w:color w:val="FF0000"/>
                    </w:rPr>
                  </w:pPr>
                  <w:r>
                    <w:t>套管下深(m):5959</w:t>
                  </w:r>
                </w:p>
                <w:p>
                  <w:pPr>
                    <w:spacing w:line="264" w:lineRule="auto"/>
                    <w:ind w:firstLine="480"/>
                    <w:rPr>
                      <w:color w:val="000000"/>
                    </w:rPr>
                  </w:pPr>
                  <w:r>
                    <w:t>水泥返高(m):2380</w:t>
                  </w:r>
                </w:p>
              </w:txbxContent>
            </v:textbox>
          </v:shape>
        </w:pict>
      </w:r>
      <w:r>
        <w:rPr>
          <w:szCs w:val="21"/>
        </w:rPr>
        <w:drawing>
          <wp:inline distT="0" distB="0" distL="114300" distR="114300">
            <wp:extent cx="4587240" cy="5943600"/>
            <wp:effectExtent l="0" t="0" r="3810" b="0"/>
            <wp:docPr id="78" name="图片 78" descr="26a3a8b95eb815fafdc7cfa81365f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26a3a8b95eb815fafdc7cfa81365f311"/>
                    <pic:cNvPicPr>
                      <a:picLocks noChangeAspect="1"/>
                    </pic:cNvPicPr>
                  </pic:nvPicPr>
                  <pic:blipFill>
                    <a:blip r:embed="rId53"/>
                    <a:stretch>
                      <a:fillRect/>
                    </a:stretch>
                  </pic:blipFill>
                  <pic:spPr>
                    <a:xfrm>
                      <a:off x="0" y="0"/>
                      <a:ext cx="4587240" cy="5943600"/>
                    </a:xfrm>
                    <a:prstGeom prst="rect">
                      <a:avLst/>
                    </a:prstGeom>
                  </pic:spPr>
                </pic:pic>
              </a:graphicData>
            </a:graphic>
          </wp:inline>
        </w:drawing>
      </w:r>
    </w:p>
    <w:p>
      <w:pPr>
        <w:pStyle w:val="112"/>
        <w:ind w:firstLine="482"/>
        <w:jc w:val="center"/>
        <w:rPr>
          <w:b/>
        </w:rPr>
      </w:pPr>
      <w:r>
        <w:rPr>
          <w:rFonts w:hint="eastAsia"/>
          <w:b/>
        </w:rPr>
        <w:t>图3.4-1</w:t>
      </w:r>
      <w:r>
        <w:rPr>
          <w:b/>
        </w:rPr>
        <w:t xml:space="preserve">  </w:t>
      </w:r>
      <w:r>
        <w:rPr>
          <w:rFonts w:hint="eastAsia"/>
          <w:b/>
        </w:rPr>
        <w:t>井身结构图</w:t>
      </w:r>
    </w:p>
    <w:p>
      <w:pPr>
        <w:pStyle w:val="112"/>
        <w:ind w:firstLine="482"/>
        <w:rPr>
          <w:b/>
        </w:rPr>
      </w:pPr>
      <w:bookmarkStart w:id="138" w:name="OLE_LINK51"/>
      <w:bookmarkStart w:id="139" w:name="OLE_LINK52"/>
      <w:r>
        <w:rPr>
          <w:rFonts w:hint="eastAsia"/>
          <w:b/>
        </w:rPr>
        <w:t>3钻井技术选择</w:t>
      </w:r>
    </w:p>
    <w:p>
      <w:pPr>
        <w:pStyle w:val="112"/>
        <w:ind w:firstLine="480"/>
      </w:pPr>
      <w:r>
        <w:rPr>
          <w:rFonts w:hint="eastAsia"/>
        </w:rPr>
        <w:t>1）钻井</w:t>
      </w:r>
    </w:p>
    <w:bookmarkEnd w:id="138"/>
    <w:bookmarkEnd w:id="139"/>
    <w:p>
      <w:pPr>
        <w:pStyle w:val="112"/>
        <w:ind w:firstLine="480"/>
      </w:pPr>
      <w:r>
        <w:rPr>
          <w:rFonts w:hint="eastAsia"/>
        </w:rPr>
        <w:t>根据项目区域地质特点，采用气体钻井技术和常规钻井技术相结合的方式钻井，不同井段的钻井方式见</w:t>
      </w:r>
      <w:r>
        <w:t>表</w:t>
      </w:r>
      <w:r>
        <w:rPr>
          <w:rFonts w:hint="eastAsia"/>
        </w:rPr>
        <w:t>3.4-2。设备用电使用网电。</w:t>
      </w:r>
    </w:p>
    <w:p>
      <w:pPr>
        <w:topLinePunct w:val="0"/>
        <w:snapToGrid w:val="0"/>
        <w:spacing w:beforeLines="50"/>
        <w:ind w:firstLine="0" w:firstLineChars="0"/>
        <w:jc w:val="center"/>
        <w:rPr>
          <w:rFonts w:ascii="Times New Roman" w:cs="Times New Roman"/>
          <w:b/>
          <w:kern w:val="2"/>
          <w:sz w:val="21"/>
          <w:szCs w:val="20"/>
        </w:rPr>
      </w:pPr>
      <w:bookmarkStart w:id="140" w:name="_Ref495937680"/>
      <w:r>
        <w:rPr>
          <w:rFonts w:ascii="Times New Roman" w:cs="Times New Roman"/>
          <w:b/>
          <w:kern w:val="2"/>
          <w:sz w:val="21"/>
          <w:szCs w:val="20"/>
        </w:rPr>
        <w:t>表</w:t>
      </w:r>
      <w:bookmarkEnd w:id="140"/>
      <w:r>
        <w:rPr>
          <w:rFonts w:hint="eastAsia" w:ascii="Times New Roman" w:cs="Times New Roman"/>
          <w:b/>
          <w:kern w:val="2"/>
          <w:sz w:val="21"/>
          <w:szCs w:val="20"/>
        </w:rPr>
        <w:t>3.4-2</w:t>
      </w:r>
      <w:r>
        <w:rPr>
          <w:rFonts w:ascii="Times New Roman" w:cs="Times New Roman"/>
          <w:b/>
          <w:kern w:val="2"/>
          <w:sz w:val="21"/>
          <w:szCs w:val="20"/>
        </w:rPr>
        <w:t xml:space="preserve">  不同井段的钻井方式</w:t>
      </w:r>
    </w:p>
    <w:tbl>
      <w:tblPr>
        <w:tblStyle w:val="807"/>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951"/>
        <w:gridCol w:w="1417"/>
        <w:gridCol w:w="1284"/>
        <w:gridCol w:w="1221"/>
        <w:gridCol w:w="1100"/>
        <w:gridCol w:w="1090"/>
        <w:gridCol w:w="146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8"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lang w:val="zh-CN"/>
              </w:rPr>
            </w:pPr>
            <w:r>
              <w:rPr>
                <w:rFonts w:hint="eastAsia" w:ascii="Times New Roman" w:eastAsia="Times New Roman" w:cs="Times New Roman"/>
                <w:sz w:val="21"/>
                <w:szCs w:val="21"/>
                <w:lang w:val="zh-CN"/>
              </w:rPr>
              <w:t>开次</w:t>
            </w:r>
          </w:p>
        </w:tc>
        <w:tc>
          <w:tcPr>
            <w:tcW w:w="831"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rPr>
            </w:pPr>
            <w:r>
              <w:rPr>
                <w:rFonts w:hint="eastAsia" w:ascii="Times New Roman" w:eastAsia="Times New Roman" w:cs="Times New Roman"/>
                <w:sz w:val="21"/>
                <w:szCs w:val="21"/>
                <w:lang w:val="zh-CN"/>
              </w:rPr>
              <w:t>钻头尺寸</w:t>
            </w:r>
          </w:p>
          <w:p>
            <w:pPr>
              <w:topLinePunct w:val="0"/>
              <w:autoSpaceDE w:val="0"/>
              <w:autoSpaceDN w:val="0"/>
              <w:snapToGrid w:val="0"/>
              <w:spacing w:line="240" w:lineRule="auto"/>
              <w:ind w:firstLine="0" w:firstLineChars="0"/>
              <w:rPr>
                <w:rFonts w:ascii="Times New Roman" w:eastAsia="Times New Roman" w:cs="Times New Roman"/>
                <w:sz w:val="21"/>
                <w:szCs w:val="21"/>
                <w:lang w:val="zh-CN"/>
              </w:rPr>
            </w:pPr>
            <w:r>
              <w:rPr>
                <w:rFonts w:ascii="Times New Roman" w:eastAsia="Times New Roman" w:cs="Times New Roman"/>
                <w:sz w:val="21"/>
                <w:szCs w:val="21"/>
              </w:rPr>
              <w:t>(mm)</w:t>
            </w:r>
          </w:p>
        </w:tc>
        <w:tc>
          <w:tcPr>
            <w:tcW w:w="753"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rPr>
            </w:pPr>
            <w:r>
              <w:rPr>
                <w:rFonts w:hint="eastAsia" w:ascii="Times New Roman" w:eastAsia="Times New Roman" w:cs="Times New Roman"/>
                <w:sz w:val="21"/>
                <w:szCs w:val="21"/>
                <w:lang w:val="zh-CN"/>
              </w:rPr>
              <w:t>钻深</w:t>
            </w:r>
          </w:p>
          <w:p>
            <w:pPr>
              <w:topLinePunct w:val="0"/>
              <w:autoSpaceDE w:val="0"/>
              <w:autoSpaceDN w:val="0"/>
              <w:snapToGrid w:val="0"/>
              <w:spacing w:line="240" w:lineRule="auto"/>
              <w:ind w:firstLine="0" w:firstLineChars="0"/>
              <w:rPr>
                <w:rFonts w:ascii="Times New Roman" w:eastAsia="Times New Roman" w:cs="Times New Roman"/>
                <w:sz w:val="21"/>
                <w:szCs w:val="21"/>
                <w:lang w:val="zh-CN"/>
              </w:rPr>
            </w:pPr>
            <w:r>
              <w:rPr>
                <w:rFonts w:ascii="Times New Roman" w:eastAsia="Times New Roman" w:cs="Times New Roman"/>
                <w:sz w:val="21"/>
                <w:szCs w:val="21"/>
              </w:rPr>
              <w:t>(m)</w:t>
            </w:r>
          </w:p>
        </w:tc>
        <w:tc>
          <w:tcPr>
            <w:tcW w:w="716"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rPr>
            </w:pPr>
            <w:r>
              <w:rPr>
                <w:rFonts w:hint="eastAsia" w:ascii="Times New Roman" w:eastAsia="Times New Roman" w:cs="Times New Roman"/>
                <w:sz w:val="21"/>
                <w:szCs w:val="21"/>
                <w:lang w:val="zh-CN"/>
              </w:rPr>
              <w:t>套管尺寸</w:t>
            </w:r>
          </w:p>
          <w:p>
            <w:pPr>
              <w:topLinePunct w:val="0"/>
              <w:autoSpaceDE w:val="0"/>
              <w:autoSpaceDN w:val="0"/>
              <w:snapToGrid w:val="0"/>
              <w:spacing w:line="240" w:lineRule="auto"/>
              <w:ind w:firstLine="0" w:firstLineChars="0"/>
              <w:rPr>
                <w:rFonts w:ascii="Times New Roman" w:eastAsia="Times New Roman" w:cs="Times New Roman"/>
                <w:sz w:val="21"/>
                <w:szCs w:val="21"/>
                <w:lang w:val="zh-CN"/>
              </w:rPr>
            </w:pPr>
            <w:r>
              <w:rPr>
                <w:rFonts w:ascii="Times New Roman" w:eastAsia="Times New Roman" w:cs="Times New Roman"/>
                <w:sz w:val="21"/>
                <w:szCs w:val="21"/>
              </w:rPr>
              <w:t>(mm)</w:t>
            </w:r>
          </w:p>
        </w:tc>
        <w:tc>
          <w:tcPr>
            <w:tcW w:w="645"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rPr>
            </w:pPr>
            <w:r>
              <w:rPr>
                <w:rFonts w:hint="eastAsia" w:ascii="Times New Roman" w:eastAsia="Times New Roman" w:cs="Times New Roman"/>
                <w:sz w:val="21"/>
                <w:szCs w:val="21"/>
                <w:lang w:val="zh-CN"/>
              </w:rPr>
              <w:t>套管下深</w:t>
            </w:r>
          </w:p>
          <w:p>
            <w:pPr>
              <w:topLinePunct w:val="0"/>
              <w:autoSpaceDE w:val="0"/>
              <w:autoSpaceDN w:val="0"/>
              <w:snapToGrid w:val="0"/>
              <w:spacing w:line="240" w:lineRule="auto"/>
              <w:ind w:firstLine="0" w:firstLineChars="0"/>
              <w:rPr>
                <w:rFonts w:ascii="Times New Roman" w:eastAsia="Times New Roman" w:cs="Times New Roman"/>
                <w:sz w:val="21"/>
                <w:szCs w:val="21"/>
                <w:lang w:val="zh-CN"/>
              </w:rPr>
            </w:pPr>
            <w:r>
              <w:rPr>
                <w:rFonts w:ascii="Times New Roman" w:eastAsia="Times New Roman" w:cs="Times New Roman"/>
                <w:sz w:val="21"/>
                <w:szCs w:val="21"/>
              </w:rPr>
              <w:t>(m)</w:t>
            </w:r>
          </w:p>
        </w:tc>
        <w:tc>
          <w:tcPr>
            <w:tcW w:w="639"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rPr>
            </w:pPr>
            <w:r>
              <w:rPr>
                <w:rFonts w:hint="eastAsia" w:ascii="Times New Roman" w:eastAsia="Times New Roman" w:cs="Times New Roman"/>
                <w:sz w:val="21"/>
                <w:szCs w:val="21"/>
                <w:lang w:val="zh-CN"/>
              </w:rPr>
              <w:t>水泥返高</w:t>
            </w:r>
          </w:p>
          <w:p>
            <w:pPr>
              <w:topLinePunct w:val="0"/>
              <w:autoSpaceDE w:val="0"/>
              <w:autoSpaceDN w:val="0"/>
              <w:snapToGrid w:val="0"/>
              <w:spacing w:line="240" w:lineRule="auto"/>
              <w:ind w:firstLine="0" w:firstLineChars="0"/>
              <w:rPr>
                <w:rFonts w:ascii="Times New Roman" w:eastAsia="Times New Roman" w:cs="Times New Roman"/>
                <w:sz w:val="21"/>
                <w:szCs w:val="21"/>
                <w:lang w:val="zh-CN"/>
              </w:rPr>
            </w:pPr>
            <w:r>
              <w:rPr>
                <w:rFonts w:ascii="Times New Roman" w:eastAsia="Times New Roman" w:cs="Times New Roman"/>
                <w:sz w:val="21"/>
                <w:szCs w:val="21"/>
              </w:rPr>
              <w:t>(m)</w:t>
            </w:r>
          </w:p>
        </w:tc>
        <w:tc>
          <w:tcPr>
            <w:tcW w:w="858"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lang w:val="zh-CN"/>
              </w:rPr>
            </w:pPr>
            <w:r>
              <w:rPr>
                <w:rFonts w:hint="eastAsia" w:ascii="Times New Roman" w:eastAsia="Times New Roman" w:cs="Times New Roman"/>
                <w:sz w:val="21"/>
                <w:szCs w:val="21"/>
                <w:lang w:val="zh-CN"/>
              </w:rPr>
              <w:t>钻井方式</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8"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lang w:val="zh-CN"/>
              </w:rPr>
            </w:pPr>
            <w:r>
              <w:rPr>
                <w:rFonts w:hint="eastAsia" w:hAnsi="宋体" w:eastAsia="Times New Roman"/>
                <w:sz w:val="21"/>
                <w:szCs w:val="21"/>
              </w:rPr>
              <w:t>一开</w:t>
            </w:r>
          </w:p>
        </w:tc>
        <w:tc>
          <w:tcPr>
            <w:tcW w:w="831"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lang w:val="zh-CN"/>
              </w:rPr>
            </w:pPr>
            <w:r>
              <w:rPr>
                <w:rFonts w:ascii="Times New Roman" w:eastAsia="Times New Roman" w:cs="Times New Roman"/>
                <w:sz w:val="21"/>
                <w:szCs w:val="21"/>
              </w:rPr>
              <w:t>406.4</w:t>
            </w:r>
          </w:p>
        </w:tc>
        <w:tc>
          <w:tcPr>
            <w:tcW w:w="753"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rPr>
            </w:pPr>
            <w:r>
              <w:rPr>
                <w:rFonts w:ascii="Times New Roman" w:eastAsia="Times New Roman" w:cs="Times New Roman"/>
                <w:sz w:val="21"/>
                <w:szCs w:val="21"/>
              </w:rPr>
              <w:t>351</w:t>
            </w:r>
          </w:p>
        </w:tc>
        <w:tc>
          <w:tcPr>
            <w:tcW w:w="716"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lang w:val="zh-CN"/>
              </w:rPr>
            </w:pPr>
            <w:r>
              <w:rPr>
                <w:rFonts w:ascii="Times New Roman" w:eastAsia="Times New Roman" w:cs="Times New Roman"/>
                <w:sz w:val="21"/>
                <w:szCs w:val="21"/>
              </w:rPr>
              <w:t>339.7</w:t>
            </w:r>
          </w:p>
        </w:tc>
        <w:tc>
          <w:tcPr>
            <w:tcW w:w="645"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rPr>
            </w:pPr>
            <w:r>
              <w:rPr>
                <w:rFonts w:ascii="Times New Roman" w:eastAsia="Times New Roman" w:cs="Times New Roman"/>
                <w:sz w:val="21"/>
                <w:szCs w:val="21"/>
              </w:rPr>
              <w:t>0</w:t>
            </w:r>
            <w:r>
              <w:rPr>
                <w:rFonts w:hint="eastAsia" w:hAnsi="宋体" w:eastAsia="Times New Roman"/>
                <w:sz w:val="21"/>
                <w:szCs w:val="21"/>
                <w:lang w:val="zh-CN"/>
              </w:rPr>
              <w:t>～</w:t>
            </w:r>
            <w:r>
              <w:rPr>
                <w:rFonts w:ascii="Times New Roman" w:eastAsia="Times New Roman" w:cs="Times New Roman"/>
                <w:sz w:val="21"/>
                <w:szCs w:val="21"/>
              </w:rPr>
              <w:t>350</w:t>
            </w:r>
          </w:p>
        </w:tc>
        <w:tc>
          <w:tcPr>
            <w:tcW w:w="639"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lang w:val="zh-CN"/>
              </w:rPr>
            </w:pPr>
            <w:r>
              <w:rPr>
                <w:rFonts w:hint="eastAsia" w:hAnsi="宋体" w:eastAsia="Times New Roman"/>
                <w:sz w:val="21"/>
                <w:szCs w:val="21"/>
                <w:lang w:val="zh-CN"/>
              </w:rPr>
              <w:t>地面</w:t>
            </w:r>
          </w:p>
        </w:tc>
        <w:tc>
          <w:tcPr>
            <w:tcW w:w="858"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8"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lang w:val="zh-CN"/>
              </w:rPr>
            </w:pPr>
            <w:r>
              <w:rPr>
                <w:rFonts w:hint="eastAsia" w:hAnsi="宋体" w:eastAsia="Times New Roman"/>
                <w:sz w:val="21"/>
                <w:szCs w:val="21"/>
              </w:rPr>
              <w:t>二</w:t>
            </w:r>
            <w:r>
              <w:rPr>
                <w:rFonts w:hint="eastAsia" w:hAnsi="宋体" w:eastAsia="Times New Roman"/>
                <w:sz w:val="21"/>
                <w:szCs w:val="21"/>
                <w:lang w:val="zh-CN"/>
              </w:rPr>
              <w:t>开</w:t>
            </w:r>
          </w:p>
        </w:tc>
        <w:tc>
          <w:tcPr>
            <w:tcW w:w="831"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lang w:val="zh-CN"/>
              </w:rPr>
            </w:pPr>
            <w:r>
              <w:rPr>
                <w:rFonts w:ascii="Times New Roman" w:eastAsia="Times New Roman" w:cs="Times New Roman"/>
                <w:sz w:val="21"/>
                <w:szCs w:val="21"/>
              </w:rPr>
              <w:t>311.2</w:t>
            </w:r>
          </w:p>
        </w:tc>
        <w:tc>
          <w:tcPr>
            <w:tcW w:w="753"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rPr>
            </w:pPr>
            <w:r>
              <w:rPr>
                <w:rFonts w:ascii="Times New Roman" w:eastAsia="Times New Roman" w:cs="Times New Roman"/>
                <w:sz w:val="21"/>
                <w:szCs w:val="21"/>
              </w:rPr>
              <w:t>3088</w:t>
            </w:r>
          </w:p>
        </w:tc>
        <w:tc>
          <w:tcPr>
            <w:tcW w:w="716"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lang w:val="zh-CN"/>
              </w:rPr>
            </w:pPr>
            <w:r>
              <w:rPr>
                <w:rFonts w:ascii="Times New Roman" w:eastAsia="Times New Roman" w:cs="Times New Roman"/>
                <w:sz w:val="21"/>
                <w:szCs w:val="21"/>
              </w:rPr>
              <w:t>244.5</w:t>
            </w:r>
          </w:p>
        </w:tc>
        <w:tc>
          <w:tcPr>
            <w:tcW w:w="645"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rPr>
            </w:pPr>
            <w:r>
              <w:rPr>
                <w:rFonts w:ascii="Times New Roman" w:eastAsia="Times New Roman" w:cs="Times New Roman"/>
                <w:sz w:val="21"/>
                <w:szCs w:val="21"/>
              </w:rPr>
              <w:t>0</w:t>
            </w:r>
            <w:r>
              <w:rPr>
                <w:rFonts w:hint="eastAsia" w:hAnsi="宋体" w:eastAsia="Times New Roman"/>
                <w:sz w:val="21"/>
                <w:szCs w:val="21"/>
                <w:lang w:val="zh-CN"/>
              </w:rPr>
              <w:t>～</w:t>
            </w:r>
            <w:r>
              <w:rPr>
                <w:rFonts w:ascii="Times New Roman" w:eastAsia="Times New Roman" w:cs="Times New Roman"/>
                <w:sz w:val="21"/>
                <w:szCs w:val="21"/>
              </w:rPr>
              <w:t>3086</w:t>
            </w:r>
          </w:p>
        </w:tc>
        <w:tc>
          <w:tcPr>
            <w:tcW w:w="639"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lang w:val="zh-CN"/>
              </w:rPr>
            </w:pPr>
            <w:r>
              <w:rPr>
                <w:rFonts w:hint="eastAsia" w:hAnsi="宋体" w:eastAsia="Times New Roman"/>
                <w:sz w:val="21"/>
                <w:szCs w:val="21"/>
                <w:lang w:val="zh-CN"/>
              </w:rPr>
              <w:t>地面</w:t>
            </w:r>
          </w:p>
        </w:tc>
        <w:tc>
          <w:tcPr>
            <w:tcW w:w="858"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558"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lang w:val="zh-CN"/>
              </w:rPr>
            </w:pPr>
            <w:r>
              <w:rPr>
                <w:rFonts w:hint="eastAsia" w:ascii="Times New Roman" w:eastAsia="Times New Roman" w:cs="Times New Roman"/>
                <w:sz w:val="21"/>
                <w:szCs w:val="21"/>
              </w:rPr>
              <w:t>三</w:t>
            </w:r>
            <w:r>
              <w:rPr>
                <w:rFonts w:hint="eastAsia" w:hAnsi="宋体" w:eastAsia="Times New Roman"/>
                <w:sz w:val="21"/>
                <w:szCs w:val="21"/>
                <w:lang w:val="zh-CN"/>
              </w:rPr>
              <w:t>开</w:t>
            </w:r>
          </w:p>
        </w:tc>
        <w:tc>
          <w:tcPr>
            <w:tcW w:w="831"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lang w:val="zh-CN"/>
              </w:rPr>
            </w:pPr>
            <w:r>
              <w:rPr>
                <w:rFonts w:ascii="Times New Roman" w:eastAsia="Times New Roman" w:cs="Times New Roman"/>
                <w:sz w:val="21"/>
                <w:szCs w:val="21"/>
              </w:rPr>
              <w:t>215.9</w:t>
            </w:r>
          </w:p>
        </w:tc>
        <w:tc>
          <w:tcPr>
            <w:tcW w:w="753"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rPr>
            </w:pPr>
            <w:r>
              <w:rPr>
                <w:rFonts w:ascii="Times New Roman" w:eastAsia="Times New Roman" w:cs="Times New Roman"/>
                <w:sz w:val="21"/>
                <w:szCs w:val="21"/>
              </w:rPr>
              <w:t>5552.39</w:t>
            </w:r>
          </w:p>
        </w:tc>
        <w:tc>
          <w:tcPr>
            <w:tcW w:w="716"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lang w:val="zh-CN"/>
              </w:rPr>
            </w:pPr>
            <w:r>
              <w:rPr>
                <w:rFonts w:ascii="Times New Roman" w:eastAsia="Times New Roman" w:cs="Times New Roman"/>
                <w:sz w:val="21"/>
                <w:szCs w:val="21"/>
              </w:rPr>
              <w:t>139.7</w:t>
            </w:r>
          </w:p>
        </w:tc>
        <w:tc>
          <w:tcPr>
            <w:tcW w:w="645"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rPr>
            </w:pPr>
            <w:r>
              <w:rPr>
                <w:rFonts w:ascii="Times New Roman" w:eastAsia="Times New Roman" w:cs="Times New Roman"/>
                <w:sz w:val="21"/>
                <w:szCs w:val="21"/>
              </w:rPr>
              <w:t>0</w:t>
            </w:r>
            <w:r>
              <w:rPr>
                <w:rFonts w:hint="eastAsia" w:hAnsi="宋体" w:eastAsia="Times New Roman"/>
                <w:sz w:val="21"/>
                <w:szCs w:val="21"/>
                <w:lang w:val="zh-CN"/>
              </w:rPr>
              <w:t>～</w:t>
            </w:r>
            <w:r>
              <w:rPr>
                <w:rFonts w:ascii="Times New Roman" w:eastAsia="Times New Roman" w:cs="Times New Roman"/>
                <w:sz w:val="21"/>
                <w:szCs w:val="21"/>
              </w:rPr>
              <w:t>5549</w:t>
            </w:r>
          </w:p>
        </w:tc>
        <w:tc>
          <w:tcPr>
            <w:tcW w:w="639" w:type="pct"/>
            <w:vAlign w:val="center"/>
          </w:tcPr>
          <w:p>
            <w:pPr>
              <w:topLinePunct w:val="0"/>
              <w:autoSpaceDE w:val="0"/>
              <w:autoSpaceDN w:val="0"/>
              <w:snapToGrid w:val="0"/>
              <w:spacing w:line="240" w:lineRule="auto"/>
              <w:ind w:firstLine="0" w:firstLineChars="0"/>
              <w:rPr>
                <w:rFonts w:ascii="Times New Roman" w:eastAsia="Times New Roman" w:cs="Times New Roman"/>
                <w:sz w:val="21"/>
                <w:szCs w:val="21"/>
              </w:rPr>
            </w:pPr>
            <w:r>
              <w:rPr>
                <w:rFonts w:ascii="Times New Roman" w:eastAsia="Times New Roman" w:cs="Times New Roman"/>
                <w:sz w:val="21"/>
                <w:szCs w:val="21"/>
              </w:rPr>
              <w:t>2586</w:t>
            </w:r>
          </w:p>
        </w:tc>
        <w:tc>
          <w:tcPr>
            <w:tcW w:w="858" w:type="pct"/>
            <w:vAlign w:val="center"/>
          </w:tcPr>
          <w:p>
            <w:pPr>
              <w:topLinePunct w:val="0"/>
              <w:autoSpaceDE w:val="0"/>
              <w:autoSpaceDN w:val="0"/>
              <w:snapToGrid w:val="0"/>
              <w:spacing w:line="240" w:lineRule="auto"/>
              <w:ind w:firstLine="0" w:firstLineChars="0"/>
              <w:rPr>
                <w:rFonts w:hAnsi="宋体" w:eastAsia="Times New Roman"/>
                <w:sz w:val="21"/>
                <w:szCs w:val="21"/>
                <w:lang w:val="zh-CN"/>
              </w:rPr>
            </w:pPr>
            <w:r>
              <w:rPr>
                <w:rFonts w:hint="eastAsia" w:hAnsi="宋体" w:eastAsia="Times New Roman"/>
                <w:sz w:val="21"/>
                <w:szCs w:val="21"/>
                <w:lang w:val="zh-CN"/>
              </w:rPr>
              <w:t>旋转导向</w:t>
            </w:r>
            <w:r>
              <w:rPr>
                <w:rFonts w:hint="eastAsia" w:ascii="Times New Roman" w:eastAsia="Times New Roman" w:cs="Times New Roman"/>
                <w:sz w:val="21"/>
                <w:szCs w:val="21"/>
                <w:lang w:val="zh-CN"/>
              </w:rPr>
              <w:t>简易控压</w:t>
            </w:r>
          </w:p>
        </w:tc>
      </w:tr>
    </w:tbl>
    <w:p>
      <w:pPr>
        <w:pStyle w:val="112"/>
        <w:ind w:firstLine="0" w:firstLineChars="0"/>
        <w:rPr>
          <w:sz w:val="21"/>
          <w:szCs w:val="21"/>
        </w:rPr>
      </w:pPr>
      <w:r>
        <w:rPr>
          <w:rFonts w:hint="eastAsia"/>
          <w:sz w:val="21"/>
          <w:szCs w:val="21"/>
        </w:rPr>
        <w:t>注：气体钻井根据不同情况使用的是空气或者氮气。</w:t>
      </w:r>
    </w:p>
    <w:p>
      <w:pPr>
        <w:pStyle w:val="112"/>
        <w:ind w:firstLine="480"/>
      </w:pPr>
      <w:r>
        <w:rPr>
          <w:rFonts w:hint="eastAsia"/>
        </w:rPr>
        <w:t>普陆4-1H井井身结构数据见表3.4-3。</w:t>
      </w:r>
    </w:p>
    <w:p>
      <w:pPr>
        <w:topLinePunct w:val="0"/>
        <w:snapToGrid w:val="0"/>
        <w:spacing w:beforeLines="50"/>
        <w:ind w:firstLine="0" w:firstLineChars="0"/>
        <w:jc w:val="center"/>
        <w:rPr>
          <w:rFonts w:ascii="Times New Roman" w:cs="Times New Roman"/>
          <w:b/>
          <w:kern w:val="2"/>
          <w:sz w:val="21"/>
          <w:szCs w:val="20"/>
        </w:rPr>
      </w:pPr>
      <w:r>
        <w:rPr>
          <w:rFonts w:ascii="Times New Roman" w:cs="Times New Roman"/>
          <w:b/>
          <w:kern w:val="2"/>
          <w:sz w:val="21"/>
          <w:szCs w:val="20"/>
        </w:rPr>
        <w:t>表</w:t>
      </w:r>
      <w:r>
        <w:rPr>
          <w:rFonts w:hint="eastAsia" w:ascii="Times New Roman" w:cs="Times New Roman"/>
          <w:b/>
          <w:kern w:val="2"/>
          <w:sz w:val="21"/>
          <w:szCs w:val="20"/>
        </w:rPr>
        <w:t>3.4-3</w:t>
      </w:r>
      <w:r>
        <w:rPr>
          <w:rFonts w:ascii="Times New Roman" w:cs="Times New Roman"/>
          <w:b/>
          <w:kern w:val="2"/>
          <w:sz w:val="21"/>
          <w:szCs w:val="20"/>
        </w:rPr>
        <w:t xml:space="preserve">  </w:t>
      </w:r>
      <w:r>
        <w:rPr>
          <w:rFonts w:hint="eastAsia" w:ascii="Times New Roman" w:cs="Times New Roman"/>
          <w:b/>
          <w:kern w:val="2"/>
          <w:sz w:val="21"/>
          <w:szCs w:val="20"/>
        </w:rPr>
        <w:t>井身结构设计数据表</w:t>
      </w:r>
    </w:p>
    <w:tbl>
      <w:tblPr>
        <w:tblStyle w:val="57"/>
        <w:tblW w:w="895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58"/>
        <w:gridCol w:w="1042"/>
        <w:gridCol w:w="1042"/>
        <w:gridCol w:w="893"/>
        <w:gridCol w:w="895"/>
        <w:gridCol w:w="892"/>
        <w:gridCol w:w="893"/>
        <w:gridCol w:w="174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558" w:type="dxa"/>
            <w:shd w:val="clear" w:color="000000" w:fill="FFFFFF"/>
            <w:vAlign w:val="center"/>
          </w:tcPr>
          <w:p>
            <w:pPr>
              <w:topLinePunct w:val="0"/>
              <w:autoSpaceDE w:val="0"/>
              <w:autoSpaceDN w:val="0"/>
              <w:spacing w:line="240" w:lineRule="auto"/>
              <w:ind w:firstLine="0" w:firstLineChars="0"/>
              <w:jc w:val="center"/>
              <w:rPr>
                <w:sz w:val="22"/>
                <w:szCs w:val="22"/>
                <w:lang w:val="zh-CN"/>
              </w:rPr>
            </w:pPr>
            <w:r>
              <w:rPr>
                <w:rFonts w:hint="eastAsia"/>
                <w:sz w:val="21"/>
                <w:szCs w:val="21"/>
                <w:lang w:val="zh-CN"/>
              </w:rPr>
              <w:t>井号</w:t>
            </w:r>
          </w:p>
        </w:tc>
        <w:tc>
          <w:tcPr>
            <w:tcW w:w="1042" w:type="dxa"/>
            <w:shd w:val="clear" w:color="000000" w:fill="FFFFFF"/>
            <w:vAlign w:val="center"/>
          </w:tcPr>
          <w:p>
            <w:pPr>
              <w:topLinePunct w:val="0"/>
              <w:autoSpaceDE w:val="0"/>
              <w:autoSpaceDN w:val="0"/>
              <w:spacing w:line="240" w:lineRule="auto"/>
              <w:ind w:firstLine="0" w:firstLineChars="0"/>
              <w:jc w:val="center"/>
              <w:rPr>
                <w:sz w:val="22"/>
                <w:szCs w:val="22"/>
                <w:lang w:val="zh-CN"/>
              </w:rPr>
            </w:pPr>
            <w:r>
              <w:rPr>
                <w:rFonts w:hint="eastAsia"/>
                <w:sz w:val="21"/>
                <w:szCs w:val="21"/>
                <w:lang w:val="zh-CN"/>
              </w:rPr>
              <w:t>一开套管尺寸</w:t>
            </w:r>
            <w:r>
              <w:rPr>
                <w:rFonts w:ascii="Times New Roman" w:cs="Times New Roman"/>
                <w:sz w:val="21"/>
                <w:szCs w:val="21"/>
              </w:rPr>
              <w:t>mm</w:t>
            </w:r>
          </w:p>
        </w:tc>
        <w:tc>
          <w:tcPr>
            <w:tcW w:w="1042" w:type="dxa"/>
            <w:shd w:val="clear" w:color="000000" w:fill="FFFFFF"/>
            <w:vAlign w:val="center"/>
          </w:tcPr>
          <w:p>
            <w:pPr>
              <w:topLinePunct w:val="0"/>
              <w:autoSpaceDE w:val="0"/>
              <w:autoSpaceDN w:val="0"/>
              <w:spacing w:line="240" w:lineRule="auto"/>
              <w:ind w:firstLine="0" w:firstLineChars="0"/>
              <w:jc w:val="center"/>
              <w:rPr>
                <w:sz w:val="22"/>
                <w:szCs w:val="22"/>
                <w:lang w:val="zh-CN"/>
              </w:rPr>
            </w:pPr>
            <w:r>
              <w:rPr>
                <w:rFonts w:hint="eastAsia"/>
                <w:sz w:val="21"/>
                <w:szCs w:val="21"/>
                <w:lang w:val="zh-CN"/>
              </w:rPr>
              <w:t>表层下深</w:t>
            </w:r>
            <w:r>
              <w:rPr>
                <w:rFonts w:ascii="Times New Roman" w:cs="Times New Roman"/>
                <w:sz w:val="21"/>
                <w:szCs w:val="21"/>
              </w:rPr>
              <w:t>m</w:t>
            </w:r>
          </w:p>
        </w:tc>
        <w:tc>
          <w:tcPr>
            <w:tcW w:w="893" w:type="dxa"/>
            <w:shd w:val="clear" w:color="000000" w:fill="FFFFFF"/>
            <w:vAlign w:val="center"/>
          </w:tcPr>
          <w:p>
            <w:pPr>
              <w:topLinePunct w:val="0"/>
              <w:autoSpaceDE w:val="0"/>
              <w:autoSpaceDN w:val="0"/>
              <w:spacing w:line="240" w:lineRule="auto"/>
              <w:ind w:firstLine="0" w:firstLineChars="0"/>
              <w:jc w:val="center"/>
              <w:rPr>
                <w:sz w:val="22"/>
                <w:szCs w:val="22"/>
                <w:lang w:val="zh-CN"/>
              </w:rPr>
            </w:pPr>
            <w:r>
              <w:rPr>
                <w:rFonts w:hint="eastAsia"/>
                <w:sz w:val="21"/>
                <w:szCs w:val="21"/>
                <w:lang w:val="zh-CN"/>
              </w:rPr>
              <w:t>二开套管尺寸</w:t>
            </w:r>
            <w:r>
              <w:rPr>
                <w:rFonts w:ascii="Times New Roman" w:cs="Times New Roman"/>
                <w:sz w:val="21"/>
                <w:szCs w:val="21"/>
              </w:rPr>
              <w:t>mm</w:t>
            </w:r>
          </w:p>
        </w:tc>
        <w:tc>
          <w:tcPr>
            <w:tcW w:w="895" w:type="dxa"/>
            <w:shd w:val="clear" w:color="000000" w:fill="FFFFFF"/>
            <w:vAlign w:val="center"/>
          </w:tcPr>
          <w:p>
            <w:pPr>
              <w:topLinePunct w:val="0"/>
              <w:autoSpaceDE w:val="0"/>
              <w:autoSpaceDN w:val="0"/>
              <w:spacing w:line="240" w:lineRule="auto"/>
              <w:ind w:firstLine="0" w:firstLineChars="0"/>
              <w:jc w:val="center"/>
              <w:rPr>
                <w:sz w:val="22"/>
                <w:szCs w:val="22"/>
                <w:lang w:val="zh-CN"/>
              </w:rPr>
            </w:pPr>
            <w:r>
              <w:rPr>
                <w:rFonts w:hint="eastAsia"/>
                <w:sz w:val="21"/>
                <w:szCs w:val="21"/>
                <w:lang w:val="zh-CN"/>
              </w:rPr>
              <w:t>生产套管下深</w:t>
            </w:r>
            <w:r>
              <w:rPr>
                <w:rFonts w:ascii="Times New Roman" w:cs="Times New Roman"/>
                <w:sz w:val="21"/>
                <w:szCs w:val="21"/>
              </w:rPr>
              <w:t>m</w:t>
            </w:r>
          </w:p>
        </w:tc>
        <w:tc>
          <w:tcPr>
            <w:tcW w:w="892" w:type="dxa"/>
            <w:shd w:val="clear" w:color="000000" w:fill="FFFFFF"/>
            <w:vAlign w:val="center"/>
          </w:tcPr>
          <w:p>
            <w:pPr>
              <w:topLinePunct w:val="0"/>
              <w:autoSpaceDE w:val="0"/>
              <w:autoSpaceDN w:val="0"/>
              <w:spacing w:line="240" w:lineRule="auto"/>
              <w:ind w:firstLine="0" w:firstLineChars="0"/>
              <w:jc w:val="center"/>
              <w:rPr>
                <w:sz w:val="22"/>
                <w:szCs w:val="22"/>
                <w:lang w:val="zh-CN"/>
              </w:rPr>
            </w:pPr>
            <w:r>
              <w:rPr>
                <w:rFonts w:hint="eastAsia"/>
                <w:sz w:val="21"/>
                <w:szCs w:val="21"/>
                <w:lang w:val="zh-CN"/>
              </w:rPr>
              <w:t>三开套管尺寸</w:t>
            </w:r>
            <w:r>
              <w:rPr>
                <w:rFonts w:ascii="Times New Roman" w:cs="Times New Roman"/>
                <w:sz w:val="21"/>
                <w:szCs w:val="21"/>
              </w:rPr>
              <w:t>mm</w:t>
            </w:r>
          </w:p>
        </w:tc>
        <w:tc>
          <w:tcPr>
            <w:tcW w:w="893" w:type="dxa"/>
            <w:shd w:val="clear" w:color="000000" w:fill="FFFFFF"/>
            <w:vAlign w:val="center"/>
          </w:tcPr>
          <w:p>
            <w:pPr>
              <w:topLinePunct w:val="0"/>
              <w:autoSpaceDE w:val="0"/>
              <w:autoSpaceDN w:val="0"/>
              <w:spacing w:line="240" w:lineRule="auto"/>
              <w:ind w:firstLine="0" w:firstLineChars="0"/>
              <w:jc w:val="center"/>
              <w:rPr>
                <w:sz w:val="22"/>
                <w:szCs w:val="22"/>
                <w:lang w:val="zh-CN"/>
              </w:rPr>
            </w:pPr>
            <w:r>
              <w:rPr>
                <w:rFonts w:hint="eastAsia"/>
                <w:sz w:val="21"/>
                <w:szCs w:val="21"/>
                <w:lang w:val="zh-CN"/>
              </w:rPr>
              <w:t>生产套管下深</w:t>
            </w:r>
            <w:r>
              <w:rPr>
                <w:rFonts w:ascii="Times New Roman" w:cs="Times New Roman"/>
                <w:sz w:val="21"/>
                <w:szCs w:val="21"/>
              </w:rPr>
              <w:t>m</w:t>
            </w:r>
          </w:p>
        </w:tc>
        <w:tc>
          <w:tcPr>
            <w:tcW w:w="1744" w:type="dxa"/>
            <w:shd w:val="clear" w:color="000000" w:fill="FFFFFF"/>
            <w:vAlign w:val="center"/>
          </w:tcPr>
          <w:p>
            <w:pPr>
              <w:topLinePunct w:val="0"/>
              <w:autoSpaceDE w:val="0"/>
              <w:autoSpaceDN w:val="0"/>
              <w:spacing w:line="240" w:lineRule="auto"/>
              <w:ind w:firstLine="0" w:firstLineChars="0"/>
              <w:jc w:val="center"/>
              <w:rPr>
                <w:sz w:val="22"/>
                <w:szCs w:val="22"/>
                <w:lang w:val="zh-CN"/>
              </w:rPr>
            </w:pPr>
            <w:r>
              <w:rPr>
                <w:rFonts w:hint="eastAsia"/>
                <w:sz w:val="21"/>
                <w:szCs w:val="21"/>
                <w:lang w:val="zh-CN"/>
              </w:rPr>
              <w:t>水泥返高</w:t>
            </w:r>
            <w:r>
              <w:rPr>
                <w:rFonts w:ascii="Times New Roman" w:cs="Times New Roman"/>
                <w:sz w:val="21"/>
                <w:szCs w:val="21"/>
              </w:rPr>
              <w:t>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558" w:type="dxa"/>
            <w:shd w:val="clear" w:color="000000" w:fill="FFFFFF"/>
            <w:vAlign w:val="center"/>
          </w:tcPr>
          <w:p>
            <w:pPr>
              <w:topLinePunct w:val="0"/>
              <w:autoSpaceDE w:val="0"/>
              <w:autoSpaceDN w:val="0"/>
              <w:spacing w:line="240" w:lineRule="auto"/>
              <w:ind w:firstLine="0" w:firstLineChars="0"/>
              <w:jc w:val="center"/>
              <w:rPr>
                <w:rFonts w:ascii="Times New Roman" w:cs="Times New Roman"/>
                <w:sz w:val="22"/>
                <w:szCs w:val="22"/>
                <w:lang w:val="zh-CN"/>
              </w:rPr>
            </w:pPr>
            <w:r>
              <w:rPr>
                <w:rFonts w:ascii="Times New Roman" w:cs="Times New Roman"/>
                <w:sz w:val="22"/>
                <w:szCs w:val="22"/>
                <w:lang w:val="zh-CN"/>
              </w:rPr>
              <w:t>普陆4-1H井</w:t>
            </w:r>
          </w:p>
        </w:tc>
        <w:tc>
          <w:tcPr>
            <w:tcW w:w="1042" w:type="dxa"/>
            <w:shd w:val="clear" w:color="000000" w:fill="FFFFFF"/>
            <w:vAlign w:val="center"/>
          </w:tcPr>
          <w:p>
            <w:pPr>
              <w:topLinePunct w:val="0"/>
              <w:autoSpaceDE w:val="0"/>
              <w:autoSpaceDN w:val="0"/>
              <w:spacing w:line="240" w:lineRule="auto"/>
              <w:ind w:firstLine="0" w:firstLineChars="0"/>
              <w:jc w:val="center"/>
              <w:rPr>
                <w:rFonts w:ascii="Times New Roman" w:cs="Times New Roman"/>
                <w:sz w:val="22"/>
                <w:szCs w:val="22"/>
                <w:lang w:val="zh-CN"/>
              </w:rPr>
            </w:pPr>
            <w:r>
              <w:rPr>
                <w:rFonts w:ascii="Times New Roman" w:cs="Times New Roman"/>
                <w:sz w:val="22"/>
                <w:szCs w:val="22"/>
                <w:lang w:val="zh-CN"/>
              </w:rPr>
              <w:t>339.7</w:t>
            </w:r>
          </w:p>
        </w:tc>
        <w:tc>
          <w:tcPr>
            <w:tcW w:w="1042" w:type="dxa"/>
            <w:shd w:val="clear" w:color="000000" w:fill="FFFFFF"/>
            <w:vAlign w:val="center"/>
          </w:tcPr>
          <w:p>
            <w:pPr>
              <w:topLinePunct w:val="0"/>
              <w:autoSpaceDE w:val="0"/>
              <w:autoSpaceDN w:val="0"/>
              <w:spacing w:line="240" w:lineRule="auto"/>
              <w:ind w:firstLine="0" w:firstLineChars="0"/>
              <w:jc w:val="center"/>
              <w:rPr>
                <w:rFonts w:ascii="Times New Roman" w:cs="Times New Roman"/>
                <w:sz w:val="22"/>
                <w:szCs w:val="22"/>
                <w:lang w:val="zh-CN"/>
              </w:rPr>
            </w:pPr>
            <w:r>
              <w:rPr>
                <w:rFonts w:ascii="Times New Roman" w:cs="Times New Roman"/>
                <w:sz w:val="22"/>
                <w:szCs w:val="22"/>
                <w:lang w:val="zh-CN"/>
              </w:rPr>
              <w:t>350</w:t>
            </w:r>
          </w:p>
        </w:tc>
        <w:tc>
          <w:tcPr>
            <w:tcW w:w="893" w:type="dxa"/>
            <w:shd w:val="clear" w:color="000000" w:fill="FFFFFF"/>
            <w:vAlign w:val="center"/>
          </w:tcPr>
          <w:p>
            <w:pPr>
              <w:topLinePunct w:val="0"/>
              <w:autoSpaceDE w:val="0"/>
              <w:autoSpaceDN w:val="0"/>
              <w:spacing w:line="240" w:lineRule="auto"/>
              <w:ind w:firstLine="0" w:firstLineChars="0"/>
              <w:jc w:val="center"/>
              <w:rPr>
                <w:rFonts w:ascii="Times New Roman" w:cs="Times New Roman"/>
                <w:sz w:val="22"/>
                <w:szCs w:val="22"/>
                <w:lang w:val="zh-CN"/>
              </w:rPr>
            </w:pPr>
            <w:r>
              <w:rPr>
                <w:rFonts w:ascii="Times New Roman" w:eastAsia="Times New Roman" w:cs="Times New Roman"/>
                <w:sz w:val="21"/>
                <w:szCs w:val="21"/>
              </w:rPr>
              <w:t>244.5</w:t>
            </w:r>
          </w:p>
        </w:tc>
        <w:tc>
          <w:tcPr>
            <w:tcW w:w="895" w:type="dxa"/>
            <w:shd w:val="clear" w:color="000000" w:fill="FFFFFF"/>
            <w:vAlign w:val="center"/>
          </w:tcPr>
          <w:p>
            <w:pPr>
              <w:topLinePunct w:val="0"/>
              <w:autoSpaceDE w:val="0"/>
              <w:autoSpaceDN w:val="0"/>
              <w:spacing w:line="240" w:lineRule="auto"/>
              <w:ind w:firstLine="0" w:firstLineChars="0"/>
              <w:jc w:val="center"/>
              <w:rPr>
                <w:rFonts w:ascii="Times New Roman" w:cs="Times New Roman"/>
                <w:sz w:val="22"/>
                <w:szCs w:val="22"/>
                <w:lang w:val="zh-CN"/>
              </w:rPr>
            </w:pPr>
            <w:r>
              <w:rPr>
                <w:rFonts w:ascii="Times New Roman" w:eastAsia="Times New Roman" w:cs="Times New Roman"/>
                <w:sz w:val="21"/>
                <w:szCs w:val="21"/>
              </w:rPr>
              <w:t>3086</w:t>
            </w:r>
          </w:p>
        </w:tc>
        <w:tc>
          <w:tcPr>
            <w:tcW w:w="892" w:type="dxa"/>
            <w:shd w:val="clear" w:color="000000" w:fill="FFFFFF"/>
            <w:vAlign w:val="center"/>
          </w:tcPr>
          <w:p>
            <w:pPr>
              <w:topLinePunct w:val="0"/>
              <w:autoSpaceDE w:val="0"/>
              <w:autoSpaceDN w:val="0"/>
              <w:spacing w:line="240" w:lineRule="auto"/>
              <w:ind w:firstLine="0" w:firstLineChars="0"/>
              <w:jc w:val="center"/>
              <w:rPr>
                <w:rFonts w:ascii="Times New Roman" w:cs="Times New Roman"/>
                <w:sz w:val="22"/>
                <w:szCs w:val="22"/>
                <w:lang w:val="zh-CN"/>
              </w:rPr>
            </w:pPr>
            <w:r>
              <w:rPr>
                <w:rFonts w:ascii="Times New Roman" w:eastAsia="Times New Roman" w:cs="Times New Roman"/>
                <w:sz w:val="21"/>
                <w:szCs w:val="21"/>
              </w:rPr>
              <w:t>139.7</w:t>
            </w:r>
          </w:p>
        </w:tc>
        <w:tc>
          <w:tcPr>
            <w:tcW w:w="893" w:type="dxa"/>
            <w:shd w:val="clear" w:color="000000" w:fill="FFFFFF"/>
            <w:vAlign w:val="center"/>
          </w:tcPr>
          <w:p>
            <w:pPr>
              <w:topLinePunct w:val="0"/>
              <w:autoSpaceDE w:val="0"/>
              <w:autoSpaceDN w:val="0"/>
              <w:spacing w:line="240" w:lineRule="auto"/>
              <w:ind w:firstLine="0" w:firstLineChars="0"/>
              <w:jc w:val="center"/>
              <w:rPr>
                <w:sz w:val="22"/>
                <w:szCs w:val="22"/>
                <w:lang w:val="zh-CN"/>
              </w:rPr>
            </w:pPr>
            <w:r>
              <w:rPr>
                <w:rFonts w:ascii="Times New Roman" w:eastAsia="Times New Roman" w:cs="Times New Roman"/>
                <w:sz w:val="21"/>
                <w:szCs w:val="21"/>
              </w:rPr>
              <w:t>5549</w:t>
            </w:r>
          </w:p>
        </w:tc>
        <w:tc>
          <w:tcPr>
            <w:tcW w:w="1744" w:type="dxa"/>
            <w:shd w:val="clear" w:color="000000" w:fill="FFFFFF"/>
            <w:vAlign w:val="center"/>
          </w:tcPr>
          <w:p>
            <w:pPr>
              <w:topLinePunct w:val="0"/>
              <w:autoSpaceDE w:val="0"/>
              <w:autoSpaceDN w:val="0"/>
              <w:spacing w:line="240" w:lineRule="auto"/>
              <w:ind w:firstLine="0" w:firstLineChars="0"/>
              <w:jc w:val="center"/>
              <w:rPr>
                <w:sz w:val="22"/>
                <w:szCs w:val="22"/>
                <w:lang w:val="zh-CN"/>
              </w:rPr>
            </w:pPr>
            <w:r>
              <w:rPr>
                <w:rFonts w:ascii="Times New Roman" w:eastAsia="Times New Roman" w:cs="Times New Roman"/>
                <w:sz w:val="21"/>
                <w:szCs w:val="21"/>
              </w:rPr>
              <w:t>2586</w:t>
            </w:r>
          </w:p>
        </w:tc>
      </w:tr>
    </w:tbl>
    <w:p>
      <w:pPr>
        <w:pStyle w:val="112"/>
        <w:ind w:firstLine="480"/>
      </w:pPr>
      <w:r>
        <w:rPr>
          <w:rFonts w:hint="eastAsia"/>
        </w:rPr>
        <w:t>根据钻遇地层特点，普陆4-1H井选用不同的钻井液体系，井身按三开钻进，一开采用聚合物防塌钻井液体系钻进，二开采用聚合物封堵润滑防塌钻井液体系，三开采用润滑性好、防塌能力强的油基钻井液体系，本项目钻井液体系见表</w:t>
      </w:r>
      <w:bookmarkStart w:id="141" w:name="OLE_LINK57"/>
      <w:bookmarkStart w:id="142" w:name="OLE_LINK58"/>
      <w:bookmarkStart w:id="143" w:name="OLE_LINK248"/>
      <w:r>
        <w:rPr>
          <w:rFonts w:hint="eastAsia"/>
        </w:rPr>
        <w:t>3.4-</w:t>
      </w:r>
      <w:bookmarkEnd w:id="141"/>
      <w:bookmarkEnd w:id="142"/>
      <w:bookmarkEnd w:id="143"/>
      <w:r>
        <w:rPr>
          <w:rFonts w:hint="eastAsia"/>
        </w:rPr>
        <w:t>4。</w:t>
      </w:r>
    </w:p>
    <w:p>
      <w:pPr>
        <w:topLinePunct w:val="0"/>
        <w:snapToGrid w:val="0"/>
        <w:spacing w:beforeLines="50"/>
        <w:ind w:firstLine="0" w:firstLineChars="0"/>
        <w:jc w:val="center"/>
        <w:rPr>
          <w:rFonts w:ascii="Times New Roman" w:cs="Times New Roman"/>
          <w:b/>
          <w:kern w:val="2"/>
          <w:sz w:val="21"/>
          <w:szCs w:val="20"/>
        </w:rPr>
      </w:pPr>
      <w:bookmarkStart w:id="144" w:name="_Ref494447895"/>
      <w:r>
        <w:rPr>
          <w:rFonts w:ascii="Times New Roman" w:cs="Times New Roman"/>
          <w:b/>
          <w:kern w:val="2"/>
          <w:sz w:val="21"/>
          <w:szCs w:val="20"/>
        </w:rPr>
        <w:t>表</w:t>
      </w:r>
      <w:bookmarkEnd w:id="144"/>
      <w:r>
        <w:rPr>
          <w:rFonts w:ascii="Times New Roman" w:cs="Times New Roman"/>
          <w:b/>
          <w:kern w:val="2"/>
          <w:sz w:val="21"/>
          <w:szCs w:val="20"/>
        </w:rPr>
        <w:t>3.4-</w:t>
      </w:r>
      <w:r>
        <w:rPr>
          <w:rFonts w:hint="eastAsia" w:ascii="Times New Roman" w:cs="Times New Roman"/>
          <w:b/>
          <w:kern w:val="2"/>
          <w:sz w:val="21"/>
          <w:szCs w:val="20"/>
        </w:rPr>
        <w:t>4</w:t>
      </w:r>
      <w:r>
        <w:rPr>
          <w:rFonts w:ascii="Times New Roman" w:cs="Times New Roman"/>
          <w:b/>
          <w:kern w:val="2"/>
          <w:sz w:val="21"/>
          <w:szCs w:val="20"/>
        </w:rPr>
        <w:t xml:space="preserve">  分段钻井液体系</w:t>
      </w:r>
    </w:p>
    <w:tbl>
      <w:tblPr>
        <w:tblStyle w:val="807"/>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458"/>
        <w:gridCol w:w="1172"/>
        <w:gridCol w:w="1301"/>
        <w:gridCol w:w="459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 w:hRule="atLeast"/>
        </w:trPr>
        <w:tc>
          <w:tcPr>
            <w:tcW w:w="855" w:type="pct"/>
            <w:vAlign w:val="center"/>
          </w:tcPr>
          <w:p>
            <w:pPr>
              <w:topLinePunct w:val="0"/>
              <w:autoSpaceDE w:val="0"/>
              <w:autoSpaceDN w:val="0"/>
              <w:spacing w:line="240" w:lineRule="auto"/>
              <w:ind w:firstLine="0" w:firstLineChars="0"/>
              <w:rPr>
                <w:rFonts w:eastAsia="Times New Roman"/>
                <w:sz w:val="21"/>
                <w:szCs w:val="21"/>
                <w:lang w:val="zh-CN"/>
              </w:rPr>
            </w:pPr>
            <w:r>
              <w:rPr>
                <w:rFonts w:hint="eastAsia" w:eastAsia="Times New Roman"/>
                <w:sz w:val="21"/>
                <w:szCs w:val="21"/>
                <w:lang w:val="zh-CN"/>
              </w:rPr>
              <w:t>开钻</w:t>
            </w:r>
          </w:p>
          <w:p>
            <w:pPr>
              <w:topLinePunct w:val="0"/>
              <w:autoSpaceDE w:val="0"/>
              <w:autoSpaceDN w:val="0"/>
              <w:spacing w:line="240" w:lineRule="auto"/>
              <w:ind w:firstLine="0" w:firstLineChars="0"/>
              <w:rPr>
                <w:rFonts w:eastAsia="Times New Roman"/>
                <w:sz w:val="22"/>
                <w:szCs w:val="22"/>
                <w:lang w:val="zh-CN"/>
              </w:rPr>
            </w:pPr>
            <w:r>
              <w:rPr>
                <w:rFonts w:hint="eastAsia" w:hAnsi="宋体" w:eastAsia="Times New Roman"/>
                <w:sz w:val="21"/>
                <w:szCs w:val="21"/>
                <w:lang w:val="zh-CN"/>
              </w:rPr>
              <w:t>序号</w:t>
            </w:r>
          </w:p>
        </w:tc>
        <w:tc>
          <w:tcPr>
            <w:tcW w:w="687" w:type="pct"/>
            <w:vAlign w:val="center"/>
          </w:tcPr>
          <w:p>
            <w:pPr>
              <w:topLinePunct w:val="0"/>
              <w:autoSpaceDE w:val="0"/>
              <w:autoSpaceDN w:val="0"/>
              <w:spacing w:line="240" w:lineRule="auto"/>
              <w:ind w:firstLine="0" w:firstLineChars="0"/>
              <w:rPr>
                <w:rFonts w:ascii="Times New Roman" w:eastAsia="Times New Roman" w:cs="Times New Roman"/>
                <w:sz w:val="21"/>
                <w:szCs w:val="21"/>
                <w:lang w:val="zh-CN"/>
              </w:rPr>
            </w:pPr>
            <w:r>
              <w:rPr>
                <w:rFonts w:ascii="Times New Roman" w:eastAsia="Times New Roman" w:cs="Times New Roman"/>
                <w:sz w:val="21"/>
                <w:szCs w:val="21"/>
                <w:lang w:val="zh-CN"/>
              </w:rPr>
              <w:t>井眼尺寸</w:t>
            </w:r>
          </w:p>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（mm ）</w:t>
            </w:r>
          </w:p>
        </w:tc>
        <w:tc>
          <w:tcPr>
            <w:tcW w:w="763" w:type="pct"/>
            <w:vAlign w:val="center"/>
          </w:tcPr>
          <w:p>
            <w:pPr>
              <w:topLinePunct w:val="0"/>
              <w:autoSpaceDE w:val="0"/>
              <w:autoSpaceDN w:val="0"/>
              <w:spacing w:line="240" w:lineRule="auto"/>
              <w:ind w:firstLine="0" w:firstLineChars="0"/>
              <w:rPr>
                <w:rFonts w:ascii="Times New Roman" w:eastAsia="Times New Roman" w:cs="Times New Roman"/>
                <w:sz w:val="21"/>
                <w:szCs w:val="21"/>
                <w:lang w:val="zh-CN"/>
              </w:rPr>
            </w:pPr>
            <w:r>
              <w:rPr>
                <w:rFonts w:ascii="Times New Roman" w:eastAsia="Times New Roman" w:cs="Times New Roman"/>
                <w:sz w:val="21"/>
                <w:szCs w:val="21"/>
                <w:lang w:val="zh-CN"/>
              </w:rPr>
              <w:t>井段</w:t>
            </w:r>
          </w:p>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（m）</w:t>
            </w:r>
          </w:p>
        </w:tc>
        <w:tc>
          <w:tcPr>
            <w:tcW w:w="2694" w:type="pct"/>
            <w:vAlign w:val="center"/>
          </w:tcPr>
          <w:p>
            <w:pPr>
              <w:topLinePunct w:val="0"/>
              <w:autoSpaceDE w:val="0"/>
              <w:autoSpaceDN w:val="0"/>
              <w:spacing w:line="240" w:lineRule="auto"/>
              <w:ind w:firstLine="0" w:firstLineChars="0"/>
              <w:rPr>
                <w:rFonts w:eastAsia="Times New Roman"/>
                <w:sz w:val="22"/>
                <w:szCs w:val="22"/>
                <w:lang w:val="zh-CN"/>
              </w:rPr>
            </w:pPr>
            <w:r>
              <w:rPr>
                <w:rFonts w:hint="eastAsia" w:hAnsi="宋体" w:eastAsia="Times New Roman"/>
                <w:sz w:val="21"/>
                <w:szCs w:val="21"/>
                <w:lang w:val="zh-CN"/>
              </w:rPr>
              <w:t>钻井液体系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 w:hRule="atLeast"/>
        </w:trPr>
        <w:tc>
          <w:tcPr>
            <w:tcW w:w="855" w:type="pct"/>
            <w:vAlign w:val="center"/>
          </w:tcPr>
          <w:p>
            <w:pPr>
              <w:topLinePunct w:val="0"/>
              <w:autoSpaceDE w:val="0"/>
              <w:autoSpaceDN w:val="0"/>
              <w:spacing w:line="240" w:lineRule="auto"/>
              <w:ind w:firstLine="0" w:firstLineChars="0"/>
              <w:rPr>
                <w:rFonts w:eastAsia="Times New Roman"/>
                <w:sz w:val="22"/>
                <w:szCs w:val="22"/>
              </w:rPr>
            </w:pPr>
            <w:r>
              <w:rPr>
                <w:rFonts w:hint="eastAsia" w:hAnsi="宋体" w:eastAsia="Times New Roman"/>
                <w:sz w:val="21"/>
                <w:szCs w:val="21"/>
              </w:rPr>
              <w:t>一开</w:t>
            </w:r>
          </w:p>
        </w:tc>
        <w:tc>
          <w:tcPr>
            <w:tcW w:w="68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406.4</w:t>
            </w:r>
          </w:p>
        </w:tc>
        <w:tc>
          <w:tcPr>
            <w:tcW w:w="763"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w:t>
            </w:r>
            <w:r>
              <w:rPr>
                <w:rFonts w:ascii="Times New Roman" w:eastAsia="等线" w:cs="Times New Roman"/>
                <w:sz w:val="21"/>
                <w:szCs w:val="21"/>
                <w:lang w:val="zh-CN"/>
              </w:rPr>
              <w:t>35</w:t>
            </w:r>
            <w:r>
              <w:rPr>
                <w:rFonts w:ascii="Times New Roman" w:eastAsia="Times New Roman" w:cs="Times New Roman"/>
                <w:sz w:val="21"/>
                <w:szCs w:val="21"/>
                <w:lang w:val="zh-CN"/>
              </w:rPr>
              <w:t>1</w:t>
            </w:r>
          </w:p>
        </w:tc>
        <w:tc>
          <w:tcPr>
            <w:tcW w:w="2694" w:type="pct"/>
            <w:vAlign w:val="center"/>
          </w:tcPr>
          <w:p>
            <w:pPr>
              <w:topLinePunct w:val="0"/>
              <w:autoSpaceDE w:val="0"/>
              <w:autoSpaceDN w:val="0"/>
              <w:spacing w:line="240" w:lineRule="auto"/>
              <w:ind w:firstLine="0" w:firstLineChars="0"/>
              <w:rPr>
                <w:rFonts w:eastAsia="Times New Roman"/>
                <w:sz w:val="22"/>
                <w:szCs w:val="22"/>
                <w:lang w:val="zh-CN"/>
              </w:rPr>
            </w:pPr>
            <w:r>
              <w:rPr>
                <w:rFonts w:hint="eastAsia" w:hAnsi="宋体" w:eastAsia="Times New Roman"/>
                <w:sz w:val="21"/>
                <w:szCs w:val="21"/>
                <w:lang w:val="zh-CN"/>
              </w:rPr>
              <w:t>聚合物钻井液</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 w:hRule="atLeast"/>
        </w:trPr>
        <w:tc>
          <w:tcPr>
            <w:tcW w:w="855" w:type="pct"/>
            <w:vAlign w:val="center"/>
          </w:tcPr>
          <w:p>
            <w:pPr>
              <w:topLinePunct w:val="0"/>
              <w:autoSpaceDE w:val="0"/>
              <w:autoSpaceDN w:val="0"/>
              <w:spacing w:line="240" w:lineRule="auto"/>
              <w:ind w:firstLine="0" w:firstLineChars="0"/>
              <w:rPr>
                <w:rFonts w:eastAsia="Times New Roman"/>
                <w:sz w:val="22"/>
                <w:szCs w:val="22"/>
                <w:lang w:val="zh-CN"/>
              </w:rPr>
            </w:pPr>
            <w:r>
              <w:rPr>
                <w:rFonts w:hint="eastAsia" w:hAnsi="宋体" w:eastAsia="Times New Roman"/>
                <w:sz w:val="22"/>
                <w:szCs w:val="22"/>
              </w:rPr>
              <w:t>二开</w:t>
            </w:r>
          </w:p>
        </w:tc>
        <w:tc>
          <w:tcPr>
            <w:tcW w:w="68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311.2</w:t>
            </w:r>
          </w:p>
        </w:tc>
        <w:tc>
          <w:tcPr>
            <w:tcW w:w="763" w:type="pct"/>
            <w:vAlign w:val="center"/>
          </w:tcPr>
          <w:p>
            <w:pPr>
              <w:topLinePunct w:val="0"/>
              <w:autoSpaceDE w:val="0"/>
              <w:autoSpaceDN w:val="0"/>
              <w:spacing w:line="240" w:lineRule="auto"/>
              <w:ind w:firstLine="0" w:firstLineChars="0"/>
              <w:rPr>
                <w:rFonts w:ascii="Times New Roman" w:eastAsia="Times New Roman" w:cs="Times New Roman"/>
                <w:sz w:val="22"/>
                <w:szCs w:val="22"/>
              </w:rPr>
            </w:pPr>
            <w:r>
              <w:rPr>
                <w:rFonts w:ascii="Times New Roman" w:eastAsia="Times New Roman" w:cs="Times New Roman"/>
                <w:sz w:val="21"/>
                <w:szCs w:val="21"/>
                <w:lang w:val="zh-CN"/>
              </w:rPr>
              <w:t>～</w:t>
            </w:r>
            <w:r>
              <w:rPr>
                <w:rFonts w:ascii="Times New Roman" w:eastAsia="Times New Roman" w:cs="Times New Roman"/>
                <w:sz w:val="21"/>
                <w:szCs w:val="21"/>
              </w:rPr>
              <w:t>3088</w:t>
            </w:r>
          </w:p>
        </w:tc>
        <w:tc>
          <w:tcPr>
            <w:tcW w:w="2694" w:type="pct"/>
            <w:vAlign w:val="center"/>
          </w:tcPr>
          <w:p>
            <w:pPr>
              <w:topLinePunct w:val="0"/>
              <w:autoSpaceDE w:val="0"/>
              <w:autoSpaceDN w:val="0"/>
              <w:spacing w:line="240" w:lineRule="auto"/>
              <w:ind w:firstLine="0" w:firstLineChars="0"/>
              <w:rPr>
                <w:rFonts w:eastAsia="Times New Roman"/>
                <w:sz w:val="22"/>
                <w:szCs w:val="22"/>
                <w:lang w:val="zh-CN"/>
              </w:rPr>
            </w:pPr>
            <w:r>
              <w:rPr>
                <w:rFonts w:hint="eastAsia" w:hAnsi="宋体" w:eastAsia="Times New Roman"/>
                <w:kern w:val="2"/>
                <w:sz w:val="21"/>
                <w:szCs w:val="21"/>
              </w:rPr>
              <w:t>氯化钾聚合物润滑防塌钻井液</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3" w:hRule="atLeast"/>
        </w:trPr>
        <w:tc>
          <w:tcPr>
            <w:tcW w:w="855" w:type="pct"/>
            <w:vAlign w:val="center"/>
          </w:tcPr>
          <w:p>
            <w:pPr>
              <w:topLinePunct w:val="0"/>
              <w:autoSpaceDE w:val="0"/>
              <w:autoSpaceDN w:val="0"/>
              <w:spacing w:line="240" w:lineRule="auto"/>
              <w:ind w:firstLine="0" w:firstLineChars="0"/>
              <w:rPr>
                <w:rFonts w:eastAsia="Times New Roman"/>
                <w:sz w:val="22"/>
                <w:szCs w:val="22"/>
              </w:rPr>
            </w:pPr>
            <w:r>
              <w:rPr>
                <w:rFonts w:hint="eastAsia" w:eastAsia="Times New Roman"/>
                <w:sz w:val="22"/>
                <w:szCs w:val="22"/>
              </w:rPr>
              <w:t>三开</w:t>
            </w:r>
          </w:p>
        </w:tc>
        <w:tc>
          <w:tcPr>
            <w:tcW w:w="68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215.9</w:t>
            </w:r>
          </w:p>
        </w:tc>
        <w:tc>
          <w:tcPr>
            <w:tcW w:w="763" w:type="pct"/>
            <w:vAlign w:val="center"/>
          </w:tcPr>
          <w:p>
            <w:pPr>
              <w:topLinePunct w:val="0"/>
              <w:autoSpaceDE w:val="0"/>
              <w:autoSpaceDN w:val="0"/>
              <w:spacing w:line="240" w:lineRule="auto"/>
              <w:ind w:firstLine="0" w:firstLineChars="0"/>
              <w:rPr>
                <w:rFonts w:ascii="Times New Roman" w:eastAsia="Times New Roman" w:cs="Times New Roman"/>
                <w:sz w:val="22"/>
                <w:szCs w:val="22"/>
              </w:rPr>
            </w:pPr>
            <w:r>
              <w:rPr>
                <w:rFonts w:ascii="Times New Roman" w:eastAsia="Times New Roman" w:cs="Times New Roman"/>
                <w:sz w:val="21"/>
                <w:szCs w:val="21"/>
                <w:lang w:val="zh-CN"/>
              </w:rPr>
              <w:t>～5552.39</w:t>
            </w:r>
          </w:p>
        </w:tc>
        <w:tc>
          <w:tcPr>
            <w:tcW w:w="2694" w:type="pct"/>
            <w:vAlign w:val="center"/>
          </w:tcPr>
          <w:p>
            <w:pPr>
              <w:topLinePunct w:val="0"/>
              <w:autoSpaceDE w:val="0"/>
              <w:autoSpaceDN w:val="0"/>
              <w:spacing w:line="240" w:lineRule="auto"/>
              <w:ind w:firstLine="0" w:firstLineChars="0"/>
              <w:rPr>
                <w:rFonts w:eastAsia="Times New Roman"/>
                <w:sz w:val="22"/>
                <w:szCs w:val="22"/>
                <w:lang w:val="zh-CN"/>
              </w:rPr>
            </w:pPr>
            <w:r>
              <w:rPr>
                <w:rFonts w:hint="eastAsia" w:hAnsi="宋体" w:eastAsia="Times New Roman"/>
                <w:sz w:val="21"/>
                <w:szCs w:val="21"/>
                <w:lang w:val="zh-CN"/>
              </w:rPr>
              <w:t>油</w:t>
            </w:r>
            <w:r>
              <w:rPr>
                <w:rFonts w:hint="eastAsia" w:eastAsia="Times New Roman"/>
                <w:sz w:val="21"/>
                <w:szCs w:val="21"/>
                <w:lang w:val="zh-CN"/>
              </w:rPr>
              <w:t>基钻井液</w:t>
            </w:r>
          </w:p>
        </w:tc>
      </w:tr>
    </w:tbl>
    <w:p>
      <w:pPr>
        <w:pStyle w:val="112"/>
        <w:ind w:firstLine="480"/>
      </w:pPr>
      <w:r>
        <w:rPr>
          <w:rFonts w:hint="eastAsia"/>
        </w:rPr>
        <w:t>各阶段钻井液性能见如下：</w:t>
      </w:r>
    </w:p>
    <w:p>
      <w:pPr>
        <w:snapToGrid w:val="0"/>
        <w:ind w:firstLine="480"/>
        <w:rPr>
          <w:rFonts w:ascii="Times New Roman" w:cs="Times New Roman"/>
          <w:szCs w:val="20"/>
        </w:rPr>
      </w:pPr>
      <w:r>
        <w:rPr>
          <w:rFonts w:hint="eastAsia" w:ascii="Times New Roman" w:cs="Times New Roman"/>
          <w:szCs w:val="20"/>
        </w:rPr>
        <w:t>（1）一开井段（</w:t>
      </w:r>
      <w:r>
        <w:rPr>
          <w:rFonts w:ascii="Times New Roman" w:cs="Times New Roman"/>
          <w:szCs w:val="20"/>
        </w:rPr>
        <w:t>0</w:t>
      </w:r>
      <w:r>
        <w:rPr>
          <w:rFonts w:hint="eastAsia" w:ascii="Times New Roman" w:cs="Times New Roman"/>
          <w:szCs w:val="20"/>
        </w:rPr>
        <w:t>～351</w:t>
      </w:r>
      <w:r>
        <w:rPr>
          <w:rFonts w:ascii="Times New Roman" w:cs="Times New Roman"/>
          <w:szCs w:val="20"/>
        </w:rPr>
        <w:t>m</w:t>
      </w:r>
      <w:r>
        <w:rPr>
          <w:rFonts w:hint="eastAsia" w:ascii="Times New Roman" w:cs="Times New Roman"/>
          <w:szCs w:val="20"/>
        </w:rPr>
        <w:t>）</w:t>
      </w:r>
    </w:p>
    <w:p>
      <w:pPr>
        <w:snapToGrid w:val="0"/>
        <w:ind w:firstLine="480"/>
        <w:rPr>
          <w:rFonts w:ascii="Times New Roman" w:cs="Times New Roman"/>
          <w:szCs w:val="20"/>
        </w:rPr>
      </w:pPr>
      <w:r>
        <w:rPr>
          <w:rFonts w:hint="eastAsia"/>
        </w:rPr>
        <w:t>钻井液基本</w:t>
      </w:r>
      <w:r>
        <w:rPr>
          <w:rFonts w:hint="eastAsia" w:ascii="Times New Roman" w:cs="Times New Roman"/>
          <w:szCs w:val="20"/>
        </w:rPr>
        <w:t>配方：（5～8）%膨润土+（0.3～0.5）%纯碱+（0.3～0.5）%聚丙烯酰胺干粉+（0.3～0.5）%低黏羧甲基纤维素钠盐</w:t>
      </w:r>
    </w:p>
    <w:p>
      <w:pPr>
        <w:snapToGrid w:val="0"/>
        <w:ind w:firstLine="480"/>
        <w:rPr>
          <w:rFonts w:ascii="Times New Roman" w:cs="Times New Roman"/>
          <w:szCs w:val="20"/>
        </w:rPr>
      </w:pPr>
      <w:r>
        <w:rPr>
          <w:rFonts w:hint="eastAsia" w:ascii="Times New Roman" w:cs="Times New Roman"/>
          <w:szCs w:val="20"/>
        </w:rPr>
        <w:t>其它：NaOH、加重剂、高黏羧甲基纤维素钠盐、堵漏剂等依需而定。</w:t>
      </w:r>
    </w:p>
    <w:p>
      <w:pPr>
        <w:snapToGrid w:val="0"/>
        <w:ind w:firstLine="480"/>
        <w:rPr>
          <w:rFonts w:ascii="Times New Roman" w:cs="Times New Roman"/>
          <w:szCs w:val="20"/>
        </w:rPr>
      </w:pPr>
      <w:r>
        <w:rPr>
          <w:rFonts w:hint="eastAsia" w:ascii="Times New Roman" w:cs="Times New Roman"/>
          <w:szCs w:val="20"/>
        </w:rPr>
        <w:t>（2）二开井段（35</w:t>
      </w:r>
      <w:r>
        <w:rPr>
          <w:rFonts w:ascii="Times New Roman" w:cs="Times New Roman"/>
          <w:szCs w:val="20"/>
        </w:rPr>
        <w:t>1</w:t>
      </w:r>
      <w:r>
        <w:rPr>
          <w:rFonts w:hint="eastAsia" w:ascii="Times New Roman" w:cs="Times New Roman"/>
          <w:szCs w:val="20"/>
        </w:rPr>
        <w:t>～3088</w:t>
      </w:r>
      <w:r>
        <w:rPr>
          <w:rFonts w:ascii="Times New Roman" w:cs="Times New Roman"/>
          <w:szCs w:val="20"/>
        </w:rPr>
        <w:t>m</w:t>
      </w:r>
      <w:r>
        <w:rPr>
          <w:rFonts w:hint="eastAsia" w:ascii="Times New Roman" w:cs="Times New Roman"/>
          <w:szCs w:val="20"/>
        </w:rPr>
        <w:t>）</w:t>
      </w:r>
    </w:p>
    <w:p>
      <w:pPr>
        <w:snapToGrid w:val="0"/>
        <w:ind w:firstLine="480"/>
        <w:rPr>
          <w:rFonts w:ascii="Times New Roman" w:cs="Times New Roman"/>
          <w:szCs w:val="20"/>
        </w:rPr>
      </w:pPr>
      <w:r>
        <w:rPr>
          <w:rFonts w:hint="eastAsia"/>
        </w:rPr>
        <w:t>钻井液基本</w:t>
      </w:r>
      <w:r>
        <w:rPr>
          <w:rFonts w:hint="eastAsia" w:ascii="Times New Roman" w:cs="Times New Roman"/>
          <w:szCs w:val="20"/>
        </w:rPr>
        <w:t>配方：（4～6）%膨润土+（0.3～0.5）%聚丙烯酰胺干粉+（1～1.5）%钻井液用改性铵盐+（0.5～1）%低黏羧甲基纤维素钠盐+（2～3）%无荧光防塌剂+（0.5～1）%胺基聚醇+（2～3）%井壁稳定剂+（2～3）%乳化石蜡+（2.5～3.5）%超微细碳酸钙+（1～1.5）%天然高分子降滤失剂+（2～3）%聚合醇防塌剂+（2～3）%抗盐抗高温降滤失剂+（5～7）%KCl+(4～6)%极压润滑剂</w:t>
      </w:r>
    </w:p>
    <w:p>
      <w:pPr>
        <w:snapToGrid w:val="0"/>
        <w:ind w:firstLine="480"/>
        <w:rPr>
          <w:rFonts w:ascii="Times New Roman" w:cs="Times New Roman"/>
          <w:szCs w:val="20"/>
        </w:rPr>
      </w:pPr>
      <w:r>
        <w:rPr>
          <w:rFonts w:hint="eastAsia" w:ascii="Times New Roman" w:cs="Times New Roman"/>
          <w:szCs w:val="20"/>
        </w:rPr>
        <w:t>其它：NaOH、加重剂、高黏羧甲基纤维素钠盐、硅氟稳定剂、聚合物降黏剂、硅氟稀释剂、堵漏剂等依需而定。</w:t>
      </w:r>
    </w:p>
    <w:p>
      <w:pPr>
        <w:snapToGrid w:val="0"/>
        <w:ind w:firstLine="480"/>
        <w:rPr>
          <w:rFonts w:ascii="Times New Roman" w:cs="Times New Roman"/>
          <w:szCs w:val="20"/>
        </w:rPr>
      </w:pPr>
      <w:r>
        <w:rPr>
          <w:rFonts w:hint="eastAsia" w:ascii="Times New Roman" w:cs="Times New Roman"/>
          <w:szCs w:val="20"/>
        </w:rPr>
        <w:t>（3）三开井段（3088</w:t>
      </w:r>
      <w:r>
        <w:rPr>
          <w:rFonts w:ascii="Times New Roman" w:cs="Times New Roman"/>
          <w:szCs w:val="20"/>
        </w:rPr>
        <w:t>m</w:t>
      </w:r>
      <w:r>
        <w:rPr>
          <w:rFonts w:hint="eastAsia" w:ascii="Times New Roman" w:cs="Times New Roman"/>
          <w:szCs w:val="20"/>
        </w:rPr>
        <w:t>～井底）</w:t>
      </w:r>
    </w:p>
    <w:p>
      <w:pPr>
        <w:snapToGrid w:val="0"/>
        <w:ind w:firstLine="480"/>
        <w:rPr>
          <w:rFonts w:ascii="Times New Roman" w:cs="Times New Roman"/>
          <w:szCs w:val="20"/>
        </w:rPr>
      </w:pPr>
      <w:r>
        <w:rPr>
          <w:rFonts w:hint="eastAsia" w:ascii="Times New Roman" w:cs="Times New Roman"/>
          <w:szCs w:val="20"/>
        </w:rPr>
        <w:t>钻井液体系：油基钻井液</w:t>
      </w:r>
    </w:p>
    <w:p>
      <w:pPr>
        <w:snapToGrid w:val="0"/>
        <w:ind w:firstLine="480"/>
      </w:pPr>
      <w:r>
        <w:rPr>
          <w:rFonts w:hint="eastAsia"/>
          <w:lang w:val="zh-CN"/>
        </w:rPr>
        <w:t>钻井液体系：油基钻井液</w:t>
      </w:r>
    </w:p>
    <w:p>
      <w:pPr>
        <w:snapToGrid w:val="0"/>
        <w:ind w:firstLine="480"/>
      </w:pPr>
      <w:r>
        <w:rPr>
          <w:rFonts w:ascii="Times New Roman" w:cs="Times New Roman"/>
          <w:lang w:val="zh-CN"/>
        </w:rPr>
        <w:t>基液</w:t>
      </w:r>
      <w:r>
        <w:rPr>
          <w:rFonts w:ascii="Times New Roman" w:cs="Times New Roman"/>
        </w:rPr>
        <w:t>[</w:t>
      </w:r>
      <w:r>
        <w:rPr>
          <w:rFonts w:ascii="Times New Roman" w:cs="Times New Roman"/>
          <w:lang w:val="zh-CN"/>
        </w:rPr>
        <w:t>≥</w:t>
      </w:r>
      <w:r>
        <w:rPr>
          <w:rFonts w:ascii="Times New Roman" w:cs="Times New Roman"/>
        </w:rPr>
        <w:t>80%</w:t>
      </w:r>
      <w:r>
        <w:rPr>
          <w:rFonts w:ascii="Times New Roman" w:cs="Times New Roman"/>
          <w:lang w:val="zh-CN"/>
        </w:rPr>
        <w:t>白油：≤</w:t>
      </w:r>
      <w:r>
        <w:rPr>
          <w:rFonts w:ascii="Times New Roman" w:cs="Times New Roman"/>
        </w:rPr>
        <w:t>20%CaCl</w:t>
      </w:r>
      <w:r>
        <w:rPr>
          <w:rFonts w:ascii="Times New Roman" w:cs="Times New Roman"/>
          <w:vertAlign w:val="subscript"/>
        </w:rPr>
        <w:t>2</w:t>
      </w:r>
      <w:r>
        <w:rPr>
          <w:rFonts w:ascii="Times New Roman" w:cs="Times New Roman"/>
          <w:lang w:val="zh-CN"/>
        </w:rPr>
        <w:t>盐水</w:t>
      </w:r>
      <w:r>
        <w:rPr>
          <w:rFonts w:ascii="Times New Roman" w:cs="Times New Roman"/>
        </w:rPr>
        <w:t>]+3%</w:t>
      </w:r>
      <w:r>
        <w:rPr>
          <w:rFonts w:ascii="Times New Roman" w:cs="Times New Roman"/>
          <w:lang w:val="zh-CN"/>
        </w:rPr>
        <w:t>乳化剂</w:t>
      </w:r>
      <w:r>
        <w:rPr>
          <w:rFonts w:ascii="Times New Roman" w:cs="Times New Roman"/>
        </w:rPr>
        <w:t>+1%</w:t>
      </w:r>
      <w:r>
        <w:rPr>
          <w:rFonts w:ascii="Times New Roman" w:cs="Times New Roman"/>
          <w:lang w:val="zh-CN"/>
        </w:rPr>
        <w:t>润湿剂</w:t>
      </w:r>
      <w:r>
        <w:rPr>
          <w:rFonts w:ascii="Times New Roman" w:cs="Times New Roman"/>
        </w:rPr>
        <w:t>+2%</w:t>
      </w:r>
      <w:r>
        <w:rPr>
          <w:rFonts w:ascii="Times New Roman" w:cs="Times New Roman"/>
          <w:lang w:val="zh-CN"/>
        </w:rPr>
        <w:t>增黏剂</w:t>
      </w:r>
      <w:r>
        <w:rPr>
          <w:rFonts w:ascii="Times New Roman" w:cs="Times New Roman"/>
        </w:rPr>
        <w:t>+</w:t>
      </w:r>
      <w:r>
        <w:rPr>
          <w:rFonts w:ascii="Times New Roman" w:cs="Times New Roman"/>
          <w:lang w:val="zh-CN"/>
        </w:rPr>
        <w:t>（</w:t>
      </w:r>
      <w:r>
        <w:rPr>
          <w:rFonts w:ascii="Times New Roman" w:cs="Times New Roman"/>
        </w:rPr>
        <w:t>3-5</w:t>
      </w:r>
      <w:r>
        <w:rPr>
          <w:rFonts w:ascii="Times New Roman" w:cs="Times New Roman"/>
          <w:lang w:val="zh-CN"/>
        </w:rPr>
        <w:t>）</w:t>
      </w:r>
      <w:r>
        <w:rPr>
          <w:rFonts w:ascii="Times New Roman" w:cs="Times New Roman"/>
        </w:rPr>
        <w:t>%CaO+4%</w:t>
      </w:r>
      <w:r>
        <w:rPr>
          <w:rFonts w:ascii="Times New Roman" w:cs="Times New Roman"/>
          <w:lang w:val="zh-CN"/>
        </w:rPr>
        <w:t>有机土</w:t>
      </w:r>
      <w:r>
        <w:rPr>
          <w:rFonts w:ascii="Times New Roman" w:cs="Times New Roman"/>
        </w:rPr>
        <w:t>+3%</w:t>
      </w:r>
      <w:r>
        <w:rPr>
          <w:rFonts w:ascii="Times New Roman" w:cs="Times New Roman"/>
          <w:lang w:val="zh-CN"/>
        </w:rPr>
        <w:t>降滤失剂</w:t>
      </w:r>
      <w:r>
        <w:rPr>
          <w:rFonts w:ascii="Times New Roman" w:cs="Times New Roman"/>
        </w:rPr>
        <w:t>+5%</w:t>
      </w:r>
      <w:r>
        <w:rPr>
          <w:rFonts w:ascii="Times New Roman" w:cs="Times New Roman"/>
          <w:lang w:val="zh-CN"/>
        </w:rPr>
        <w:t>高效封堵剂</w:t>
      </w:r>
      <w:r>
        <w:rPr>
          <w:rFonts w:ascii="Times New Roman" w:cs="Times New Roman"/>
        </w:rPr>
        <w:t>+3%</w:t>
      </w:r>
      <w:r>
        <w:rPr>
          <w:rFonts w:ascii="Times New Roman" w:cs="Times New Roman"/>
          <w:lang w:val="zh-CN"/>
        </w:rPr>
        <w:t>超</w:t>
      </w:r>
      <w:r>
        <w:rPr>
          <w:rFonts w:hint="eastAsia"/>
          <w:lang w:val="zh-CN"/>
        </w:rPr>
        <w:t>细碳酸钙。</w:t>
      </w:r>
    </w:p>
    <w:p>
      <w:pPr>
        <w:snapToGrid w:val="0"/>
        <w:ind w:firstLine="480"/>
        <w:rPr>
          <w:rFonts w:hAnsi="宋体"/>
        </w:rPr>
      </w:pPr>
      <w:r>
        <w:rPr>
          <w:rFonts w:hint="eastAsia"/>
          <w:lang w:val="zh-CN"/>
        </w:rPr>
        <w:t>其它添加剂：加重剂等</w:t>
      </w:r>
      <w:r>
        <w:rPr>
          <w:rFonts w:hint="eastAsia"/>
        </w:rPr>
        <w:t>。</w:t>
      </w:r>
      <w:r>
        <w:cr/>
      </w:r>
      <w:r>
        <w:rPr>
          <w:rFonts w:ascii="Times New Roman" w:cs="Times New Roman"/>
        </w:rPr>
        <w:t xml:space="preserve">    </w:t>
      </w:r>
      <w:r>
        <w:rPr>
          <w:rFonts w:hint="eastAsia" w:hAnsi="宋体"/>
        </w:rPr>
        <w:t>（2）钻井液性质及作用</w:t>
      </w:r>
    </w:p>
    <w:p>
      <w:pPr>
        <w:snapToGrid w:val="0"/>
        <w:ind w:firstLine="480"/>
        <w:rPr>
          <w:rFonts w:hAnsi="宋体"/>
        </w:rPr>
      </w:pPr>
      <w:r>
        <w:rPr>
          <w:rFonts w:hint="eastAsia" w:hAnsi="宋体"/>
        </w:rPr>
        <w:t>钻井液是钻探过程中孔内使用的循环冲洗介质。钻井液是钻井的血液，又称钻孔冲洗液。钻井液按组成成分可分为清水、泥浆、无粘土相冲洗液、乳状液、泡沫和压缩空气等。钻井液是广泛使用的钻井液，主要适用于松散、裂隙发育、易坍塌掉块、遇水膨胀剥落等孔壁不稳定岩层。</w:t>
      </w:r>
    </w:p>
    <w:p>
      <w:pPr>
        <w:pStyle w:val="112"/>
        <w:ind w:firstLine="480"/>
      </w:pPr>
      <w:r>
        <w:rPr>
          <w:rFonts w:hint="eastAsia" w:ascii="宋体" w:hAnsi="宋体" w:cs="宋体"/>
        </w:rPr>
        <w:t>钻井液主要作用是：①冷却钻头、清净孔底、带出岩屑。②润滑钻具。③停钻时悬浮岩屑，保护孔壁防止坍塌，平衡地层压力、压住高压油气水层。④输送岩心，为孔底动力机传递破碎孔底岩石需要的动力等。钻井中钻井液的循环程序包括：钻井液罐、机泵→地面、管汇→立管→水龙带、水龙头→钻柱内→钻头→钻柱外环形空间→井口、泥浆（钻井液）槽→钻井液净化设备→钻井液罐。</w:t>
      </w:r>
    </w:p>
    <w:p>
      <w:pPr>
        <w:pStyle w:val="112"/>
        <w:ind w:firstLine="480"/>
      </w:pPr>
      <w:r>
        <w:rPr>
          <w:rFonts w:hint="eastAsia"/>
        </w:rPr>
        <w:t>2）固井</w:t>
      </w:r>
    </w:p>
    <w:p>
      <w:pPr>
        <w:pStyle w:val="112"/>
        <w:ind w:firstLine="480"/>
      </w:pPr>
      <w:r>
        <w:rPr>
          <w:rFonts w:hint="eastAsia"/>
        </w:rPr>
        <w:t>普光气田千佛崖组陆相气藏，主要有致密气和页岩气两种类型气藏，气藏类型为中深层、高压低温、凝析气藏，属于中孔特低渗致密砂岩气藏，储层发育稳定，具有裂缝</w:t>
      </w:r>
      <w:r>
        <w:t>-</w:t>
      </w:r>
      <w:r>
        <w:rPr>
          <w:rFonts w:hint="eastAsia"/>
        </w:rPr>
        <w:t>孔隙型储层特征。鉴于普光陆相致密砂岩气层物性差、厚度薄的特点，采用水平井压裂方式开采。</w:t>
      </w:r>
    </w:p>
    <w:p>
      <w:pPr>
        <w:pStyle w:val="112"/>
        <w:ind w:firstLine="480"/>
      </w:pPr>
      <w:r>
        <w:rPr>
          <w:rFonts w:hint="eastAsia"/>
        </w:rPr>
        <w:t>表层套管</w:t>
      </w:r>
      <w:r>
        <w:t>固井</w:t>
      </w:r>
      <w:r>
        <w:rPr>
          <w:rFonts w:hint="eastAsia"/>
        </w:rPr>
        <w:t>：</w:t>
      </w:r>
      <w:r>
        <w:t>采用“内插法” 或“干法”固井。</w:t>
      </w:r>
    </w:p>
    <w:p>
      <w:pPr>
        <w:pStyle w:val="112"/>
        <w:ind w:firstLine="480"/>
      </w:pPr>
      <w:r>
        <w:t>技术套管固井</w:t>
      </w:r>
      <w:r>
        <w:rPr>
          <w:rFonts w:hint="eastAsia"/>
        </w:rPr>
        <w:t>：</w:t>
      </w:r>
      <w:r>
        <w:t>根据地层承压能力确定采用单级或</w:t>
      </w:r>
      <w:r>
        <w:rPr>
          <w:rFonts w:hint="eastAsia"/>
        </w:rPr>
        <w:t>变密度</w:t>
      </w:r>
      <w:r>
        <w:t>固井方式</w:t>
      </w:r>
      <w:r>
        <w:rPr>
          <w:rFonts w:hint="eastAsia"/>
        </w:rPr>
        <w:t>；</w:t>
      </w:r>
      <w:r>
        <w:t>提高水泥浆性能</w:t>
      </w:r>
      <w:r>
        <w:rPr>
          <w:rFonts w:hint="eastAsia"/>
        </w:rPr>
        <w:t>；</w:t>
      </w:r>
      <w:r>
        <w:t>采用改良的前置液</w:t>
      </w:r>
      <w:r>
        <w:rPr>
          <w:rFonts w:hint="eastAsia"/>
        </w:rPr>
        <w:t>；</w:t>
      </w:r>
      <w:r>
        <w:t>使用变排量顶替工艺，根据设计模拟结果，控制施工压力，采用紊流+层流模式驱替，防止漏失</w:t>
      </w:r>
      <w:r>
        <w:rPr>
          <w:rFonts w:hint="eastAsia"/>
        </w:rPr>
        <w:t>。</w:t>
      </w:r>
    </w:p>
    <w:p>
      <w:pPr>
        <w:pStyle w:val="112"/>
        <w:ind w:firstLine="480"/>
      </w:pPr>
      <w:r>
        <w:t>产层套管固井</w:t>
      </w:r>
      <w:r>
        <w:rPr>
          <w:rFonts w:hint="eastAsia"/>
        </w:rPr>
        <w:t>：</w:t>
      </w:r>
      <w:r>
        <w:t>采用胶乳防气窜水泥浆体系，采用高效冲洗液和抗高温隔离液，提高顶替效率</w:t>
      </w:r>
      <w:r>
        <w:rPr>
          <w:rFonts w:hint="eastAsia"/>
        </w:rPr>
        <w:t>，</w:t>
      </w:r>
      <w:r>
        <w:t>下套管前，做好地层承压试验</w:t>
      </w:r>
      <w:r>
        <w:rPr>
          <w:rFonts w:hint="eastAsia"/>
        </w:rPr>
        <w:t>。</w:t>
      </w:r>
    </w:p>
    <w:p>
      <w:pPr>
        <w:pStyle w:val="112"/>
        <w:ind w:firstLine="482"/>
        <w:rPr>
          <w:b/>
        </w:rPr>
      </w:pPr>
      <w:r>
        <w:rPr>
          <w:rFonts w:hint="eastAsia"/>
          <w:b/>
        </w:rPr>
        <w:t>4钻井设备</w:t>
      </w:r>
    </w:p>
    <w:p>
      <w:pPr>
        <w:pStyle w:val="112"/>
        <w:ind w:firstLine="480"/>
      </w:pPr>
      <w:r>
        <w:rPr>
          <w:rFonts w:hint="eastAsia"/>
        </w:rPr>
        <w:t>普陆4-1H井为水平井，设计最大钻探深度为5552米，选择设备负荷能力及配置满足7</w:t>
      </w:r>
      <w:r>
        <w:t>000m</w:t>
      </w:r>
      <w:r>
        <w:rPr>
          <w:rFonts w:hint="eastAsia"/>
        </w:rPr>
        <w:t>钻井需要的电动钻机，并配备顶驱。钻井设备见表</w:t>
      </w:r>
      <w:bookmarkStart w:id="145" w:name="OLE_LINK76"/>
      <w:bookmarkStart w:id="146" w:name="OLE_LINK64"/>
      <w:r>
        <w:rPr>
          <w:rFonts w:hint="eastAsia"/>
        </w:rPr>
        <w:t>3.4-</w:t>
      </w:r>
      <w:bookmarkEnd w:id="145"/>
      <w:bookmarkEnd w:id="146"/>
      <w:r>
        <w:rPr>
          <w:rFonts w:hint="eastAsia"/>
        </w:rPr>
        <w:t>5。</w:t>
      </w:r>
    </w:p>
    <w:p>
      <w:pPr>
        <w:pStyle w:val="112"/>
        <w:ind w:firstLine="480"/>
      </w:pPr>
    </w:p>
    <w:p>
      <w:pPr>
        <w:pStyle w:val="112"/>
        <w:ind w:firstLine="480"/>
        <w:rPr>
          <w:rFonts w:hint="eastAsia"/>
        </w:rPr>
      </w:pPr>
    </w:p>
    <w:p>
      <w:pPr>
        <w:pStyle w:val="112"/>
        <w:ind w:firstLine="480"/>
      </w:pPr>
    </w:p>
    <w:p>
      <w:pPr>
        <w:pStyle w:val="112"/>
        <w:ind w:firstLine="480"/>
      </w:pPr>
    </w:p>
    <w:p>
      <w:pPr>
        <w:topLinePunct w:val="0"/>
        <w:snapToGrid w:val="0"/>
        <w:spacing w:beforeLines="50"/>
        <w:ind w:firstLine="0" w:firstLineChars="0"/>
        <w:jc w:val="center"/>
        <w:rPr>
          <w:rFonts w:ascii="Times New Roman" w:cs="Times New Roman"/>
          <w:b/>
          <w:kern w:val="2"/>
          <w:sz w:val="21"/>
          <w:szCs w:val="20"/>
        </w:rPr>
      </w:pPr>
      <w:bookmarkStart w:id="147" w:name="OLE_LINK59"/>
      <w:bookmarkStart w:id="148" w:name="OLE_LINK60"/>
      <w:r>
        <w:rPr>
          <w:rFonts w:ascii="Times New Roman" w:cs="Times New Roman"/>
          <w:b/>
          <w:sz w:val="21"/>
          <w:szCs w:val="21"/>
        </w:rPr>
        <w:t>3.4-5</w:t>
      </w:r>
      <w:r>
        <w:rPr>
          <w:rFonts w:ascii="Times New Roman" w:cs="Times New Roman"/>
          <w:b/>
          <w:kern w:val="2"/>
          <w:sz w:val="21"/>
          <w:szCs w:val="21"/>
        </w:rPr>
        <w:t xml:space="preserve">  </w:t>
      </w:r>
      <w:r>
        <w:rPr>
          <w:rFonts w:ascii="Times New Roman" w:cs="Times New Roman"/>
          <w:b/>
          <w:kern w:val="2"/>
          <w:sz w:val="21"/>
          <w:szCs w:val="20"/>
        </w:rPr>
        <w:t>钻井设备一览表</w:t>
      </w:r>
    </w:p>
    <w:tbl>
      <w:tblPr>
        <w:tblStyle w:val="807"/>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40"/>
        <w:gridCol w:w="1405"/>
        <w:gridCol w:w="1524"/>
        <w:gridCol w:w="1274"/>
        <w:gridCol w:w="388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7" w:hRule="atLeast"/>
          <w:tblHeader/>
        </w:trPr>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序号</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名称</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功率或负荷</w:t>
            </w: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数量</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trPr>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井架</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4500kN</w:t>
            </w: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trPr>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2</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天车</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4500kN</w:t>
            </w: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trPr>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3</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游动滑车</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4500kN</w:t>
            </w: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trPr>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4</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大钩</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4500kN</w:t>
            </w: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trPr>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5</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水龙头</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4500kN</w:t>
            </w: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trPr>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6</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转盘</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4500kN</w:t>
            </w: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trPr>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7</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绞车</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1470kW</w:t>
            </w: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trPr>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8</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顶驱</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4500kN</w:t>
            </w: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rPr>
            </w:pPr>
            <w:r>
              <w:rPr>
                <w:rFonts w:ascii="Times New Roman" w:eastAsia="Times New Roman" w:cs="Times New Roman"/>
                <w:sz w:val="21"/>
                <w:szCs w:val="21"/>
              </w:rPr>
              <w:t>全井段配备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trPr>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9</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电磁刹车</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trPr>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10</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钻井泵</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1193kW</w:t>
            </w: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3</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trPr>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11</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柴油机</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1320kW</w:t>
            </w: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3</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trPr>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12</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发电机</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320kW</w:t>
            </w: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2</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9" w:hRule="atLeast"/>
        </w:trPr>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13</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单</w:t>
            </w:r>
            <w:r>
              <w:rPr>
                <w:rFonts w:ascii="Times New Roman" w:eastAsia="Times New Roman" w:cs="Times New Roman"/>
                <w:sz w:val="21"/>
                <w:szCs w:val="21"/>
                <w:lang w:val="zh-CN"/>
              </w:rPr>
              <w:t>闸板防喷器</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70MPa</w:t>
            </w: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三开使用</w:t>
            </w:r>
            <w:r>
              <w:rPr>
                <w:rFonts w:ascii="Times New Roman" w:eastAsia="Times New Roman" w:cs="Times New Roman"/>
                <w:sz w:val="21"/>
                <w:szCs w:val="21"/>
              </w:rPr>
              <w:t>35-70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5" w:hRule="atLeast"/>
        </w:trPr>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14</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双闸板防喷器</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35/70MPa</w:t>
            </w: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二开</w:t>
            </w:r>
            <w:r>
              <w:rPr>
                <w:rFonts w:ascii="Times New Roman" w:eastAsia="Times New Roman" w:cs="Times New Roman"/>
                <w:sz w:val="21"/>
                <w:szCs w:val="21"/>
              </w:rPr>
              <w:t>使用35-35</w:t>
            </w:r>
            <w:r>
              <w:rPr>
                <w:rFonts w:ascii="Times New Roman" w:eastAsia="Times New Roman" w:cs="Times New Roman"/>
                <w:sz w:val="21"/>
                <w:szCs w:val="21"/>
                <w:lang w:val="zh-CN"/>
              </w:rPr>
              <w:t>、三开使用</w:t>
            </w:r>
            <w:r>
              <w:rPr>
                <w:rFonts w:ascii="Times New Roman" w:eastAsia="Times New Roman" w:cs="Times New Roman"/>
                <w:sz w:val="21"/>
                <w:szCs w:val="21"/>
              </w:rPr>
              <w:t>35-70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5" w:hRule="atLeast"/>
        </w:trPr>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15</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环型防喷器</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35MPa</w:t>
            </w: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二开、三开使用</w:t>
            </w:r>
            <w:r>
              <w:rPr>
                <w:rFonts w:ascii="Times New Roman" w:eastAsia="Times New Roman" w:cs="Times New Roman"/>
                <w:sz w:val="21"/>
                <w:szCs w:val="21"/>
              </w:rPr>
              <w:t>35-35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16</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旋转防喷器</w:t>
            </w:r>
            <w:r>
              <w:rPr>
                <w:rFonts w:ascii="Times New Roman" w:eastAsia="Times New Roman" w:cs="Times New Roman"/>
                <w:sz w:val="21"/>
                <w:szCs w:val="21"/>
              </w:rPr>
              <w:t>FX35-17.5/35</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17.5/35</w:t>
            </w: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三</w:t>
            </w:r>
            <w:r>
              <w:rPr>
                <w:rFonts w:ascii="Times New Roman" w:eastAsia="Times New Roman" w:cs="Times New Roman"/>
                <w:sz w:val="21"/>
                <w:szCs w:val="21"/>
                <w:lang w:val="zh-CN"/>
              </w:rPr>
              <w:t>开使用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17</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压井管汇</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35/70MPa</w:t>
            </w: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rPr>
            </w:pPr>
            <w:r>
              <w:rPr>
                <w:rFonts w:ascii="Times New Roman" w:eastAsia="Times New Roman" w:cs="Times New Roman"/>
                <w:sz w:val="21"/>
                <w:szCs w:val="21"/>
                <w:lang w:val="zh-CN"/>
              </w:rPr>
              <w:t>二开</w:t>
            </w:r>
            <w:r>
              <w:rPr>
                <w:rFonts w:ascii="Times New Roman" w:eastAsia="Times New Roman" w:cs="Times New Roman"/>
                <w:sz w:val="21"/>
                <w:szCs w:val="21"/>
              </w:rPr>
              <w:t>使用35MPa</w:t>
            </w:r>
            <w:r>
              <w:rPr>
                <w:rFonts w:ascii="Times New Roman" w:eastAsia="Times New Roman" w:cs="Times New Roman"/>
                <w:sz w:val="21"/>
                <w:szCs w:val="21"/>
                <w:lang w:val="zh-CN"/>
              </w:rPr>
              <w:t>、三开使用</w:t>
            </w:r>
            <w:r>
              <w:rPr>
                <w:rFonts w:ascii="Times New Roman" w:eastAsia="Times New Roman" w:cs="Times New Roman"/>
                <w:sz w:val="21"/>
                <w:szCs w:val="21"/>
              </w:rPr>
              <w:t>70MPa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18</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节流管汇</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35/70MPa</w:t>
            </w: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二开</w:t>
            </w:r>
            <w:r>
              <w:rPr>
                <w:rFonts w:ascii="Times New Roman" w:eastAsia="Times New Roman" w:cs="Times New Roman"/>
                <w:sz w:val="21"/>
                <w:szCs w:val="21"/>
              </w:rPr>
              <w:t>使用35MPa</w:t>
            </w:r>
            <w:r>
              <w:rPr>
                <w:rFonts w:ascii="Times New Roman" w:eastAsia="Times New Roman" w:cs="Times New Roman"/>
                <w:sz w:val="21"/>
                <w:szCs w:val="21"/>
                <w:lang w:val="zh-CN"/>
              </w:rPr>
              <w:t>、三开使用</w:t>
            </w:r>
            <w:r>
              <w:rPr>
                <w:rFonts w:ascii="Times New Roman" w:eastAsia="Times New Roman" w:cs="Times New Roman"/>
                <w:sz w:val="21"/>
                <w:szCs w:val="21"/>
              </w:rPr>
              <w:t>70MPa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19</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液气分离器</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20</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自动点火装置</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21</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手动点火装置</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22</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司钻控制台</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23</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节流控制箱</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24</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远程控制台</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25</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除砂器</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55kW</w:t>
            </w: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26</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除泥器</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45kW</w:t>
            </w: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28</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振动筛</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4kW</w:t>
            </w: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3</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处理量≥</w:t>
            </w:r>
            <w:r>
              <w:rPr>
                <w:rFonts w:ascii="Times New Roman" w:eastAsia="Times New Roman" w:cs="Times New Roman"/>
                <w:sz w:val="21"/>
                <w:szCs w:val="21"/>
              </w:rPr>
              <w:t>55L/s</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29</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除气器</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排气管线接出井场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30</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离心机</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69kW</w:t>
            </w: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31</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液压大钳</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32</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搅拌机</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49</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33</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灌浆装置</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小罐计量</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34</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循环罐</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80m</w:t>
            </w:r>
            <w:r>
              <w:rPr>
                <w:rFonts w:ascii="Times New Roman" w:eastAsia="Times New Roman" w:cs="Times New Roman"/>
                <w:sz w:val="21"/>
                <w:szCs w:val="21"/>
                <w:vertAlign w:val="superscript"/>
              </w:rPr>
              <w:t>3</w:t>
            </w: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5</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锥形罐除外、带搅拌机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35</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储备罐</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60m</w:t>
            </w:r>
            <w:r>
              <w:rPr>
                <w:rFonts w:ascii="Times New Roman" w:eastAsia="Times New Roman" w:cs="Times New Roman"/>
                <w:sz w:val="21"/>
                <w:szCs w:val="21"/>
                <w:vertAlign w:val="superscript"/>
              </w:rPr>
              <w:t>3</w:t>
            </w: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14</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36</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加重装置</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2</w:t>
            </w:r>
            <w:r>
              <w:rPr>
                <w:rFonts w:ascii="Times New Roman" w:eastAsia="Times New Roman" w:cs="Times New Roman"/>
                <w:sz w:val="21"/>
                <w:szCs w:val="21"/>
                <w:lang w:val="zh-CN"/>
              </w:rPr>
              <w:t>套</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气动下料</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37</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钻井参数仪</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钻压、扭矩、转速、泵压、泵冲、悬重、泥浆体积等八道参数以上，司钻台、监督房、工程师房内有显示屏</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38</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二层台逃生装置</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58"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39</w:t>
            </w:r>
          </w:p>
        </w:tc>
        <w:tc>
          <w:tcPr>
            <w:tcW w:w="82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lang w:val="zh-CN"/>
              </w:rPr>
              <w:t>测斜绞车</w:t>
            </w:r>
            <w:r>
              <w:rPr>
                <w:rFonts w:ascii="Times New Roman" w:eastAsia="Times New Roman" w:cs="Times New Roman"/>
                <w:sz w:val="21"/>
                <w:szCs w:val="21"/>
              </w:rPr>
              <w:t>/</w:t>
            </w:r>
            <w:r>
              <w:rPr>
                <w:rFonts w:ascii="Times New Roman" w:eastAsia="Times New Roman" w:cs="Times New Roman"/>
                <w:sz w:val="21"/>
                <w:szCs w:val="21"/>
                <w:lang w:val="zh-CN"/>
              </w:rPr>
              <w:t>测斜仪</w:t>
            </w:r>
          </w:p>
        </w:tc>
        <w:tc>
          <w:tcPr>
            <w:tcW w:w="894"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c>
          <w:tcPr>
            <w:tcW w:w="74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r>
              <w:rPr>
                <w:rFonts w:ascii="Times New Roman" w:eastAsia="Times New Roman" w:cs="Times New Roman"/>
                <w:sz w:val="21"/>
                <w:szCs w:val="21"/>
              </w:rPr>
              <w:t>1</w:t>
            </w:r>
          </w:p>
        </w:tc>
        <w:tc>
          <w:tcPr>
            <w:tcW w:w="2277" w:type="pct"/>
            <w:vAlign w:val="center"/>
          </w:tcPr>
          <w:p>
            <w:pPr>
              <w:topLinePunct w:val="0"/>
              <w:autoSpaceDE w:val="0"/>
              <w:autoSpaceDN w:val="0"/>
              <w:spacing w:line="240" w:lineRule="auto"/>
              <w:ind w:firstLine="0" w:firstLineChars="0"/>
              <w:rPr>
                <w:rFonts w:ascii="Times New Roman" w:eastAsia="Times New Roman" w:cs="Times New Roman"/>
                <w:sz w:val="22"/>
                <w:szCs w:val="22"/>
                <w:lang w:val="zh-CN"/>
              </w:rPr>
            </w:pPr>
          </w:p>
        </w:tc>
      </w:tr>
      <w:bookmarkEnd w:id="147"/>
      <w:bookmarkEnd w:id="148"/>
    </w:tbl>
    <w:p>
      <w:pPr>
        <w:pStyle w:val="4"/>
        <w:rPr>
          <w:rFonts w:eastAsia="宋体"/>
        </w:rPr>
      </w:pPr>
      <w:r>
        <w:rPr>
          <w:rFonts w:eastAsia="宋体"/>
        </w:rPr>
        <w:t>3.</w:t>
      </w:r>
      <w:r>
        <w:rPr>
          <w:rFonts w:hint="eastAsia" w:eastAsia="宋体"/>
        </w:rPr>
        <w:t>4</w:t>
      </w:r>
      <w:r>
        <w:rPr>
          <w:rFonts w:eastAsia="宋体"/>
        </w:rPr>
        <w:t>.</w:t>
      </w:r>
      <w:r>
        <w:rPr>
          <w:rFonts w:hint="eastAsia" w:eastAsia="宋体"/>
        </w:rPr>
        <w:t>3</w:t>
      </w:r>
      <w:r>
        <w:rPr>
          <w:rFonts w:eastAsia="宋体"/>
        </w:rPr>
        <w:t xml:space="preserve"> </w:t>
      </w:r>
      <w:r>
        <w:rPr>
          <w:rFonts w:hint="eastAsia" w:eastAsia="宋体"/>
        </w:rPr>
        <w:t>完井工程（采气工程）</w:t>
      </w:r>
    </w:p>
    <w:p>
      <w:pPr>
        <w:snapToGrid w:val="0"/>
        <w:ind w:firstLine="480"/>
        <w:rPr>
          <w:rFonts w:ascii="Times New Roman" w:cs="Times New Roman"/>
        </w:rPr>
      </w:pPr>
      <w:bookmarkStart w:id="149" w:name="OLE_LINK74"/>
      <w:r>
        <w:rPr>
          <w:rFonts w:ascii="Times New Roman" w:cs="Times New Roman"/>
        </w:rPr>
        <w:t>完井作业采用套管射孔完井、洗井等工艺，完井后设备搬迁。</w:t>
      </w:r>
    </w:p>
    <w:p>
      <w:pPr>
        <w:snapToGrid w:val="0"/>
        <w:ind w:firstLine="480"/>
        <w:rPr>
          <w:rFonts w:ascii="Times New Roman" w:cs="Times New Roman"/>
        </w:rPr>
      </w:pPr>
      <w:r>
        <w:rPr>
          <w:rFonts w:ascii="Times New Roman" w:cs="Times New Roman"/>
        </w:rPr>
        <w:t>完井工程共分为6个工艺，分别为：井筒处理、模拟通井、下完井管柱、安装采气树、压裂酸化、放喷测试。</w:t>
      </w:r>
    </w:p>
    <w:p>
      <w:pPr>
        <w:snapToGrid w:val="0"/>
        <w:ind w:firstLine="480"/>
        <w:rPr>
          <w:rFonts w:ascii="Times New Roman" w:cs="Times New Roman"/>
        </w:rPr>
      </w:pPr>
      <w:r>
        <w:rPr>
          <w:rFonts w:ascii="Times New Roman" w:cs="Times New Roman"/>
        </w:rPr>
        <w:t>（1）井筒处理</w:t>
      </w:r>
    </w:p>
    <w:p>
      <w:pPr>
        <w:snapToGrid w:val="0"/>
        <w:ind w:firstLine="480"/>
        <w:rPr>
          <w:rFonts w:ascii="Times New Roman" w:cs="Times New Roman"/>
        </w:rPr>
      </w:pPr>
      <w:r>
        <w:rPr>
          <w:rFonts w:ascii="Times New Roman" w:cs="Times New Roman"/>
        </w:rPr>
        <w:t>井筒处理包括钻塞、通井、刮削和洗井。</w:t>
      </w:r>
    </w:p>
    <w:p>
      <w:pPr>
        <w:snapToGrid w:val="0"/>
        <w:ind w:firstLine="480"/>
        <w:rPr>
          <w:rFonts w:ascii="Times New Roman" w:cs="Times New Roman"/>
        </w:rPr>
      </w:pPr>
      <w:r>
        <w:rPr>
          <w:rFonts w:ascii="Times New Roman" w:cs="Times New Roman"/>
        </w:rPr>
        <w:t>采用“钻头+螺杆钻”落实灰面并钻掉套管内水泥塞及浮箍，钻掉套管内水泥塞后，采用通井规对套管实施通井，采用刮削器对钻塞井段和合金套管段进行刮削，清理套管内壁残余水泥块，循环洗井。</w:t>
      </w:r>
    </w:p>
    <w:p>
      <w:pPr>
        <w:snapToGrid w:val="0"/>
        <w:ind w:firstLine="480"/>
        <w:rPr>
          <w:rFonts w:ascii="Times New Roman" w:cs="Times New Roman"/>
        </w:rPr>
      </w:pPr>
      <w:r>
        <w:rPr>
          <w:rFonts w:ascii="Times New Roman" w:cs="Times New Roman"/>
        </w:rPr>
        <w:t>（2）模拟通井</w:t>
      </w:r>
    </w:p>
    <w:p>
      <w:pPr>
        <w:snapToGrid w:val="0"/>
        <w:ind w:firstLine="480"/>
        <w:rPr>
          <w:rFonts w:ascii="Times New Roman" w:cs="Times New Roman"/>
        </w:rPr>
      </w:pPr>
      <w:r>
        <w:rPr>
          <w:rFonts w:ascii="Times New Roman" w:cs="Times New Roman"/>
        </w:rPr>
        <w:t>采用钻头通井、单铣柱模拟通井、双铣柱模拟通井三趟通井工艺，确保井眼光滑，为分段完井管柱下井提供顺畅的井筒条件。</w:t>
      </w:r>
    </w:p>
    <w:p>
      <w:pPr>
        <w:snapToGrid w:val="0"/>
        <w:ind w:firstLine="480"/>
        <w:rPr>
          <w:rFonts w:ascii="Times New Roman" w:cs="Times New Roman"/>
        </w:rPr>
      </w:pPr>
      <w:r>
        <w:rPr>
          <w:rFonts w:ascii="Times New Roman" w:cs="Times New Roman"/>
        </w:rPr>
        <w:t>（3）下完井管柱</w:t>
      </w:r>
    </w:p>
    <w:p>
      <w:pPr>
        <w:pStyle w:val="112"/>
        <w:ind w:firstLine="480"/>
      </w:pPr>
      <w:r>
        <w:t>先采用钻杆携带悬挂封及以下分段管柱下井，完成管柱坐封，再下回接管柱完井。井下作业主要设备见表</w:t>
      </w:r>
      <w:bookmarkStart w:id="150" w:name="OLE_LINK80"/>
      <w:bookmarkStart w:id="151" w:name="OLE_LINK79"/>
      <w:r>
        <w:rPr>
          <w:rFonts w:hint="eastAsia"/>
        </w:rPr>
        <w:t>3.4-</w:t>
      </w:r>
      <w:bookmarkEnd w:id="150"/>
      <w:bookmarkEnd w:id="151"/>
      <w:r>
        <w:rPr>
          <w:rFonts w:hint="eastAsia"/>
        </w:rPr>
        <w:t>6</w:t>
      </w:r>
      <w:r>
        <w:t>。</w:t>
      </w:r>
      <w:bookmarkEnd w:id="149"/>
    </w:p>
    <w:p>
      <w:pPr>
        <w:topLinePunct w:val="0"/>
        <w:snapToGrid w:val="0"/>
        <w:spacing w:beforeLines="50"/>
        <w:ind w:firstLine="0" w:firstLineChars="0"/>
        <w:jc w:val="center"/>
        <w:rPr>
          <w:rFonts w:ascii="Times New Roman" w:cs="Times New Roman"/>
          <w:b/>
          <w:kern w:val="2"/>
          <w:sz w:val="21"/>
          <w:szCs w:val="20"/>
        </w:rPr>
      </w:pPr>
      <w:bookmarkStart w:id="152" w:name="_Ref505766830"/>
      <w:r>
        <w:rPr>
          <w:rFonts w:ascii="Times New Roman" w:cs="Times New Roman"/>
          <w:b/>
          <w:kern w:val="2"/>
          <w:sz w:val="21"/>
          <w:szCs w:val="20"/>
        </w:rPr>
        <w:t>表</w:t>
      </w:r>
      <w:bookmarkEnd w:id="152"/>
      <w:r>
        <w:rPr>
          <w:rFonts w:ascii="Times New Roman" w:cs="Times New Roman"/>
          <w:b/>
          <w:sz w:val="21"/>
          <w:szCs w:val="21"/>
        </w:rPr>
        <w:t>3.4-</w:t>
      </w:r>
      <w:r>
        <w:rPr>
          <w:rFonts w:hint="eastAsia" w:ascii="Times New Roman" w:cs="Times New Roman"/>
          <w:b/>
          <w:sz w:val="21"/>
          <w:szCs w:val="21"/>
        </w:rPr>
        <w:t>6</w:t>
      </w:r>
      <w:r>
        <w:rPr>
          <w:rFonts w:ascii="Times New Roman" w:cs="Times New Roman"/>
          <w:b/>
          <w:kern w:val="2"/>
          <w:sz w:val="21"/>
          <w:szCs w:val="20"/>
        </w:rPr>
        <w:t xml:space="preserve">  井下作业主要设备一览表</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848"/>
        <w:gridCol w:w="3218"/>
        <w:gridCol w:w="912"/>
        <w:gridCol w:w="18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b/>
                <w:kern w:val="2"/>
                <w:sz w:val="21"/>
              </w:rPr>
            </w:pPr>
            <w:r>
              <w:rPr>
                <w:rFonts w:ascii="Times New Roman" w:cs="Times New Roman"/>
                <w:b/>
                <w:kern w:val="2"/>
                <w:sz w:val="21"/>
              </w:rPr>
              <w:t>序号</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b/>
                <w:kern w:val="2"/>
                <w:sz w:val="21"/>
              </w:rPr>
            </w:pPr>
            <w:r>
              <w:rPr>
                <w:rFonts w:ascii="Times New Roman" w:cs="Times New Roman"/>
                <w:b/>
                <w:kern w:val="2"/>
                <w:sz w:val="21"/>
              </w:rPr>
              <w:t>名称</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b/>
                <w:kern w:val="2"/>
                <w:sz w:val="21"/>
              </w:rPr>
            </w:pPr>
            <w:r>
              <w:rPr>
                <w:rFonts w:ascii="Times New Roman" w:cs="Times New Roman"/>
                <w:b/>
                <w:kern w:val="2"/>
                <w:sz w:val="21"/>
              </w:rPr>
              <w:t>规格型号</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b/>
                <w:kern w:val="2"/>
                <w:sz w:val="21"/>
              </w:rPr>
            </w:pPr>
            <w:r>
              <w:rPr>
                <w:rFonts w:ascii="Times New Roman" w:cs="Times New Roman"/>
                <w:b/>
                <w:kern w:val="2"/>
                <w:sz w:val="21"/>
              </w:rPr>
              <w:t>数量</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b/>
                <w:kern w:val="2"/>
                <w:sz w:val="21"/>
              </w:rPr>
            </w:pPr>
            <w:r>
              <w:rPr>
                <w:rFonts w:ascii="Times New Roman" w:cs="Times New Roman"/>
                <w:b/>
                <w:kern w:val="2"/>
                <w:sz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Φ88.9mm斜坡钻杆</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spacing w:val="6"/>
                <w:kern w:val="2"/>
                <w:sz w:val="21"/>
              </w:rPr>
              <w:t>G105</w:t>
            </w:r>
            <w:r>
              <w:rPr>
                <w:rFonts w:ascii="Times New Roman" w:cs="Times New Roman"/>
                <w:kern w:val="2"/>
                <w:sz w:val="21"/>
              </w:rPr>
              <w:t>壁厚9.35</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6500m</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处理井筒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套管通井规</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lang w:val="el-GR"/>
              </w:rPr>
            </w:pPr>
            <w:r>
              <w:rPr>
                <w:rFonts w:ascii="Times New Roman" w:cs="Times New Roman"/>
                <w:kern w:val="2"/>
                <w:sz w:val="21"/>
                <w:lang w:val="el-GR"/>
              </w:rPr>
              <w:t>Φ1</w:t>
            </w:r>
            <w:r>
              <w:rPr>
                <w:rFonts w:ascii="Times New Roman" w:cs="Times New Roman"/>
                <w:kern w:val="2"/>
                <w:sz w:val="21"/>
              </w:rPr>
              <w:t>46mm×4m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1支</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3</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套管刮削器</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GX-T178</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1支</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4</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钻头</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牙轮、刮刀Φ149.2mm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各2支</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抗硫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5</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加重钻杆</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Φ88.9mm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24根</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抗硫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6</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钻铤</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Φ104.8mm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2根</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抗硫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7</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无磁钻铤</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Φ120.7mm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2根</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抗硫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8</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单弯螺杆</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1.25°  Φ120.7mm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2只</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抗硫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9</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止回阀</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lang w:val="el-GR"/>
              </w:rPr>
              <w:t>Φ</w:t>
            </w:r>
            <w:r>
              <w:rPr>
                <w:rFonts w:ascii="Times New Roman" w:cs="Times New Roman"/>
                <w:kern w:val="2"/>
                <w:sz w:val="21"/>
              </w:rPr>
              <w:t>120.7mm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各2只</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抗硫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10</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打捞震击器</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Φ120.7mm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1只</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抗硫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11</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西瓜皮铣柱</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lang w:val="el-GR"/>
              </w:rPr>
            </w:pPr>
            <w:r>
              <w:rPr>
                <w:rFonts w:ascii="Times New Roman" w:cs="Times New Roman"/>
                <w:kern w:val="2"/>
                <w:sz w:val="21"/>
              </w:rPr>
              <w:t>Φ</w:t>
            </w:r>
            <w:r>
              <w:rPr>
                <w:rFonts w:ascii="Times New Roman" w:cs="Times New Roman"/>
                <w:kern w:val="2"/>
                <w:sz w:val="21"/>
                <w:lang w:val="el-GR"/>
              </w:rPr>
              <w:t>146</w:t>
            </w:r>
            <w:r>
              <w:rPr>
                <w:rFonts w:ascii="Times New Roman" w:cs="Times New Roman"/>
                <w:kern w:val="2"/>
                <w:sz w:val="21"/>
              </w:rPr>
              <w:t>mm</w:t>
            </w:r>
            <w:r>
              <w:rPr>
                <w:rFonts w:ascii="Times New Roman" w:cs="Times New Roman"/>
                <w:kern w:val="2"/>
                <w:sz w:val="21"/>
                <w:lang w:val="el-GR"/>
              </w:rPr>
              <w:t>×1.2</w:t>
            </w:r>
            <w:r>
              <w:rPr>
                <w:rFonts w:ascii="Times New Roman" w:cs="Times New Roman"/>
                <w:kern w:val="2"/>
                <w:sz w:val="21"/>
              </w:rPr>
              <w:t>m</w:t>
            </w:r>
            <w:r>
              <w:rPr>
                <w:rFonts w:ascii="Times New Roman" w:cs="Times New Roman"/>
                <w:kern w:val="2"/>
                <w:sz w:val="21"/>
                <w:lang w:val="el-GR"/>
              </w:rPr>
              <w:t>、</w:t>
            </w:r>
            <w:r>
              <w:rPr>
                <w:rFonts w:ascii="Times New Roman" w:cs="Times New Roman"/>
                <w:kern w:val="2"/>
                <w:sz w:val="21"/>
              </w:rPr>
              <w:t>Φ</w:t>
            </w:r>
            <w:r>
              <w:rPr>
                <w:rFonts w:ascii="Times New Roman" w:cs="Times New Roman"/>
                <w:kern w:val="2"/>
                <w:sz w:val="21"/>
                <w:lang w:val="el-GR"/>
              </w:rPr>
              <w:t>148</w:t>
            </w:r>
            <w:r>
              <w:rPr>
                <w:rFonts w:ascii="Times New Roman" w:cs="Times New Roman"/>
                <w:kern w:val="2"/>
                <w:sz w:val="21"/>
              </w:rPr>
              <w:t>mm</w:t>
            </w:r>
            <w:r>
              <w:rPr>
                <w:rFonts w:ascii="Times New Roman" w:cs="Times New Roman"/>
                <w:kern w:val="2"/>
                <w:sz w:val="21"/>
                <w:lang w:val="el-GR"/>
              </w:rPr>
              <w:t>×1.2</w:t>
            </w:r>
            <w:r>
              <w:rPr>
                <w:rFonts w:ascii="Times New Roman" w:cs="Times New Roman"/>
                <w:kern w:val="2"/>
                <w:sz w:val="21"/>
              </w:rPr>
              <w:t>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各2支</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12</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液压钳</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1200型、600型</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各1台</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13</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活门吊卡</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250吨（Φ88.9mm加厚、平式）</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各2只</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14</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扭角吊卡</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250吨（Φ88.9mm加厚）</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2只</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15</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卡盘</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250吨（Φ88.9mm）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1套</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16</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微牙痕液压油管钳</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bCs/>
                <w:kern w:val="2"/>
                <w:sz w:val="21"/>
              </w:rPr>
              <w:t>8-5/8"，最大扭矩：45000N.M 1575mm×940mm×1699mm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1台</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bCs/>
                <w:kern w:val="2"/>
                <w:sz w:val="21"/>
              </w:rPr>
              <w:t>包括各种尺寸钳头、微牙痕牙板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17</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合金油管吊卡</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Φ88.9mm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3台</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18</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摩擦钳</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Φ88.9mm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2把</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19</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布袋钳</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bCs/>
                <w:kern w:val="2"/>
                <w:sz w:val="21"/>
              </w:rPr>
            </w:pPr>
            <w:r>
              <w:rPr>
                <w:rFonts w:ascii="Times New Roman" w:cs="Times New Roman"/>
                <w:kern w:val="2"/>
                <w:sz w:val="21"/>
              </w:rPr>
              <w:t>Φ88.9mm</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2把</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20</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扭矩监测仪</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A150</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2台</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21</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传感器</w:t>
            </w:r>
          </w:p>
        </w:tc>
        <w:tc>
          <w:tcPr>
            <w:tcW w:w="1887" w:type="pct"/>
            <w:vAlign w:val="center"/>
          </w:tcPr>
          <w:p>
            <w:pPr>
              <w:topLinePunct w:val="0"/>
              <w:autoSpaceDE w:val="0"/>
              <w:autoSpaceDN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5T</w:t>
            </w:r>
          </w:p>
        </w:tc>
        <w:tc>
          <w:tcPr>
            <w:tcW w:w="535"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2套</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22</w:t>
            </w:r>
          </w:p>
        </w:tc>
        <w:tc>
          <w:tcPr>
            <w:tcW w:w="108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液压动力站</w:t>
            </w:r>
          </w:p>
        </w:tc>
        <w:tc>
          <w:tcPr>
            <w:tcW w:w="1887"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Y250、37kW、380V</w:t>
            </w:r>
          </w:p>
        </w:tc>
        <w:tc>
          <w:tcPr>
            <w:tcW w:w="535"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1台</w:t>
            </w:r>
          </w:p>
        </w:tc>
        <w:tc>
          <w:tcPr>
            <w:tcW w:w="1064"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23</w:t>
            </w:r>
          </w:p>
        </w:tc>
        <w:tc>
          <w:tcPr>
            <w:tcW w:w="1084"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防碰胶垫</w:t>
            </w:r>
          </w:p>
        </w:tc>
        <w:tc>
          <w:tcPr>
            <w:tcW w:w="1887" w:type="pct"/>
            <w:vAlign w:val="center"/>
          </w:tcPr>
          <w:p>
            <w:pPr>
              <w:topLinePunct w:val="0"/>
              <w:snapToGrid w:val="0"/>
              <w:spacing w:line="240" w:lineRule="auto"/>
              <w:ind w:firstLine="0" w:firstLineChars="0"/>
              <w:jc w:val="center"/>
              <w:rPr>
                <w:rFonts w:ascii="Times New Roman" w:cs="Times New Roman"/>
                <w:bCs/>
                <w:kern w:val="2"/>
                <w:sz w:val="21"/>
              </w:rPr>
            </w:pPr>
          </w:p>
        </w:tc>
        <w:tc>
          <w:tcPr>
            <w:tcW w:w="535"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若干</w:t>
            </w:r>
          </w:p>
        </w:tc>
        <w:tc>
          <w:tcPr>
            <w:tcW w:w="1064" w:type="pct"/>
            <w:vAlign w:val="center"/>
          </w:tcPr>
          <w:p>
            <w:pPr>
              <w:topLinePunct w:val="0"/>
              <w:snapToGrid w:val="0"/>
              <w:spacing w:line="240" w:lineRule="auto"/>
              <w:ind w:left="-3" w:leftChars="-10" w:hanging="21" w:hangingChars="10"/>
              <w:jc w:val="center"/>
              <w:rPr>
                <w:rFonts w:ascii="Times New Roman" w:cs="Times New Roman"/>
                <w:bCs/>
                <w:kern w:val="2"/>
                <w:sz w:val="21"/>
              </w:rPr>
            </w:pPr>
            <w:r>
              <w:rPr>
                <w:rFonts w:ascii="Times New Roman" w:cs="Times New Roman"/>
                <w:bCs/>
                <w:kern w:val="2"/>
                <w:sz w:val="21"/>
              </w:rPr>
              <w:t>钻机配套，保护钻台滑道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24</w:t>
            </w:r>
          </w:p>
        </w:tc>
        <w:tc>
          <w:tcPr>
            <w:tcW w:w="1084"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鼠洞保护胶筒</w:t>
            </w:r>
          </w:p>
        </w:tc>
        <w:tc>
          <w:tcPr>
            <w:tcW w:w="1887"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7"</w:t>
            </w:r>
          </w:p>
        </w:tc>
        <w:tc>
          <w:tcPr>
            <w:tcW w:w="535"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1根</w:t>
            </w:r>
          </w:p>
        </w:tc>
        <w:tc>
          <w:tcPr>
            <w:tcW w:w="1064" w:type="pct"/>
            <w:vAlign w:val="center"/>
          </w:tcPr>
          <w:p>
            <w:pPr>
              <w:topLinePunct w:val="0"/>
              <w:snapToGrid w:val="0"/>
              <w:spacing w:line="240" w:lineRule="auto"/>
              <w:ind w:firstLine="71" w:firstLineChars="34"/>
              <w:jc w:val="center"/>
              <w:rPr>
                <w:rFonts w:ascii="Times New Roman" w:cs="Times New Roman"/>
                <w:bCs/>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25</w:t>
            </w:r>
          </w:p>
        </w:tc>
        <w:tc>
          <w:tcPr>
            <w:tcW w:w="1084"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泥浆压井液</w:t>
            </w:r>
          </w:p>
        </w:tc>
        <w:tc>
          <w:tcPr>
            <w:tcW w:w="1887" w:type="pct"/>
            <w:vAlign w:val="center"/>
          </w:tcPr>
          <w:p>
            <w:pPr>
              <w:topLinePunct w:val="0"/>
              <w:snapToGrid w:val="0"/>
              <w:spacing w:line="240" w:lineRule="auto"/>
              <w:ind w:firstLine="0" w:firstLineChars="0"/>
              <w:jc w:val="center"/>
              <w:rPr>
                <w:rFonts w:ascii="Times New Roman" w:cs="Times New Roman"/>
                <w:kern w:val="2"/>
                <w:sz w:val="21"/>
              </w:rPr>
            </w:pPr>
          </w:p>
        </w:tc>
        <w:tc>
          <w:tcPr>
            <w:tcW w:w="535"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330m</w:t>
            </w:r>
            <w:r>
              <w:rPr>
                <w:rFonts w:ascii="Times New Roman" w:cs="Times New Roman"/>
                <w:bCs/>
                <w:kern w:val="2"/>
                <w:sz w:val="21"/>
                <w:vertAlign w:val="superscript"/>
              </w:rPr>
              <w:t>3</w:t>
            </w:r>
          </w:p>
        </w:tc>
        <w:tc>
          <w:tcPr>
            <w:tcW w:w="1064" w:type="pct"/>
            <w:vAlign w:val="center"/>
          </w:tcPr>
          <w:p>
            <w:pPr>
              <w:topLinePunct w:val="0"/>
              <w:snapToGrid w:val="0"/>
              <w:spacing w:line="240" w:lineRule="auto"/>
              <w:ind w:firstLine="71" w:firstLineChars="34"/>
              <w:jc w:val="center"/>
              <w:rPr>
                <w:rFonts w:ascii="Times New Roman" w:cs="Times New Roman"/>
                <w:bCs/>
                <w:kern w:val="2"/>
                <w:sz w:val="21"/>
              </w:rPr>
            </w:pPr>
            <w:r>
              <w:rPr>
                <w:rFonts w:ascii="Times New Roman" w:cs="Times New Roman"/>
                <w:bCs/>
                <w:kern w:val="2"/>
                <w:sz w:val="21"/>
              </w:rPr>
              <w:t>密度1.09g/cm</w:t>
            </w:r>
            <w:r>
              <w:rPr>
                <w:rFonts w:ascii="Times New Roman" w:cs="Times New Roman"/>
                <w:bCs/>
                <w:kern w:val="2"/>
                <w:sz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26</w:t>
            </w:r>
          </w:p>
        </w:tc>
        <w:tc>
          <w:tcPr>
            <w:tcW w:w="1084"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重浆</w:t>
            </w:r>
          </w:p>
        </w:tc>
        <w:tc>
          <w:tcPr>
            <w:tcW w:w="1887" w:type="pct"/>
            <w:vAlign w:val="center"/>
          </w:tcPr>
          <w:p>
            <w:pPr>
              <w:topLinePunct w:val="0"/>
              <w:snapToGrid w:val="0"/>
              <w:spacing w:line="240" w:lineRule="auto"/>
              <w:ind w:firstLine="0" w:firstLineChars="0"/>
              <w:jc w:val="center"/>
              <w:rPr>
                <w:rFonts w:ascii="Times New Roman" w:cs="Times New Roman"/>
                <w:kern w:val="2"/>
                <w:sz w:val="21"/>
              </w:rPr>
            </w:pPr>
          </w:p>
        </w:tc>
        <w:tc>
          <w:tcPr>
            <w:tcW w:w="535"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250m</w:t>
            </w:r>
            <w:r>
              <w:rPr>
                <w:rFonts w:ascii="Times New Roman" w:cs="Times New Roman"/>
                <w:bCs/>
                <w:kern w:val="2"/>
                <w:sz w:val="21"/>
                <w:vertAlign w:val="superscript"/>
              </w:rPr>
              <w:t>3</w:t>
            </w:r>
          </w:p>
        </w:tc>
        <w:tc>
          <w:tcPr>
            <w:tcW w:w="1064" w:type="pct"/>
            <w:vAlign w:val="center"/>
          </w:tcPr>
          <w:p>
            <w:pPr>
              <w:topLinePunct w:val="0"/>
              <w:snapToGrid w:val="0"/>
              <w:spacing w:line="240" w:lineRule="auto"/>
              <w:ind w:firstLine="71" w:firstLineChars="34"/>
              <w:jc w:val="center"/>
              <w:rPr>
                <w:rFonts w:ascii="Times New Roman" w:cs="Times New Roman"/>
                <w:bCs/>
                <w:kern w:val="2"/>
                <w:sz w:val="21"/>
              </w:rPr>
            </w:pPr>
            <w:r>
              <w:rPr>
                <w:rFonts w:ascii="Times New Roman" w:cs="Times New Roman"/>
                <w:bCs/>
                <w:kern w:val="2"/>
                <w:sz w:val="21"/>
              </w:rPr>
              <w:t>密度1.29g/cm</w:t>
            </w:r>
            <w:r>
              <w:rPr>
                <w:rFonts w:ascii="Times New Roman" w:cs="Times New Roman"/>
                <w:bCs/>
                <w:kern w:val="2"/>
                <w:sz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27</w:t>
            </w:r>
          </w:p>
        </w:tc>
        <w:tc>
          <w:tcPr>
            <w:tcW w:w="1084"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环空保护液</w:t>
            </w:r>
          </w:p>
        </w:tc>
        <w:tc>
          <w:tcPr>
            <w:tcW w:w="1887" w:type="pct"/>
            <w:vAlign w:val="center"/>
          </w:tcPr>
          <w:p>
            <w:pPr>
              <w:topLinePunct w:val="0"/>
              <w:snapToGrid w:val="0"/>
              <w:spacing w:line="240" w:lineRule="auto"/>
              <w:ind w:firstLine="0" w:firstLineChars="0"/>
              <w:jc w:val="center"/>
              <w:rPr>
                <w:rFonts w:ascii="Times New Roman" w:cs="Times New Roman"/>
                <w:kern w:val="2"/>
                <w:sz w:val="21"/>
              </w:rPr>
            </w:pPr>
          </w:p>
        </w:tc>
        <w:tc>
          <w:tcPr>
            <w:tcW w:w="535"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140m</w:t>
            </w:r>
            <w:r>
              <w:rPr>
                <w:rFonts w:ascii="Times New Roman" w:cs="Times New Roman"/>
                <w:bCs/>
                <w:kern w:val="2"/>
                <w:sz w:val="21"/>
                <w:vertAlign w:val="superscript"/>
              </w:rPr>
              <w:t>3</w:t>
            </w:r>
          </w:p>
        </w:tc>
        <w:tc>
          <w:tcPr>
            <w:tcW w:w="1064" w:type="pct"/>
            <w:vAlign w:val="center"/>
          </w:tcPr>
          <w:p>
            <w:pPr>
              <w:topLinePunct w:val="0"/>
              <w:snapToGrid w:val="0"/>
              <w:spacing w:line="240" w:lineRule="auto"/>
              <w:ind w:firstLine="71" w:firstLineChars="34"/>
              <w:jc w:val="center"/>
              <w:rPr>
                <w:rFonts w:ascii="Times New Roman" w:cs="Times New Roman"/>
                <w:bCs/>
                <w:kern w:val="2"/>
                <w:sz w:val="21"/>
              </w:rPr>
            </w:pPr>
            <w:r>
              <w:rPr>
                <w:rFonts w:ascii="Times New Roman" w:cs="Times New Roman"/>
                <w:bCs/>
                <w:kern w:val="2"/>
                <w:sz w:val="21"/>
              </w:rPr>
              <w:t>密度1.09g/cm</w:t>
            </w:r>
            <w:r>
              <w:rPr>
                <w:rFonts w:ascii="Times New Roman" w:cs="Times New Roman"/>
                <w:bCs/>
                <w:kern w:val="2"/>
                <w:sz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28</w:t>
            </w:r>
          </w:p>
        </w:tc>
        <w:tc>
          <w:tcPr>
            <w:tcW w:w="1084"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无固相压井液</w:t>
            </w:r>
          </w:p>
        </w:tc>
        <w:tc>
          <w:tcPr>
            <w:tcW w:w="1887" w:type="pct"/>
            <w:vAlign w:val="center"/>
          </w:tcPr>
          <w:p>
            <w:pPr>
              <w:topLinePunct w:val="0"/>
              <w:snapToGrid w:val="0"/>
              <w:spacing w:line="240" w:lineRule="auto"/>
              <w:ind w:firstLine="0" w:firstLineChars="0"/>
              <w:jc w:val="center"/>
              <w:rPr>
                <w:rFonts w:ascii="Times New Roman" w:cs="Times New Roman"/>
                <w:kern w:val="2"/>
                <w:sz w:val="21"/>
              </w:rPr>
            </w:pPr>
          </w:p>
        </w:tc>
        <w:tc>
          <w:tcPr>
            <w:tcW w:w="535"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100m</w:t>
            </w:r>
            <w:r>
              <w:rPr>
                <w:rFonts w:ascii="Times New Roman" w:cs="Times New Roman"/>
                <w:bCs/>
                <w:kern w:val="2"/>
                <w:sz w:val="21"/>
                <w:vertAlign w:val="superscript"/>
              </w:rPr>
              <w:t>3</w:t>
            </w:r>
          </w:p>
        </w:tc>
        <w:tc>
          <w:tcPr>
            <w:tcW w:w="1064" w:type="pct"/>
            <w:vAlign w:val="center"/>
          </w:tcPr>
          <w:p>
            <w:pPr>
              <w:topLinePunct w:val="0"/>
              <w:snapToGrid w:val="0"/>
              <w:spacing w:line="240" w:lineRule="auto"/>
              <w:ind w:firstLine="71" w:firstLineChars="34"/>
              <w:jc w:val="center"/>
              <w:rPr>
                <w:rFonts w:ascii="Times New Roman" w:cs="Times New Roman"/>
                <w:bCs/>
                <w:kern w:val="2"/>
                <w:sz w:val="21"/>
              </w:rPr>
            </w:pPr>
            <w:r>
              <w:rPr>
                <w:rFonts w:ascii="Times New Roman" w:cs="Times New Roman"/>
                <w:bCs/>
                <w:kern w:val="2"/>
                <w:sz w:val="21"/>
              </w:rPr>
              <w:t>密度1.09g/cm</w:t>
            </w:r>
            <w:r>
              <w:rPr>
                <w:rFonts w:ascii="Times New Roman" w:cs="Times New Roman"/>
                <w:bCs/>
                <w:kern w:val="2"/>
                <w:sz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29</w:t>
            </w:r>
          </w:p>
        </w:tc>
        <w:tc>
          <w:tcPr>
            <w:tcW w:w="1084"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酸液</w:t>
            </w:r>
          </w:p>
        </w:tc>
        <w:tc>
          <w:tcPr>
            <w:tcW w:w="1887" w:type="pct"/>
            <w:vAlign w:val="center"/>
          </w:tcPr>
          <w:p>
            <w:pPr>
              <w:topLinePunct w:val="0"/>
              <w:snapToGrid w:val="0"/>
              <w:spacing w:line="240" w:lineRule="auto"/>
              <w:ind w:firstLine="0" w:firstLineChars="0"/>
              <w:jc w:val="center"/>
              <w:rPr>
                <w:rFonts w:ascii="Times New Roman" w:cs="Times New Roman"/>
                <w:kern w:val="2"/>
                <w:sz w:val="21"/>
              </w:rPr>
            </w:pPr>
          </w:p>
        </w:tc>
        <w:tc>
          <w:tcPr>
            <w:tcW w:w="535"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700/180m</w:t>
            </w:r>
            <w:r>
              <w:rPr>
                <w:rFonts w:ascii="Times New Roman" w:cs="Times New Roman"/>
                <w:bCs/>
                <w:kern w:val="2"/>
                <w:sz w:val="21"/>
                <w:vertAlign w:val="superscript"/>
              </w:rPr>
              <w:t>3</w:t>
            </w:r>
          </w:p>
        </w:tc>
        <w:tc>
          <w:tcPr>
            <w:tcW w:w="1064" w:type="pct"/>
            <w:vAlign w:val="center"/>
          </w:tcPr>
          <w:p>
            <w:pPr>
              <w:topLinePunct w:val="0"/>
              <w:snapToGrid w:val="0"/>
              <w:spacing w:line="240" w:lineRule="auto"/>
              <w:ind w:firstLine="105" w:firstLineChars="50"/>
              <w:jc w:val="center"/>
              <w:rPr>
                <w:rFonts w:ascii="Times New Roman" w:cs="Times New Roman"/>
                <w:bCs/>
                <w:kern w:val="2"/>
                <w:sz w:val="21"/>
              </w:rPr>
            </w:pPr>
            <w:r>
              <w:rPr>
                <w:rFonts w:ascii="Times New Roman" w:cs="Times New Roman"/>
                <w:bCs/>
                <w:kern w:val="2"/>
                <w:sz w:val="21"/>
              </w:rPr>
              <w:t>前置酸/清洁酸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31" w:type="pct"/>
            <w:vAlign w:val="center"/>
          </w:tcPr>
          <w:p>
            <w:pPr>
              <w:topLinePunct w:val="0"/>
              <w:autoSpaceDE w:val="0"/>
              <w:autoSpaceDN w:val="0"/>
              <w:snapToGrid w:val="0"/>
              <w:spacing w:line="240" w:lineRule="auto"/>
              <w:ind w:firstLine="0" w:firstLineChars="0"/>
              <w:jc w:val="center"/>
              <w:rPr>
                <w:rFonts w:ascii="Times New Roman" w:cs="Times New Roman"/>
                <w:kern w:val="2"/>
                <w:sz w:val="21"/>
              </w:rPr>
            </w:pPr>
            <w:r>
              <w:rPr>
                <w:rFonts w:ascii="Times New Roman" w:cs="Times New Roman"/>
                <w:kern w:val="2"/>
                <w:sz w:val="21"/>
              </w:rPr>
              <w:t>30</w:t>
            </w:r>
          </w:p>
        </w:tc>
        <w:tc>
          <w:tcPr>
            <w:tcW w:w="1084"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液氮</w:t>
            </w:r>
          </w:p>
        </w:tc>
        <w:tc>
          <w:tcPr>
            <w:tcW w:w="1887" w:type="pct"/>
            <w:vAlign w:val="center"/>
          </w:tcPr>
          <w:p>
            <w:pPr>
              <w:topLinePunct w:val="0"/>
              <w:snapToGrid w:val="0"/>
              <w:spacing w:line="240" w:lineRule="auto"/>
              <w:ind w:firstLine="0" w:firstLineChars="0"/>
              <w:jc w:val="center"/>
              <w:rPr>
                <w:rFonts w:ascii="Times New Roman" w:cs="Times New Roman"/>
                <w:kern w:val="2"/>
                <w:sz w:val="21"/>
              </w:rPr>
            </w:pPr>
          </w:p>
        </w:tc>
        <w:tc>
          <w:tcPr>
            <w:tcW w:w="535" w:type="pct"/>
            <w:vAlign w:val="center"/>
          </w:tcPr>
          <w:p>
            <w:pPr>
              <w:topLinePunct w:val="0"/>
              <w:snapToGrid w:val="0"/>
              <w:spacing w:line="240" w:lineRule="auto"/>
              <w:ind w:firstLine="0" w:firstLineChars="0"/>
              <w:jc w:val="center"/>
              <w:rPr>
                <w:rFonts w:ascii="Times New Roman" w:cs="Times New Roman"/>
                <w:bCs/>
                <w:kern w:val="2"/>
                <w:sz w:val="21"/>
              </w:rPr>
            </w:pPr>
            <w:r>
              <w:rPr>
                <w:rFonts w:ascii="Times New Roman" w:cs="Times New Roman"/>
                <w:bCs/>
                <w:kern w:val="2"/>
                <w:sz w:val="21"/>
              </w:rPr>
              <w:t>40m</w:t>
            </w:r>
            <w:r>
              <w:rPr>
                <w:rFonts w:ascii="Times New Roman" w:cs="Times New Roman"/>
                <w:bCs/>
                <w:kern w:val="2"/>
                <w:sz w:val="21"/>
                <w:vertAlign w:val="superscript"/>
              </w:rPr>
              <w:t>3</w:t>
            </w:r>
          </w:p>
        </w:tc>
        <w:tc>
          <w:tcPr>
            <w:tcW w:w="1064" w:type="pct"/>
            <w:vAlign w:val="center"/>
          </w:tcPr>
          <w:p>
            <w:pPr>
              <w:topLinePunct w:val="0"/>
              <w:snapToGrid w:val="0"/>
              <w:spacing w:line="240" w:lineRule="auto"/>
              <w:ind w:firstLine="105" w:firstLineChars="50"/>
              <w:jc w:val="center"/>
              <w:rPr>
                <w:rFonts w:ascii="Times New Roman" w:cs="Times New Roman"/>
                <w:bCs/>
                <w:kern w:val="2"/>
                <w:sz w:val="21"/>
              </w:rPr>
            </w:pPr>
            <w:r>
              <w:rPr>
                <w:rFonts w:ascii="Times New Roman" w:cs="Times New Roman"/>
                <w:bCs/>
                <w:kern w:val="2"/>
                <w:sz w:val="21"/>
              </w:rPr>
              <w:t>储存量10m</w:t>
            </w:r>
            <w:r>
              <w:rPr>
                <w:rFonts w:ascii="Times New Roman" w:cs="Times New Roman"/>
                <w:bCs/>
                <w:kern w:val="2"/>
                <w:sz w:val="21"/>
                <w:vertAlign w:val="superscript"/>
              </w:rPr>
              <w:t>3</w:t>
            </w:r>
          </w:p>
        </w:tc>
      </w:tr>
    </w:tbl>
    <w:p>
      <w:pPr>
        <w:pStyle w:val="112"/>
        <w:ind w:firstLine="199" w:firstLineChars="83"/>
        <w:jc w:val="center"/>
      </w:pPr>
    </w:p>
    <w:p>
      <w:pPr>
        <w:topLinePunct w:val="0"/>
        <w:snapToGrid w:val="0"/>
        <w:spacing w:line="331" w:lineRule="auto"/>
        <w:ind w:left="476" w:firstLine="0" w:firstLineChars="0"/>
        <w:rPr>
          <w:rFonts w:ascii="Times New Roman" w:cs="Times New Roman"/>
          <w:kern w:val="2"/>
        </w:rPr>
      </w:pPr>
      <w:r>
        <w:rPr>
          <w:rFonts w:ascii="Times New Roman" w:hAnsi="宋体" w:cs="Times New Roman"/>
          <w:kern w:val="2"/>
        </w:rPr>
        <w:t>（</w:t>
      </w:r>
      <w:r>
        <w:rPr>
          <w:rFonts w:ascii="Times New Roman" w:cs="Times New Roman"/>
          <w:kern w:val="2"/>
        </w:rPr>
        <w:t>4</w:t>
      </w:r>
      <w:r>
        <w:rPr>
          <w:rFonts w:ascii="Times New Roman" w:hAnsi="宋体" w:cs="Times New Roman"/>
          <w:kern w:val="2"/>
        </w:rPr>
        <w:t>）安装采气树</w:t>
      </w:r>
    </w:p>
    <w:p>
      <w:pPr>
        <w:topLinePunct w:val="0"/>
        <w:snapToGrid w:val="0"/>
        <w:ind w:firstLine="480"/>
        <w:rPr>
          <w:rFonts w:ascii="Times New Roman" w:cs="Times New Roman"/>
        </w:rPr>
      </w:pPr>
      <w:r>
        <w:rPr>
          <w:rFonts w:hint="eastAsia" w:ascii="Times New Roman" w:cs="Times New Roman"/>
          <w:kern w:val="2"/>
        </w:rPr>
        <w:t>安装采气树并进行试压。</w:t>
      </w:r>
      <w:r>
        <w:rPr>
          <w:rFonts w:ascii="Times New Roman" w:cs="Times New Roman"/>
          <w:kern w:val="2"/>
        </w:rPr>
        <w:t>依据压裂酸化排量及地面泵压预测结果</w:t>
      </w:r>
      <w:r>
        <w:rPr>
          <w:rFonts w:hint="eastAsia" w:ascii="Times New Roman" w:cs="Times New Roman"/>
          <w:kern w:val="2"/>
        </w:rPr>
        <w:t>（最高泵压65.15MPa）、地层压力（50.9MPa）</w:t>
      </w:r>
      <w:r>
        <w:rPr>
          <w:rFonts w:ascii="Times New Roman" w:cs="Times New Roman"/>
          <w:kern w:val="2"/>
        </w:rPr>
        <w:t>，选用70MPa HH级采气井口，双翼双阀结构，单翼生产，主</w:t>
      </w:r>
      <w:r>
        <w:rPr>
          <w:rFonts w:hint="eastAsia" w:ascii="Times New Roman" w:cs="Times New Roman"/>
          <w:kern w:val="2"/>
        </w:rPr>
        <w:t>、侧</w:t>
      </w:r>
      <w:r>
        <w:rPr>
          <w:rFonts w:ascii="Times New Roman" w:cs="Times New Roman"/>
          <w:kern w:val="2"/>
        </w:rPr>
        <w:t>通径3-1/16″，油管四通70-70MPa。</w:t>
      </w:r>
      <w:r>
        <w:rPr>
          <w:rFonts w:hint="eastAsia" w:ascii="Times New Roman" w:cs="Times New Roman"/>
          <w:kern w:val="2"/>
        </w:rPr>
        <w:t>主要设备见表</w:t>
      </w:r>
      <w:bookmarkStart w:id="153" w:name="OLE_LINK84"/>
      <w:bookmarkStart w:id="154" w:name="OLE_LINK83"/>
      <w:r>
        <w:rPr>
          <w:rFonts w:ascii="Times New Roman" w:cs="Times New Roman"/>
        </w:rPr>
        <w:t>3.4-</w:t>
      </w:r>
      <w:bookmarkEnd w:id="153"/>
      <w:bookmarkEnd w:id="154"/>
      <w:r>
        <w:rPr>
          <w:rFonts w:hint="eastAsia" w:ascii="Times New Roman" w:cs="Times New Roman"/>
        </w:rPr>
        <w:t>7</w:t>
      </w:r>
      <w:r>
        <w:rPr>
          <w:rFonts w:hint="eastAsia" w:ascii="Times New Roman" w:cs="Times New Roman"/>
          <w:kern w:val="2"/>
        </w:rPr>
        <w:t>。</w:t>
      </w:r>
    </w:p>
    <w:p>
      <w:pPr>
        <w:topLinePunct w:val="0"/>
        <w:snapToGrid w:val="0"/>
        <w:spacing w:beforeLines="50"/>
        <w:ind w:firstLine="0" w:firstLineChars="0"/>
        <w:jc w:val="center"/>
        <w:rPr>
          <w:rFonts w:ascii="Times New Roman" w:cs="Times New Roman"/>
          <w:b/>
          <w:kern w:val="2"/>
          <w:sz w:val="21"/>
          <w:szCs w:val="20"/>
        </w:rPr>
      </w:pPr>
      <w:bookmarkStart w:id="155" w:name="_Ref505766946"/>
      <w:r>
        <w:rPr>
          <w:rFonts w:ascii="Times New Roman" w:cs="Times New Roman"/>
          <w:b/>
          <w:kern w:val="2"/>
          <w:sz w:val="21"/>
          <w:szCs w:val="20"/>
        </w:rPr>
        <w:t>表</w:t>
      </w:r>
      <w:bookmarkEnd w:id="155"/>
      <w:r>
        <w:rPr>
          <w:rFonts w:ascii="Times New Roman" w:cs="Times New Roman"/>
          <w:b/>
          <w:kern w:val="2"/>
          <w:sz w:val="21"/>
          <w:szCs w:val="20"/>
        </w:rPr>
        <w:t>3.4-</w:t>
      </w:r>
      <w:r>
        <w:rPr>
          <w:rFonts w:hint="eastAsia" w:ascii="Times New Roman" w:cs="Times New Roman"/>
          <w:b/>
          <w:kern w:val="2"/>
          <w:sz w:val="21"/>
          <w:szCs w:val="20"/>
        </w:rPr>
        <w:t>7</w:t>
      </w:r>
      <w:r>
        <w:rPr>
          <w:rFonts w:ascii="Times New Roman" w:cs="Times New Roman"/>
          <w:b/>
          <w:kern w:val="2"/>
          <w:sz w:val="21"/>
          <w:szCs w:val="20"/>
        </w:rPr>
        <w:t xml:space="preserve">  采气主要设备一览表</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237"/>
        <w:gridCol w:w="1248"/>
        <w:gridCol w:w="1319"/>
        <w:gridCol w:w="1319"/>
        <w:gridCol w:w="633"/>
        <w:gridCol w:w="15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444" w:type="dxa"/>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名称</w:t>
            </w:r>
          </w:p>
        </w:tc>
        <w:tc>
          <w:tcPr>
            <w:tcW w:w="1361" w:type="dxa"/>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型号规格</w:t>
            </w: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压力级别</w:t>
            </w: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材料级别</w:t>
            </w:r>
          </w:p>
        </w:tc>
        <w:tc>
          <w:tcPr>
            <w:tcW w:w="689" w:type="dxa"/>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数量</w:t>
            </w:r>
          </w:p>
        </w:tc>
        <w:tc>
          <w:tcPr>
            <w:tcW w:w="1696" w:type="dxa"/>
            <w:vAlign w:val="center"/>
          </w:tcPr>
          <w:p>
            <w:pPr>
              <w:topLinePunct w:val="0"/>
              <w:snapToGrid w:val="0"/>
              <w:spacing w:line="240" w:lineRule="auto"/>
              <w:ind w:firstLine="0" w:firstLineChars="0"/>
              <w:jc w:val="center"/>
              <w:textAlignment w:val="center"/>
              <w:rPr>
                <w:rFonts w:ascii="Times New Roman" w:cs="Times New Roman"/>
                <w:b/>
                <w:kern w:val="2"/>
                <w:sz w:val="21"/>
                <w:szCs w:val="21"/>
              </w:rPr>
            </w:pPr>
            <w:r>
              <w:rPr>
                <w:rFonts w:ascii="Times New Roman" w:cs="Times New Roman"/>
                <w:b/>
                <w:kern w:val="2"/>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444"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采气树</w:t>
            </w:r>
          </w:p>
        </w:tc>
        <w:tc>
          <w:tcPr>
            <w:tcW w:w="1361"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3-1/16″</w:t>
            </w: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70MPa</w:t>
            </w: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HH级</w:t>
            </w:r>
          </w:p>
        </w:tc>
        <w:tc>
          <w:tcPr>
            <w:tcW w:w="689"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1套</w:t>
            </w:r>
          </w:p>
        </w:tc>
        <w:tc>
          <w:tcPr>
            <w:tcW w:w="1696"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带配件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444"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油管四通</w:t>
            </w:r>
          </w:p>
        </w:tc>
        <w:tc>
          <w:tcPr>
            <w:tcW w:w="1361"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70-70MPa</w:t>
            </w: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HH级</w:t>
            </w:r>
          </w:p>
        </w:tc>
        <w:tc>
          <w:tcPr>
            <w:tcW w:w="689"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1套</w:t>
            </w:r>
          </w:p>
        </w:tc>
        <w:tc>
          <w:tcPr>
            <w:tcW w:w="1696"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444"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生产油管悬挂器</w:t>
            </w:r>
          </w:p>
        </w:tc>
        <w:tc>
          <w:tcPr>
            <w:tcW w:w="1361"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70MPa</w:t>
            </w: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ascii="Times New Roman" w:cs="Times New Roman"/>
                <w:kern w:val="2"/>
                <w:sz w:val="21"/>
                <w:szCs w:val="21"/>
                <w:lang w:val="pt-BR"/>
              </w:rPr>
            </w:pPr>
            <w:r>
              <w:rPr>
                <w:rFonts w:ascii="Times New Roman" w:cs="Times New Roman"/>
                <w:kern w:val="2"/>
                <w:sz w:val="21"/>
                <w:szCs w:val="21"/>
              </w:rPr>
              <w:t>HH级</w:t>
            </w:r>
          </w:p>
        </w:tc>
        <w:tc>
          <w:tcPr>
            <w:tcW w:w="689"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1套</w:t>
            </w:r>
          </w:p>
        </w:tc>
        <w:tc>
          <w:tcPr>
            <w:tcW w:w="1696" w:type="dxa"/>
            <w:vAlign w:val="center"/>
          </w:tcPr>
          <w:p>
            <w:pPr>
              <w:topLinePunct w:val="0"/>
              <w:snapToGrid w:val="0"/>
              <w:spacing w:line="240" w:lineRule="auto"/>
              <w:ind w:firstLine="0" w:firstLineChars="0"/>
              <w:jc w:val="center"/>
              <w:textAlignment w:val="center"/>
              <w:rPr>
                <w:rFonts w:ascii="Times New Roman" w:cs="Times New Roman"/>
                <w:kern w:val="2"/>
                <w:sz w:val="21"/>
                <w:szCs w:val="21"/>
                <w:lang w:val="pt-BR"/>
              </w:rPr>
            </w:pPr>
            <w:r>
              <w:rPr>
                <w:rFonts w:ascii="Times New Roman" w:cs="Times New Roman"/>
                <w:kern w:val="2"/>
                <w:sz w:val="21"/>
                <w:szCs w:val="21"/>
                <w:lang w:val="pt-BR"/>
              </w:rPr>
              <w:t>带双公短节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444"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地面控制系统</w:t>
            </w:r>
          </w:p>
        </w:tc>
        <w:tc>
          <w:tcPr>
            <w:tcW w:w="1361"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p>
        </w:tc>
        <w:tc>
          <w:tcPr>
            <w:tcW w:w="689"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1套</w:t>
            </w:r>
          </w:p>
        </w:tc>
        <w:tc>
          <w:tcPr>
            <w:tcW w:w="1696" w:type="dxa"/>
            <w:vAlign w:val="center"/>
          </w:tcPr>
          <w:p>
            <w:pPr>
              <w:topLinePunct w:val="0"/>
              <w:snapToGrid w:val="0"/>
              <w:spacing w:line="240" w:lineRule="auto"/>
              <w:ind w:firstLine="0" w:firstLineChars="0"/>
              <w:jc w:val="center"/>
              <w:textAlignment w:val="center"/>
              <w:rPr>
                <w:rFonts w:ascii="Times New Roman" w:cs="Times New Roman"/>
                <w:kern w:val="2"/>
                <w:sz w:val="21"/>
                <w:szCs w:val="21"/>
                <w:lang w:val="pt-BR"/>
              </w:rPr>
            </w:pPr>
          </w:p>
        </w:tc>
      </w:tr>
    </w:tbl>
    <w:p>
      <w:pPr>
        <w:topLinePunct w:val="0"/>
        <w:snapToGrid w:val="0"/>
        <w:spacing w:line="331" w:lineRule="auto"/>
        <w:ind w:left="476" w:firstLine="0" w:firstLineChars="0"/>
        <w:rPr>
          <w:rFonts w:ascii="Times New Roman" w:cs="Times New Roman"/>
          <w:kern w:val="2"/>
        </w:rPr>
      </w:pPr>
      <w:r>
        <w:rPr>
          <w:rFonts w:ascii="Times New Roman" w:hAnsi="宋体" w:cs="Times New Roman"/>
          <w:kern w:val="2"/>
        </w:rPr>
        <w:t>（</w:t>
      </w:r>
      <w:r>
        <w:rPr>
          <w:rFonts w:ascii="Times New Roman" w:cs="Times New Roman"/>
          <w:kern w:val="2"/>
        </w:rPr>
        <w:t>5</w:t>
      </w:r>
      <w:r>
        <w:rPr>
          <w:rFonts w:ascii="Times New Roman" w:hAnsi="宋体" w:cs="Times New Roman"/>
          <w:kern w:val="2"/>
        </w:rPr>
        <w:t>）压裂酸化</w:t>
      </w:r>
    </w:p>
    <w:p>
      <w:pPr>
        <w:widowControl/>
        <w:topLinePunct w:val="0"/>
        <w:snapToGrid w:val="0"/>
        <w:spacing w:line="331" w:lineRule="auto"/>
        <w:ind w:firstLine="480"/>
        <w:rPr>
          <w:rFonts w:ascii="Times New Roman" w:cs="Times New Roman"/>
          <w:kern w:val="2"/>
        </w:rPr>
      </w:pPr>
      <w:r>
        <w:rPr>
          <w:rFonts w:ascii="Times New Roman" w:cs="Times New Roman"/>
          <w:kern w:val="2"/>
        </w:rPr>
        <w:t>本项目采用分段压裂酸化改造，以达到均匀布酸、减少前期作业对储层的污染、沟通近井地带储集空间的目标。酸液采用清洁酸，主要成分为水、盐酸和醋酸，</w:t>
      </w:r>
      <w:r>
        <w:rPr>
          <w:rFonts w:ascii="Times New Roman" w:hAnsi="宋体" w:cs="Times New Roman"/>
          <w:kern w:val="2"/>
        </w:rPr>
        <w:t>本项目</w:t>
      </w:r>
      <w:r>
        <w:rPr>
          <w:rFonts w:hint="eastAsia" w:ascii="Times New Roman" w:hAnsi="宋体" w:cs="Times New Roman"/>
          <w:kern w:val="2"/>
        </w:rPr>
        <w:t>普陆4</w:t>
      </w:r>
      <w:r>
        <w:rPr>
          <w:rFonts w:ascii="Times New Roman" w:hAnsi="宋体" w:cs="Times New Roman"/>
          <w:kern w:val="2"/>
        </w:rPr>
        <w:t>-1</w:t>
      </w:r>
      <w:r>
        <w:rPr>
          <w:rFonts w:hint="eastAsia" w:ascii="Times New Roman" w:hAnsi="宋体" w:cs="Times New Roman"/>
          <w:kern w:val="2"/>
        </w:rPr>
        <w:t>H</w:t>
      </w:r>
      <w:r>
        <w:rPr>
          <w:rFonts w:ascii="Times New Roman" w:hAnsi="宋体" w:cs="Times New Roman"/>
          <w:kern w:val="2"/>
        </w:rPr>
        <w:t>井压裂</w:t>
      </w:r>
      <w:r>
        <w:rPr>
          <w:rFonts w:hint="eastAsia" w:ascii="Times New Roman" w:hAnsi="宋体" w:cs="Times New Roman"/>
          <w:kern w:val="2"/>
        </w:rPr>
        <w:t>总液量23060m</w:t>
      </w:r>
      <w:r>
        <w:rPr>
          <w:rFonts w:hint="eastAsia" w:ascii="Times New Roman" w:hAnsi="宋体" w:cs="Times New Roman"/>
          <w:kern w:val="2"/>
          <w:vertAlign w:val="superscript"/>
        </w:rPr>
        <w:t>3</w:t>
      </w:r>
      <w:r>
        <w:rPr>
          <w:rFonts w:hint="eastAsia" w:ascii="Times New Roman" w:hAnsi="宋体" w:cs="Times New Roman"/>
          <w:kern w:val="2"/>
        </w:rPr>
        <w:t>。</w:t>
      </w:r>
      <w:r>
        <w:rPr>
          <w:rFonts w:ascii="Times New Roman" w:cs="Times New Roman"/>
          <w:bCs/>
          <w:kern w:val="2"/>
        </w:rPr>
        <w:t>压裂酸化设备见</w:t>
      </w:r>
      <w:r>
        <w:rPr>
          <w:rFonts w:hint="eastAsia" w:ascii="Times New Roman" w:cs="Times New Roman"/>
          <w:kern w:val="2"/>
        </w:rPr>
        <w:t>表</w:t>
      </w:r>
      <w:bookmarkStart w:id="156" w:name="OLE_LINK86"/>
      <w:bookmarkStart w:id="157" w:name="OLE_LINK85"/>
      <w:r>
        <w:rPr>
          <w:rFonts w:ascii="Times New Roman" w:cs="Times New Roman"/>
        </w:rPr>
        <w:t>3.4-</w:t>
      </w:r>
      <w:bookmarkEnd w:id="156"/>
      <w:bookmarkEnd w:id="157"/>
      <w:r>
        <w:rPr>
          <w:rFonts w:hint="eastAsia" w:ascii="Times New Roman" w:cs="Times New Roman"/>
        </w:rPr>
        <w:t>8</w:t>
      </w:r>
      <w:r>
        <w:rPr>
          <w:rFonts w:hint="eastAsia" w:ascii="Times New Roman" w:cs="Times New Roman"/>
          <w:kern w:val="2"/>
        </w:rPr>
        <w:t>。</w:t>
      </w:r>
    </w:p>
    <w:p>
      <w:pPr>
        <w:widowControl/>
        <w:topLinePunct w:val="0"/>
        <w:snapToGrid w:val="0"/>
        <w:spacing w:line="331" w:lineRule="auto"/>
        <w:ind w:firstLine="480"/>
        <w:rPr>
          <w:rFonts w:ascii="Times New Roman" w:cs="Times New Roman"/>
          <w:kern w:val="2"/>
        </w:rPr>
      </w:pPr>
    </w:p>
    <w:p>
      <w:pPr>
        <w:topLinePunct w:val="0"/>
        <w:snapToGrid w:val="0"/>
        <w:spacing w:beforeLines="50"/>
        <w:ind w:firstLine="0" w:firstLineChars="0"/>
        <w:jc w:val="center"/>
        <w:rPr>
          <w:rFonts w:ascii="Times New Roman" w:cs="Times New Roman"/>
          <w:b/>
          <w:kern w:val="2"/>
          <w:sz w:val="21"/>
          <w:szCs w:val="21"/>
        </w:rPr>
      </w:pPr>
      <w:bookmarkStart w:id="158" w:name="_Ref505766585"/>
      <w:r>
        <w:rPr>
          <w:rFonts w:ascii="Times New Roman" w:cs="Times New Roman"/>
          <w:b/>
          <w:kern w:val="2"/>
          <w:sz w:val="21"/>
          <w:szCs w:val="21"/>
        </w:rPr>
        <w:t>表</w:t>
      </w:r>
      <w:bookmarkEnd w:id="158"/>
      <w:r>
        <w:rPr>
          <w:rFonts w:ascii="Times New Roman" w:cs="Times New Roman"/>
          <w:b/>
          <w:sz w:val="21"/>
          <w:szCs w:val="21"/>
        </w:rPr>
        <w:t>3.4-</w:t>
      </w:r>
      <w:r>
        <w:rPr>
          <w:rFonts w:hint="eastAsia" w:ascii="Times New Roman" w:cs="Times New Roman"/>
          <w:b/>
          <w:sz w:val="21"/>
          <w:szCs w:val="21"/>
        </w:rPr>
        <w:t>8</w:t>
      </w:r>
      <w:r>
        <w:rPr>
          <w:rFonts w:ascii="Times New Roman" w:cs="Times New Roman"/>
          <w:b/>
          <w:kern w:val="2"/>
          <w:sz w:val="21"/>
          <w:szCs w:val="21"/>
        </w:rPr>
        <w:t xml:space="preserve">  压裂酸化设备一览表</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 w:type="dxa"/>
          <w:bottom w:w="0" w:type="dxa"/>
          <w:right w:w="10" w:type="dxa"/>
        </w:tblCellMar>
      </w:tblPr>
      <w:tblGrid>
        <w:gridCol w:w="612"/>
        <w:gridCol w:w="1543"/>
        <w:gridCol w:w="611"/>
        <w:gridCol w:w="611"/>
        <w:gridCol w:w="495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20" w:hRule="atLeast"/>
          <w:jc w:val="center"/>
        </w:trPr>
        <w:tc>
          <w:tcPr>
            <w:tcW w:w="367" w:type="pct"/>
            <w:vAlign w:val="center"/>
          </w:tcPr>
          <w:p>
            <w:pPr>
              <w:topLinePunct w:val="0"/>
              <w:autoSpaceDE w:val="0"/>
              <w:autoSpaceDN w:val="0"/>
              <w:adjustRightInd/>
              <w:spacing w:line="240" w:lineRule="auto"/>
              <w:ind w:firstLine="0" w:firstLineChars="0"/>
              <w:jc w:val="center"/>
              <w:rPr>
                <w:rFonts w:ascii="Times New Roman" w:cs="Times New Roman"/>
                <w:b/>
                <w:kern w:val="2"/>
                <w:sz w:val="21"/>
              </w:rPr>
            </w:pPr>
            <w:r>
              <w:rPr>
                <w:rFonts w:ascii="Times New Roman" w:cs="Times New Roman"/>
                <w:b/>
                <w:kern w:val="2"/>
                <w:sz w:val="21"/>
                <w:lang w:val="zh-CN"/>
              </w:rPr>
              <w:t>序号</w:t>
            </w:r>
          </w:p>
        </w:tc>
        <w:tc>
          <w:tcPr>
            <w:tcW w:w="926" w:type="pct"/>
            <w:vAlign w:val="center"/>
          </w:tcPr>
          <w:p>
            <w:pPr>
              <w:topLinePunct w:val="0"/>
              <w:autoSpaceDE w:val="0"/>
              <w:autoSpaceDN w:val="0"/>
              <w:adjustRightInd/>
              <w:spacing w:line="240" w:lineRule="auto"/>
              <w:ind w:firstLine="0" w:firstLineChars="0"/>
              <w:jc w:val="center"/>
              <w:rPr>
                <w:rFonts w:ascii="Times New Roman" w:cs="Times New Roman"/>
                <w:b/>
                <w:kern w:val="2"/>
                <w:sz w:val="21"/>
              </w:rPr>
            </w:pPr>
            <w:r>
              <w:rPr>
                <w:rFonts w:ascii="Times New Roman" w:cs="Times New Roman"/>
                <w:b/>
                <w:kern w:val="2"/>
                <w:sz w:val="21"/>
                <w:lang w:val="zh-CN"/>
              </w:rPr>
              <w:t>设备名称</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b/>
                <w:kern w:val="2"/>
                <w:sz w:val="21"/>
              </w:rPr>
            </w:pPr>
            <w:r>
              <w:rPr>
                <w:rFonts w:ascii="Times New Roman" w:cs="Times New Roman"/>
                <w:b/>
                <w:kern w:val="2"/>
                <w:sz w:val="21"/>
                <w:lang w:val="zh-CN"/>
              </w:rPr>
              <w:t>单位</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b/>
                <w:kern w:val="2"/>
                <w:sz w:val="21"/>
              </w:rPr>
            </w:pPr>
            <w:r>
              <w:rPr>
                <w:rFonts w:ascii="Times New Roman" w:cs="Times New Roman"/>
                <w:b/>
                <w:kern w:val="2"/>
                <w:sz w:val="21"/>
                <w:lang w:val="zh-CN"/>
              </w:rPr>
              <w:t>数量</w:t>
            </w:r>
          </w:p>
        </w:tc>
        <w:tc>
          <w:tcPr>
            <w:tcW w:w="2973" w:type="pct"/>
            <w:vAlign w:val="center"/>
          </w:tcPr>
          <w:p>
            <w:pPr>
              <w:topLinePunct w:val="0"/>
              <w:autoSpaceDE w:val="0"/>
              <w:autoSpaceDN w:val="0"/>
              <w:adjustRightInd/>
              <w:spacing w:line="240" w:lineRule="auto"/>
              <w:ind w:firstLine="0" w:firstLineChars="0"/>
              <w:jc w:val="center"/>
              <w:rPr>
                <w:rFonts w:ascii="Times New Roman" w:cs="Times New Roman"/>
                <w:b/>
                <w:kern w:val="2"/>
                <w:sz w:val="21"/>
              </w:rPr>
            </w:pPr>
            <w:r>
              <w:rPr>
                <w:rFonts w:ascii="Times New Roman" w:cs="Times New Roman"/>
                <w:b/>
                <w:kern w:val="2"/>
                <w:sz w:val="21"/>
                <w:lang w:val="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20" w:hRule="atLeast"/>
          <w:jc w:val="center"/>
        </w:trPr>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926"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压裂泵车</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台</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2973"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满足改造需要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20" w:hRule="atLeast"/>
          <w:jc w:val="center"/>
        </w:trPr>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2</w:t>
            </w:r>
          </w:p>
        </w:tc>
        <w:tc>
          <w:tcPr>
            <w:tcW w:w="926"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仪表车</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台</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2973"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20" w:hRule="atLeast"/>
          <w:jc w:val="center"/>
        </w:trPr>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3</w:t>
            </w:r>
          </w:p>
        </w:tc>
        <w:tc>
          <w:tcPr>
            <w:tcW w:w="926"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管汇车</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台</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2973"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20" w:hRule="atLeast"/>
          <w:jc w:val="center"/>
        </w:trPr>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4</w:t>
            </w:r>
          </w:p>
        </w:tc>
        <w:tc>
          <w:tcPr>
            <w:tcW w:w="926"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撬装酸泵</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台</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2</w:t>
            </w:r>
          </w:p>
        </w:tc>
        <w:tc>
          <w:tcPr>
            <w:tcW w:w="2973"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满足酸液配制及大排量循环需要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20" w:hRule="atLeast"/>
          <w:jc w:val="center"/>
        </w:trPr>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5</w:t>
            </w:r>
          </w:p>
        </w:tc>
        <w:tc>
          <w:tcPr>
            <w:tcW w:w="926"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灌注泵</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台</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2973"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20" w:hRule="atLeast"/>
          <w:jc w:val="center"/>
        </w:trPr>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6</w:t>
            </w:r>
          </w:p>
        </w:tc>
        <w:tc>
          <w:tcPr>
            <w:tcW w:w="926"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700</w:t>
            </w:r>
            <w:r>
              <w:rPr>
                <w:rFonts w:ascii="Times New Roman" w:cs="Times New Roman"/>
                <w:kern w:val="2"/>
                <w:sz w:val="21"/>
                <w:lang w:val="zh-CN"/>
              </w:rPr>
              <w:t>型平衡泵车</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台</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2973"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打平衡用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20" w:hRule="atLeast"/>
          <w:jc w:val="center"/>
        </w:trPr>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7</w:t>
            </w:r>
          </w:p>
        </w:tc>
        <w:tc>
          <w:tcPr>
            <w:tcW w:w="926"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酸罐</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具</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2973"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满足施工要求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20" w:hRule="atLeast"/>
          <w:jc w:val="center"/>
        </w:trPr>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8</w:t>
            </w:r>
          </w:p>
        </w:tc>
        <w:tc>
          <w:tcPr>
            <w:tcW w:w="926"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液罐</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具</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2973"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满足施工要求，</w:t>
            </w:r>
            <w:r>
              <w:rPr>
                <w:rFonts w:ascii="Times New Roman" w:cs="Times New Roman"/>
                <w:kern w:val="2"/>
                <w:sz w:val="21"/>
              </w:rPr>
              <w:t>活性水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20" w:hRule="atLeast"/>
          <w:jc w:val="center"/>
        </w:trPr>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9</w:t>
            </w:r>
          </w:p>
        </w:tc>
        <w:tc>
          <w:tcPr>
            <w:tcW w:w="926"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随车吊</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台</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2973"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20" w:hRule="atLeast"/>
          <w:jc w:val="center"/>
        </w:trPr>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10</w:t>
            </w:r>
          </w:p>
        </w:tc>
        <w:tc>
          <w:tcPr>
            <w:tcW w:w="926"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30t</w:t>
            </w:r>
            <w:r>
              <w:rPr>
                <w:rFonts w:ascii="Times New Roman" w:cs="Times New Roman"/>
                <w:kern w:val="2"/>
                <w:sz w:val="21"/>
                <w:lang w:val="zh-CN"/>
              </w:rPr>
              <w:t>吊车</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台</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2973"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20" w:hRule="atLeast"/>
          <w:jc w:val="center"/>
        </w:trPr>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11</w:t>
            </w:r>
          </w:p>
        </w:tc>
        <w:tc>
          <w:tcPr>
            <w:tcW w:w="926"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液氮泵车</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lang w:val="zh-CN"/>
              </w:rPr>
            </w:pPr>
            <w:r>
              <w:rPr>
                <w:rFonts w:ascii="Times New Roman" w:cs="Times New Roman"/>
                <w:kern w:val="2"/>
                <w:sz w:val="21"/>
                <w:lang w:val="zh-CN"/>
              </w:rPr>
              <w:t>台</w:t>
            </w:r>
          </w:p>
        </w:tc>
        <w:tc>
          <w:tcPr>
            <w:tcW w:w="367"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rPr>
              <w:t>1</w:t>
            </w:r>
          </w:p>
        </w:tc>
        <w:tc>
          <w:tcPr>
            <w:tcW w:w="2973" w:type="pct"/>
            <w:vAlign w:val="center"/>
          </w:tcPr>
          <w:p>
            <w:pPr>
              <w:topLinePunct w:val="0"/>
              <w:autoSpaceDE w:val="0"/>
              <w:autoSpaceDN w:val="0"/>
              <w:adjustRightInd/>
              <w:spacing w:line="240" w:lineRule="auto"/>
              <w:ind w:firstLine="0" w:firstLineChars="0"/>
              <w:jc w:val="center"/>
              <w:rPr>
                <w:rFonts w:ascii="Times New Roman" w:cs="Times New Roman"/>
                <w:kern w:val="2"/>
                <w:sz w:val="21"/>
              </w:rPr>
            </w:pPr>
            <w:r>
              <w:rPr>
                <w:rFonts w:ascii="Times New Roman" w:cs="Times New Roman"/>
                <w:kern w:val="2"/>
                <w:sz w:val="21"/>
                <w:lang w:val="zh-CN"/>
              </w:rPr>
              <w:t>满足施工要求</w:t>
            </w:r>
          </w:p>
        </w:tc>
      </w:tr>
    </w:tbl>
    <w:p>
      <w:pPr>
        <w:topLinePunct w:val="0"/>
        <w:snapToGrid w:val="0"/>
        <w:ind w:firstLine="480"/>
        <w:rPr>
          <w:rFonts w:ascii="Times New Roman" w:cs="Times New Roman"/>
        </w:rPr>
      </w:pPr>
      <w:r>
        <w:rPr>
          <w:rFonts w:hint="eastAsia" w:ascii="Times New Roman" w:cs="Times New Roman"/>
        </w:rPr>
        <w:t>（6）放喷测试</w:t>
      </w:r>
    </w:p>
    <w:p>
      <w:pPr>
        <w:topLinePunct w:val="0"/>
        <w:snapToGrid w:val="0"/>
        <w:ind w:firstLine="480"/>
        <w:rPr>
          <w:rFonts w:ascii="Times New Roman" w:cs="Times New Roman"/>
          <w:kern w:val="2"/>
        </w:rPr>
      </w:pPr>
      <w:r>
        <w:rPr>
          <w:rFonts w:hint="eastAsia" w:ascii="Times New Roman" w:cs="Times New Roman"/>
        </w:rPr>
        <w:t>选用70MPa～35MPa、EE级二级降压放喷流程，放喷排液后求产。放喷主要设备见</w:t>
      </w:r>
      <w:r>
        <w:rPr>
          <w:rFonts w:hint="eastAsia" w:ascii="Times New Roman" w:cs="Times New Roman"/>
          <w:kern w:val="2"/>
        </w:rPr>
        <w:t>表</w:t>
      </w:r>
      <w:r>
        <w:rPr>
          <w:rFonts w:ascii="Times New Roman" w:cs="Times New Roman"/>
        </w:rPr>
        <w:t>3.4-</w:t>
      </w:r>
      <w:r>
        <w:rPr>
          <w:rFonts w:hint="eastAsia" w:ascii="Times New Roman" w:cs="Times New Roman"/>
        </w:rPr>
        <w:t>9</w:t>
      </w:r>
      <w:r>
        <w:rPr>
          <w:rFonts w:hint="eastAsia" w:ascii="Times New Roman" w:cs="Times New Roman"/>
          <w:kern w:val="2"/>
        </w:rPr>
        <w:t>。</w:t>
      </w:r>
    </w:p>
    <w:p>
      <w:pPr>
        <w:topLinePunct w:val="0"/>
        <w:snapToGrid w:val="0"/>
        <w:spacing w:beforeLines="50"/>
        <w:ind w:firstLine="0" w:firstLineChars="0"/>
        <w:jc w:val="center"/>
        <w:rPr>
          <w:rFonts w:hAnsi="Cambria" w:cs="Times New Roman"/>
          <w:b/>
          <w:kern w:val="2"/>
          <w:sz w:val="21"/>
          <w:szCs w:val="20"/>
        </w:rPr>
      </w:pPr>
      <w:bookmarkStart w:id="159" w:name="_Ref505766702"/>
      <w:r>
        <w:rPr>
          <w:rFonts w:ascii="Times New Roman" w:cs="Times New Roman"/>
          <w:b/>
          <w:kern w:val="2"/>
          <w:sz w:val="21"/>
          <w:szCs w:val="21"/>
        </w:rPr>
        <w:t>表</w:t>
      </w:r>
      <w:bookmarkEnd w:id="159"/>
      <w:r>
        <w:rPr>
          <w:rFonts w:ascii="Times New Roman" w:cs="Times New Roman"/>
          <w:b/>
          <w:sz w:val="21"/>
          <w:szCs w:val="21"/>
        </w:rPr>
        <w:t>3.4-</w:t>
      </w:r>
      <w:r>
        <w:rPr>
          <w:rFonts w:hint="eastAsia" w:ascii="Times New Roman" w:cs="Times New Roman"/>
          <w:b/>
          <w:sz w:val="21"/>
          <w:szCs w:val="21"/>
        </w:rPr>
        <w:t>9</w:t>
      </w:r>
      <w:r>
        <w:rPr>
          <w:rFonts w:ascii="Times New Roman" w:cs="Times New Roman"/>
          <w:b/>
          <w:kern w:val="2"/>
          <w:sz w:val="21"/>
          <w:szCs w:val="21"/>
        </w:rPr>
        <w:t xml:space="preserve"> </w:t>
      </w:r>
      <w:r>
        <w:rPr>
          <w:rFonts w:hAnsi="Cambria" w:cs="Times New Roman"/>
          <w:b/>
          <w:kern w:val="2"/>
          <w:sz w:val="21"/>
          <w:szCs w:val="21"/>
        </w:rPr>
        <w:t xml:space="preserve"> </w:t>
      </w:r>
      <w:r>
        <w:rPr>
          <w:rFonts w:hint="eastAsia" w:hAnsi="Cambria" w:cs="Times New Roman"/>
          <w:b/>
          <w:kern w:val="2"/>
          <w:sz w:val="21"/>
          <w:szCs w:val="21"/>
        </w:rPr>
        <w:t>放喷主要设备一览</w:t>
      </w:r>
      <w:r>
        <w:rPr>
          <w:rFonts w:hint="eastAsia" w:hAnsi="Cambria" w:cs="Times New Roman"/>
          <w:b/>
          <w:kern w:val="2"/>
          <w:sz w:val="21"/>
          <w:szCs w:val="20"/>
        </w:rPr>
        <w:t>表</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98"/>
        <w:gridCol w:w="1549"/>
        <w:gridCol w:w="5269"/>
        <w:gridCol w:w="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7" w:type="pct"/>
            <w:vAlign w:val="center"/>
          </w:tcPr>
          <w:p>
            <w:pPr>
              <w:topLinePunct w:val="0"/>
              <w:spacing w:line="240" w:lineRule="auto"/>
              <w:ind w:firstLine="0" w:firstLineChars="0"/>
              <w:jc w:val="center"/>
              <w:rPr>
                <w:rFonts w:ascii="Times New Roman" w:hAnsi="宋体" w:cs="Times New Roman"/>
                <w:b/>
                <w:kern w:val="2"/>
                <w:sz w:val="21"/>
              </w:rPr>
            </w:pPr>
            <w:r>
              <w:rPr>
                <w:rFonts w:ascii="Times New Roman" w:hAnsi="宋体" w:cs="Times New Roman"/>
                <w:b/>
                <w:kern w:val="2"/>
                <w:sz w:val="21"/>
              </w:rPr>
              <w:t>序号</w:t>
            </w:r>
          </w:p>
        </w:tc>
        <w:tc>
          <w:tcPr>
            <w:tcW w:w="926" w:type="pct"/>
            <w:vAlign w:val="center"/>
          </w:tcPr>
          <w:p>
            <w:pPr>
              <w:topLinePunct w:val="0"/>
              <w:spacing w:line="240" w:lineRule="auto"/>
              <w:ind w:firstLine="211" w:firstLineChars="100"/>
              <w:jc w:val="center"/>
              <w:rPr>
                <w:rFonts w:ascii="Times New Roman" w:hAnsi="宋体" w:cs="Times New Roman"/>
                <w:b/>
                <w:kern w:val="2"/>
                <w:sz w:val="21"/>
              </w:rPr>
            </w:pPr>
            <w:r>
              <w:rPr>
                <w:rFonts w:ascii="Times New Roman" w:hAnsi="宋体" w:cs="Times New Roman"/>
                <w:b/>
                <w:kern w:val="2"/>
                <w:sz w:val="21"/>
              </w:rPr>
              <w:t>设备名称</w:t>
            </w:r>
          </w:p>
        </w:tc>
        <w:tc>
          <w:tcPr>
            <w:tcW w:w="3149" w:type="pct"/>
            <w:vAlign w:val="center"/>
          </w:tcPr>
          <w:p>
            <w:pPr>
              <w:topLinePunct w:val="0"/>
              <w:spacing w:line="240" w:lineRule="auto"/>
              <w:ind w:firstLine="420" w:firstLineChars="0"/>
              <w:jc w:val="center"/>
              <w:rPr>
                <w:rFonts w:ascii="Times New Roman" w:hAnsi="宋体" w:cs="Times New Roman"/>
                <w:b/>
                <w:kern w:val="2"/>
                <w:sz w:val="21"/>
              </w:rPr>
            </w:pPr>
            <w:r>
              <w:rPr>
                <w:rFonts w:ascii="Times New Roman" w:hAnsi="宋体" w:cs="Times New Roman"/>
                <w:b/>
                <w:kern w:val="2"/>
                <w:sz w:val="21"/>
              </w:rPr>
              <w:t>指标</w:t>
            </w:r>
          </w:p>
        </w:tc>
        <w:tc>
          <w:tcPr>
            <w:tcW w:w="508" w:type="pct"/>
            <w:vAlign w:val="center"/>
          </w:tcPr>
          <w:p>
            <w:pPr>
              <w:topLinePunct w:val="0"/>
              <w:spacing w:line="240" w:lineRule="auto"/>
              <w:ind w:firstLine="0" w:firstLineChars="0"/>
              <w:jc w:val="center"/>
              <w:rPr>
                <w:rFonts w:ascii="Times New Roman" w:hAnsi="宋体" w:cs="Times New Roman"/>
                <w:b/>
                <w:kern w:val="2"/>
                <w:sz w:val="21"/>
              </w:rPr>
            </w:pPr>
            <w:r>
              <w:rPr>
                <w:rFonts w:ascii="Times New Roman" w:hAnsi="宋体" w:cs="Times New Roman"/>
                <w:b/>
                <w:kern w:val="2"/>
                <w:sz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7"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1</w:t>
            </w:r>
          </w:p>
        </w:tc>
        <w:tc>
          <w:tcPr>
            <w:tcW w:w="926"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二级节流系统</w:t>
            </w:r>
          </w:p>
        </w:tc>
        <w:tc>
          <w:tcPr>
            <w:tcW w:w="3149"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工作压力70-35MPa，内径76mm</w:t>
            </w:r>
          </w:p>
        </w:tc>
        <w:tc>
          <w:tcPr>
            <w:tcW w:w="508"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7"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2</w:t>
            </w:r>
          </w:p>
        </w:tc>
        <w:tc>
          <w:tcPr>
            <w:tcW w:w="926"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分离器</w:t>
            </w:r>
          </w:p>
        </w:tc>
        <w:tc>
          <w:tcPr>
            <w:tcW w:w="3149"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工作压力14.9MPa、温度-10</w:t>
            </w:r>
            <w:r>
              <w:rPr>
                <w:rFonts w:hint="eastAsia" w:ascii="Times New Roman" w:hAnsi="宋体" w:cs="Times New Roman"/>
                <w:kern w:val="2"/>
                <w:sz w:val="21"/>
              </w:rPr>
              <w:t>℃</w:t>
            </w:r>
            <w:r>
              <w:rPr>
                <w:rFonts w:ascii="Times New Roman" w:hAnsi="宋体" w:cs="Times New Roman"/>
                <w:kern w:val="2"/>
                <w:sz w:val="21"/>
              </w:rPr>
              <w:t>-125</w:t>
            </w:r>
            <w:r>
              <w:rPr>
                <w:rFonts w:hint="eastAsia" w:ascii="Times New Roman" w:hAnsi="宋体" w:cs="Times New Roman"/>
                <w:kern w:val="2"/>
                <w:sz w:val="21"/>
              </w:rPr>
              <w:t>℃</w:t>
            </w:r>
            <w:r>
              <w:rPr>
                <w:rFonts w:ascii="Times New Roman" w:hAnsi="宋体" w:cs="Times New Roman"/>
                <w:kern w:val="2"/>
                <w:sz w:val="21"/>
              </w:rPr>
              <w:t>，日处理气100×10</w:t>
            </w:r>
            <w:r>
              <w:rPr>
                <w:rFonts w:ascii="Times New Roman" w:hAnsi="宋体" w:cs="Times New Roman"/>
                <w:kern w:val="2"/>
                <w:sz w:val="21"/>
                <w:vertAlign w:val="superscript"/>
              </w:rPr>
              <w:t>4</w:t>
            </w:r>
            <w:r>
              <w:rPr>
                <w:rFonts w:ascii="Times New Roman" w:hAnsi="宋体" w:cs="Times New Roman"/>
                <w:kern w:val="2"/>
                <w:sz w:val="21"/>
              </w:rPr>
              <w:t>m</w:t>
            </w:r>
            <w:r>
              <w:rPr>
                <w:rFonts w:ascii="Times New Roman" w:hAnsi="宋体" w:cs="Times New Roman"/>
                <w:kern w:val="2"/>
                <w:sz w:val="21"/>
                <w:vertAlign w:val="superscript"/>
              </w:rPr>
              <w:t>3</w:t>
            </w:r>
            <w:r>
              <w:rPr>
                <w:rFonts w:ascii="Times New Roman" w:hAnsi="宋体" w:cs="Times New Roman"/>
                <w:kern w:val="2"/>
                <w:sz w:val="21"/>
              </w:rPr>
              <w:t>、日处理水大于240m</w:t>
            </w:r>
            <w:r>
              <w:rPr>
                <w:rFonts w:ascii="Times New Roman" w:hAnsi="宋体" w:cs="Times New Roman"/>
                <w:kern w:val="2"/>
                <w:sz w:val="21"/>
                <w:vertAlign w:val="superscript"/>
              </w:rPr>
              <w:t>3</w:t>
            </w:r>
          </w:p>
        </w:tc>
        <w:tc>
          <w:tcPr>
            <w:tcW w:w="508"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7"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3</w:t>
            </w:r>
          </w:p>
        </w:tc>
        <w:tc>
          <w:tcPr>
            <w:tcW w:w="926"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热交换器</w:t>
            </w:r>
          </w:p>
        </w:tc>
        <w:tc>
          <w:tcPr>
            <w:tcW w:w="3149"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工作压力35MPa，热交换量2.51×10</w:t>
            </w:r>
            <w:r>
              <w:rPr>
                <w:rFonts w:ascii="Times New Roman" w:hAnsi="宋体" w:cs="Times New Roman"/>
                <w:kern w:val="2"/>
                <w:sz w:val="21"/>
                <w:vertAlign w:val="superscript"/>
              </w:rPr>
              <w:t>6</w:t>
            </w:r>
            <w:r>
              <w:rPr>
                <w:rFonts w:ascii="Times New Roman" w:hAnsi="宋体" w:cs="Times New Roman"/>
                <w:kern w:val="2"/>
                <w:sz w:val="21"/>
              </w:rPr>
              <w:t>kJ</w:t>
            </w:r>
          </w:p>
        </w:tc>
        <w:tc>
          <w:tcPr>
            <w:tcW w:w="508"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7"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4</w:t>
            </w:r>
          </w:p>
        </w:tc>
        <w:tc>
          <w:tcPr>
            <w:tcW w:w="926"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安全控制阀</w:t>
            </w:r>
          </w:p>
        </w:tc>
        <w:tc>
          <w:tcPr>
            <w:tcW w:w="3149"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工作压力：70MPa</w:t>
            </w:r>
          </w:p>
        </w:tc>
        <w:tc>
          <w:tcPr>
            <w:tcW w:w="508"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7"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5</w:t>
            </w:r>
          </w:p>
        </w:tc>
        <w:tc>
          <w:tcPr>
            <w:tcW w:w="926"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数据采集系统</w:t>
            </w:r>
          </w:p>
        </w:tc>
        <w:tc>
          <w:tcPr>
            <w:tcW w:w="3149"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时间/压力/温度/流量数据同步采集，压力级别：70MPa，温度级别：-28.9</w:t>
            </w:r>
            <w:r>
              <w:rPr>
                <w:rFonts w:hint="eastAsia" w:ascii="Times New Roman" w:hAnsi="宋体" w:cs="Times New Roman"/>
                <w:kern w:val="2"/>
                <w:sz w:val="21"/>
              </w:rPr>
              <w:t>℃</w:t>
            </w:r>
            <w:r>
              <w:rPr>
                <w:rFonts w:ascii="Times New Roman" w:hAnsi="宋体" w:cs="Times New Roman"/>
                <w:kern w:val="2"/>
                <w:sz w:val="21"/>
              </w:rPr>
              <w:t>～121</w:t>
            </w:r>
            <w:r>
              <w:rPr>
                <w:rFonts w:hint="eastAsia" w:ascii="Times New Roman" w:hAnsi="宋体" w:cs="Times New Roman"/>
                <w:kern w:val="2"/>
                <w:sz w:val="21"/>
              </w:rPr>
              <w:t>℃</w:t>
            </w:r>
          </w:p>
        </w:tc>
        <w:tc>
          <w:tcPr>
            <w:tcW w:w="508"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7"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6</w:t>
            </w:r>
          </w:p>
        </w:tc>
        <w:tc>
          <w:tcPr>
            <w:tcW w:w="926"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化学注入泵</w:t>
            </w:r>
          </w:p>
        </w:tc>
        <w:tc>
          <w:tcPr>
            <w:tcW w:w="3149"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工作温度：-28.9</w:t>
            </w:r>
            <w:r>
              <w:rPr>
                <w:rFonts w:hint="eastAsia" w:ascii="Times New Roman" w:hAnsi="宋体" w:cs="Times New Roman"/>
                <w:kern w:val="2"/>
                <w:sz w:val="21"/>
              </w:rPr>
              <w:t>℃</w:t>
            </w:r>
            <w:r>
              <w:rPr>
                <w:rFonts w:ascii="Times New Roman" w:hAnsi="宋体" w:cs="Times New Roman"/>
                <w:kern w:val="2"/>
                <w:sz w:val="21"/>
              </w:rPr>
              <w:t>～121</w:t>
            </w:r>
            <w:r>
              <w:rPr>
                <w:rFonts w:hint="eastAsia" w:ascii="Times New Roman" w:hAnsi="宋体" w:cs="Times New Roman"/>
                <w:kern w:val="2"/>
                <w:sz w:val="21"/>
              </w:rPr>
              <w:t>℃</w:t>
            </w:r>
            <w:r>
              <w:rPr>
                <w:rFonts w:ascii="Times New Roman" w:hAnsi="宋体" w:cs="Times New Roman"/>
                <w:kern w:val="2"/>
                <w:sz w:val="21"/>
              </w:rPr>
              <w:t>，排量：0.01-0.19m</w:t>
            </w:r>
            <w:r>
              <w:rPr>
                <w:rFonts w:ascii="Times New Roman" w:hAnsi="宋体" w:cs="Times New Roman"/>
                <w:kern w:val="2"/>
                <w:sz w:val="21"/>
                <w:vertAlign w:val="superscript"/>
              </w:rPr>
              <w:t>3</w:t>
            </w:r>
            <w:r>
              <w:rPr>
                <w:rFonts w:ascii="Times New Roman" w:hAnsi="宋体" w:cs="Times New Roman"/>
                <w:kern w:val="2"/>
                <w:sz w:val="21"/>
              </w:rPr>
              <w:t>/h，排放压力：70MPa，化学剂罐容积0.04m</w:t>
            </w:r>
            <w:r>
              <w:rPr>
                <w:rFonts w:ascii="Times New Roman" w:hAnsi="宋体" w:cs="Times New Roman"/>
                <w:kern w:val="2"/>
                <w:sz w:val="21"/>
                <w:vertAlign w:val="superscript"/>
              </w:rPr>
              <w:t>3</w:t>
            </w:r>
          </w:p>
        </w:tc>
        <w:tc>
          <w:tcPr>
            <w:tcW w:w="508"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7"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7</w:t>
            </w:r>
          </w:p>
        </w:tc>
        <w:tc>
          <w:tcPr>
            <w:tcW w:w="926"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环空监测系统</w:t>
            </w:r>
          </w:p>
        </w:tc>
        <w:tc>
          <w:tcPr>
            <w:tcW w:w="3149"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耐压：70MPa</w:t>
            </w:r>
          </w:p>
        </w:tc>
        <w:tc>
          <w:tcPr>
            <w:tcW w:w="508"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7"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8</w:t>
            </w:r>
          </w:p>
        </w:tc>
        <w:tc>
          <w:tcPr>
            <w:tcW w:w="926"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压井系统</w:t>
            </w:r>
          </w:p>
        </w:tc>
        <w:tc>
          <w:tcPr>
            <w:tcW w:w="3149"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耐压：70MPa</w:t>
            </w:r>
          </w:p>
        </w:tc>
        <w:tc>
          <w:tcPr>
            <w:tcW w:w="508"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7"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9</w:t>
            </w:r>
          </w:p>
        </w:tc>
        <w:tc>
          <w:tcPr>
            <w:tcW w:w="926"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点火装置</w:t>
            </w:r>
          </w:p>
        </w:tc>
        <w:tc>
          <w:tcPr>
            <w:tcW w:w="3149"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长明火，自动点火装置</w:t>
            </w:r>
          </w:p>
        </w:tc>
        <w:tc>
          <w:tcPr>
            <w:tcW w:w="508"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若干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7"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10</w:t>
            </w:r>
          </w:p>
        </w:tc>
        <w:tc>
          <w:tcPr>
            <w:tcW w:w="926"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火把</w:t>
            </w:r>
          </w:p>
        </w:tc>
        <w:tc>
          <w:tcPr>
            <w:tcW w:w="3149" w:type="pct"/>
            <w:vAlign w:val="center"/>
          </w:tcPr>
          <w:p>
            <w:pPr>
              <w:topLinePunct w:val="0"/>
              <w:spacing w:line="240" w:lineRule="auto"/>
              <w:ind w:firstLine="0" w:firstLineChars="0"/>
              <w:jc w:val="center"/>
              <w:rPr>
                <w:rFonts w:ascii="Times New Roman" w:hAnsi="宋体" w:cs="Times New Roman"/>
                <w:kern w:val="2"/>
                <w:sz w:val="21"/>
              </w:rPr>
            </w:pPr>
          </w:p>
        </w:tc>
        <w:tc>
          <w:tcPr>
            <w:tcW w:w="508"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12个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7"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11</w:t>
            </w:r>
          </w:p>
        </w:tc>
        <w:tc>
          <w:tcPr>
            <w:tcW w:w="926"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放喷管线及配件</w:t>
            </w:r>
          </w:p>
        </w:tc>
        <w:tc>
          <w:tcPr>
            <w:tcW w:w="3149"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直径3-1/2″</w:t>
            </w:r>
          </w:p>
        </w:tc>
        <w:tc>
          <w:tcPr>
            <w:tcW w:w="508"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1200m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7"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12</w:t>
            </w:r>
          </w:p>
        </w:tc>
        <w:tc>
          <w:tcPr>
            <w:tcW w:w="926"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立式燃烧筒</w:t>
            </w:r>
          </w:p>
        </w:tc>
        <w:tc>
          <w:tcPr>
            <w:tcW w:w="3149" w:type="pct"/>
            <w:vAlign w:val="center"/>
          </w:tcPr>
          <w:p>
            <w:pPr>
              <w:topLinePunct w:val="0"/>
              <w:spacing w:line="240" w:lineRule="auto"/>
              <w:ind w:firstLine="0" w:firstLineChars="0"/>
              <w:jc w:val="center"/>
              <w:rPr>
                <w:rFonts w:ascii="Times New Roman" w:hAnsi="宋体" w:cs="Times New Roman"/>
                <w:kern w:val="2"/>
                <w:sz w:val="21"/>
              </w:rPr>
            </w:pPr>
          </w:p>
        </w:tc>
        <w:tc>
          <w:tcPr>
            <w:tcW w:w="508"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7"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13</w:t>
            </w:r>
          </w:p>
        </w:tc>
        <w:tc>
          <w:tcPr>
            <w:tcW w:w="926"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卧式燃烧筒</w:t>
            </w:r>
          </w:p>
        </w:tc>
        <w:tc>
          <w:tcPr>
            <w:tcW w:w="3149" w:type="pct"/>
            <w:vAlign w:val="center"/>
          </w:tcPr>
          <w:p>
            <w:pPr>
              <w:topLinePunct w:val="0"/>
              <w:spacing w:line="240" w:lineRule="auto"/>
              <w:ind w:firstLine="0" w:firstLineChars="0"/>
              <w:jc w:val="center"/>
              <w:rPr>
                <w:rFonts w:ascii="Times New Roman" w:hAnsi="宋体" w:cs="Times New Roman"/>
                <w:kern w:val="2"/>
                <w:sz w:val="21"/>
              </w:rPr>
            </w:pPr>
          </w:p>
        </w:tc>
        <w:tc>
          <w:tcPr>
            <w:tcW w:w="508"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7"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14</w:t>
            </w:r>
          </w:p>
        </w:tc>
        <w:tc>
          <w:tcPr>
            <w:tcW w:w="926"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连接管线</w:t>
            </w:r>
          </w:p>
        </w:tc>
        <w:tc>
          <w:tcPr>
            <w:tcW w:w="3149"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70MPa的管线</w:t>
            </w:r>
          </w:p>
        </w:tc>
        <w:tc>
          <w:tcPr>
            <w:tcW w:w="508" w:type="pct"/>
            <w:vAlign w:val="center"/>
          </w:tcPr>
          <w:p>
            <w:pPr>
              <w:topLinePunct w:val="0"/>
              <w:snapToGrid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若干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17"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15</w:t>
            </w:r>
          </w:p>
        </w:tc>
        <w:tc>
          <w:tcPr>
            <w:tcW w:w="926"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管线连接件</w:t>
            </w:r>
          </w:p>
        </w:tc>
        <w:tc>
          <w:tcPr>
            <w:tcW w:w="3149" w:type="pct"/>
            <w:vAlign w:val="center"/>
          </w:tcPr>
          <w:p>
            <w:pPr>
              <w:topLinePunct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包含各个压力级别的弯头、三通、四通、短节等</w:t>
            </w:r>
          </w:p>
        </w:tc>
        <w:tc>
          <w:tcPr>
            <w:tcW w:w="508" w:type="pct"/>
            <w:vAlign w:val="center"/>
          </w:tcPr>
          <w:p>
            <w:pPr>
              <w:topLinePunct w:val="0"/>
              <w:snapToGrid w:val="0"/>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若干</w:t>
            </w:r>
          </w:p>
        </w:tc>
      </w:tr>
    </w:tbl>
    <w:p>
      <w:pPr>
        <w:pStyle w:val="3"/>
        <w:spacing w:before="120"/>
        <w:rPr>
          <w:rFonts w:cs="Times New Roman"/>
        </w:rPr>
      </w:pPr>
      <w:r>
        <w:rPr>
          <w:rFonts w:cs="Times New Roman"/>
        </w:rPr>
        <w:t>3.</w:t>
      </w:r>
      <w:r>
        <w:rPr>
          <w:rFonts w:hint="eastAsia" w:cs="Times New Roman"/>
        </w:rPr>
        <w:t>5</w:t>
      </w:r>
      <w:r>
        <w:rPr>
          <w:rFonts w:cs="Times New Roman"/>
        </w:rPr>
        <w:t xml:space="preserve"> 场站工程</w:t>
      </w:r>
      <w:r>
        <w:rPr>
          <w:rFonts w:hint="eastAsia" w:cs="Times New Roman"/>
        </w:rPr>
        <w:t>、管线</w:t>
      </w:r>
    </w:p>
    <w:p>
      <w:pPr>
        <w:pStyle w:val="112"/>
        <w:ind w:firstLine="480"/>
      </w:pPr>
      <w:r>
        <w:rPr>
          <w:rFonts w:hint="eastAsia"/>
        </w:rPr>
        <w:t>新建普陆4-1H井地面集输装置1套，新建</w:t>
      </w:r>
      <w:r>
        <w:t>普陆4集气平台~</w:t>
      </w:r>
      <w:r>
        <w:rPr>
          <w:rFonts w:hint="eastAsia"/>
        </w:rPr>
        <w:t>P107集气站集气管道，设计压力10MPa，</w:t>
      </w:r>
      <w:r>
        <w:t>材质为</w:t>
      </w:r>
      <w:r>
        <w:rPr>
          <w:rFonts w:hint="eastAsia"/>
        </w:rPr>
        <w:t>L</w:t>
      </w:r>
      <w:r>
        <w:t>245</w:t>
      </w:r>
      <w:r>
        <w:rPr>
          <w:rFonts w:hint="eastAsia"/>
        </w:rPr>
        <w:t>N无缝钢管PSL2，管径 D</w:t>
      </w:r>
      <w:r>
        <w:t>N80</w:t>
      </w:r>
      <w:r>
        <w:rPr>
          <w:rFonts w:hint="eastAsia"/>
        </w:rPr>
        <w:t>×</w:t>
      </w:r>
      <w:r>
        <w:t>6.5</w:t>
      </w:r>
      <w:r>
        <w:rPr>
          <w:rFonts w:hint="eastAsia"/>
        </w:rPr>
        <w:t>，长度约350m，管线自普陆4集气平台出站后斜坡埋地敷设约5</w:t>
      </w:r>
      <w:r>
        <w:t>0</w:t>
      </w:r>
      <w:r>
        <w:rPr>
          <w:rFonts w:hint="eastAsia"/>
        </w:rPr>
        <w:t>m穿越一处乡村水泥路后沿P</w:t>
      </w:r>
      <w:r>
        <w:t>107</w:t>
      </w:r>
      <w:r>
        <w:rPr>
          <w:rFonts w:hint="eastAsia"/>
        </w:rPr>
        <w:t>集气站边缘地面敷设至站内分离器出口处，沿东北方向敷设300m后进P107集气站。集输站场设计规模15×</w:t>
      </w:r>
      <w:r>
        <w:t>10</w:t>
      </w:r>
      <w:r>
        <w:rPr>
          <w:vertAlign w:val="superscript"/>
        </w:rPr>
        <w:t>4</w:t>
      </w:r>
      <w:r>
        <w:t>m</w:t>
      </w:r>
      <w:r>
        <w:rPr>
          <w:vertAlign w:val="superscript"/>
        </w:rPr>
        <w:t>3</w:t>
      </w:r>
      <w:r>
        <w:t>/d。</w:t>
      </w:r>
    </w:p>
    <w:p>
      <w:pPr>
        <w:pStyle w:val="37"/>
        <w:rPr>
          <w:rFonts w:cs="Times New Roman"/>
        </w:rPr>
      </w:pPr>
      <w:r>
        <w:rPr>
          <w:rFonts w:cs="Times New Roman"/>
        </w:rPr>
        <w:t>表3.</w:t>
      </w:r>
      <w:r>
        <w:rPr>
          <w:rFonts w:hint="eastAsia" w:cs="Times New Roman"/>
        </w:rPr>
        <w:t>5</w:t>
      </w:r>
      <w:r>
        <w:rPr>
          <w:rFonts w:cs="Times New Roman"/>
        </w:rPr>
        <w:t>-</w:t>
      </w:r>
      <w:r>
        <w:rPr>
          <w:rFonts w:hint="eastAsia" w:cs="Times New Roman"/>
        </w:rPr>
        <w:t>1</w:t>
      </w:r>
      <w:r>
        <w:rPr>
          <w:rFonts w:cs="Times New Roman"/>
        </w:rPr>
        <w:t xml:space="preserve">  </w:t>
      </w:r>
      <w:r>
        <w:rPr>
          <w:rFonts w:hint="eastAsia" w:cs="Times New Roman"/>
        </w:rPr>
        <w:t>集输工艺</w:t>
      </w:r>
      <w:r>
        <w:rPr>
          <w:rFonts w:cs="Times New Roman"/>
        </w:rPr>
        <w:t>主要设备表</w:t>
      </w:r>
    </w:p>
    <w:tbl>
      <w:tblPr>
        <w:tblStyle w:val="57"/>
        <w:tblW w:w="513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0"/>
        <w:gridCol w:w="5350"/>
        <w:gridCol w:w="710"/>
        <w:gridCol w:w="751"/>
        <w:gridCol w:w="10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序号</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主要工程量</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单位</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数量</w:t>
            </w:r>
          </w:p>
        </w:tc>
        <w:tc>
          <w:tcPr>
            <w:tcW w:w="1072" w:type="dxa"/>
            <w:tcBorders>
              <w:tl2br w:val="nil"/>
              <w:tr2bl w:val="nil"/>
            </w:tcBorders>
            <w:noWrap/>
            <w:tcMar>
              <w:top w:w="0" w:type="dxa"/>
              <w:left w:w="51" w:type="dxa"/>
              <w:bottom w:w="0" w:type="dxa"/>
              <w:right w:w="51" w:type="dxa"/>
            </w:tcMar>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b/>
                <w:kern w:val="2"/>
                <w:sz w:val="21"/>
              </w:rPr>
            </w:pPr>
            <w:r>
              <w:rPr>
                <w:rFonts w:ascii="Times New Roman" w:cs="Times New Roman"/>
                <w:b/>
                <w:kern w:val="2"/>
                <w:sz w:val="21"/>
              </w:rPr>
              <w:t>一</w:t>
            </w:r>
          </w:p>
        </w:tc>
        <w:tc>
          <w:tcPr>
            <w:tcW w:w="5353" w:type="dxa"/>
            <w:tcBorders>
              <w:tl2br w:val="nil"/>
              <w:tr2bl w:val="nil"/>
            </w:tcBorders>
            <w:noWrap/>
            <w:vAlign w:val="bottom"/>
          </w:tcPr>
          <w:p>
            <w:pPr>
              <w:spacing w:line="400" w:lineRule="exact"/>
              <w:ind w:firstLine="0" w:firstLineChars="0"/>
              <w:jc w:val="center"/>
              <w:rPr>
                <w:rFonts w:ascii="Times New Roman" w:cs="Times New Roman"/>
                <w:b/>
                <w:kern w:val="2"/>
                <w:sz w:val="21"/>
              </w:rPr>
            </w:pPr>
            <w:r>
              <w:rPr>
                <w:rFonts w:ascii="Times New Roman" w:cs="Times New Roman"/>
                <w:b/>
                <w:kern w:val="2"/>
                <w:sz w:val="21"/>
              </w:rPr>
              <w:t>集气站场</w:t>
            </w:r>
          </w:p>
        </w:tc>
        <w:tc>
          <w:tcPr>
            <w:tcW w:w="709" w:type="dxa"/>
            <w:tcBorders>
              <w:tl2br w:val="nil"/>
              <w:tr2bl w:val="nil"/>
            </w:tcBorders>
            <w:noWrap/>
            <w:vAlign w:val="bottom"/>
          </w:tcPr>
          <w:p>
            <w:pPr>
              <w:spacing w:line="400" w:lineRule="exact"/>
              <w:ind w:firstLine="0" w:firstLineChars="0"/>
              <w:jc w:val="center"/>
              <w:rPr>
                <w:rFonts w:ascii="Times New Roman" w:cs="Times New Roman"/>
                <w:kern w:val="2"/>
                <w:sz w:val="21"/>
              </w:rPr>
            </w:pPr>
          </w:p>
        </w:tc>
        <w:tc>
          <w:tcPr>
            <w:tcW w:w="750" w:type="dxa"/>
            <w:tcBorders>
              <w:tl2br w:val="nil"/>
              <w:tr2bl w:val="nil"/>
            </w:tcBorders>
            <w:noWrap/>
            <w:vAlign w:val="bottom"/>
          </w:tcPr>
          <w:p>
            <w:pPr>
              <w:spacing w:line="400" w:lineRule="exact"/>
              <w:ind w:firstLine="0" w:firstLineChars="0"/>
              <w:jc w:val="center"/>
              <w:rPr>
                <w:rFonts w:ascii="Times New Roman" w:cs="Times New Roman"/>
                <w:kern w:val="2"/>
                <w:sz w:val="21"/>
              </w:rPr>
            </w:pPr>
          </w:p>
        </w:tc>
        <w:tc>
          <w:tcPr>
            <w:tcW w:w="1072" w:type="dxa"/>
            <w:tcBorders>
              <w:tl2br w:val="nil"/>
              <w:tr2bl w:val="nil"/>
            </w:tcBorders>
            <w:noWrap/>
            <w:tcMar>
              <w:top w:w="0" w:type="dxa"/>
              <w:left w:w="51" w:type="dxa"/>
              <w:bottom w:w="0" w:type="dxa"/>
              <w:right w:w="51" w:type="dxa"/>
            </w:tcMar>
            <w:vAlign w:val="bottom"/>
          </w:tcPr>
          <w:p>
            <w:pPr>
              <w:spacing w:line="400" w:lineRule="exact"/>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除砂器撬DN250 35MPa</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套</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1072" w:type="dxa"/>
            <w:tcBorders>
              <w:tl2br w:val="nil"/>
              <w:tr2bl w:val="nil"/>
            </w:tcBorders>
            <w:noWrap/>
            <w:tcMar>
              <w:top w:w="0" w:type="dxa"/>
              <w:left w:w="51" w:type="dxa"/>
              <w:bottom w:w="0" w:type="dxa"/>
              <w:right w:w="51" w:type="dxa"/>
            </w:tcMar>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2</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2盘管水套加热炉撬 1000kW 20MPa</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套</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1072" w:type="dxa"/>
            <w:tcBorders>
              <w:tl2br w:val="nil"/>
              <w:tr2bl w:val="nil"/>
            </w:tcBorders>
            <w:noWrap/>
            <w:tcMar>
              <w:top w:w="0" w:type="dxa"/>
              <w:left w:w="51" w:type="dxa"/>
              <w:bottom w:w="0" w:type="dxa"/>
              <w:right w:w="51" w:type="dxa"/>
            </w:tcMar>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3</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气液分离器撬</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座</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1072" w:type="dxa"/>
            <w:tcBorders>
              <w:tl2br w:val="nil"/>
              <w:tr2bl w:val="nil"/>
            </w:tcBorders>
            <w:noWrap/>
            <w:tcMar>
              <w:top w:w="0" w:type="dxa"/>
              <w:left w:w="51" w:type="dxa"/>
              <w:bottom w:w="0" w:type="dxa"/>
              <w:right w:w="51" w:type="dxa"/>
            </w:tcMar>
            <w:vAlign w:val="bottom"/>
          </w:tcPr>
          <w:p>
            <w:pPr>
              <w:spacing w:line="400" w:lineRule="exact"/>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4</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闪蒸分离器撬</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座</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1072" w:type="dxa"/>
            <w:tcBorders>
              <w:tl2br w:val="nil"/>
              <w:tr2bl w:val="nil"/>
            </w:tcBorders>
            <w:noWrap/>
            <w:tcMar>
              <w:top w:w="0" w:type="dxa"/>
              <w:left w:w="51" w:type="dxa"/>
              <w:bottom w:w="0" w:type="dxa"/>
              <w:right w:w="51" w:type="dxa"/>
            </w:tcMar>
            <w:vAlign w:val="bottom"/>
          </w:tcPr>
          <w:p>
            <w:pPr>
              <w:spacing w:line="400" w:lineRule="exact"/>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5</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放空分离器撬</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座</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1072" w:type="dxa"/>
            <w:tcBorders>
              <w:tl2br w:val="nil"/>
              <w:tr2bl w:val="nil"/>
            </w:tcBorders>
            <w:noWrap/>
            <w:tcMar>
              <w:top w:w="0" w:type="dxa"/>
              <w:left w:w="51" w:type="dxa"/>
              <w:bottom w:w="0" w:type="dxa"/>
              <w:right w:w="51" w:type="dxa"/>
            </w:tcMar>
            <w:vAlign w:val="bottom"/>
          </w:tcPr>
          <w:p>
            <w:pPr>
              <w:spacing w:line="400" w:lineRule="exact"/>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6</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缓蚀剂加注撬</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座</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1072" w:type="dxa"/>
            <w:tcBorders>
              <w:tl2br w:val="nil"/>
              <w:tr2bl w:val="nil"/>
            </w:tcBorders>
            <w:noWrap/>
            <w:tcMar>
              <w:top w:w="0" w:type="dxa"/>
              <w:left w:w="51" w:type="dxa"/>
              <w:bottom w:w="0" w:type="dxa"/>
              <w:right w:w="51" w:type="dxa"/>
            </w:tcMar>
            <w:vAlign w:val="bottom"/>
          </w:tcPr>
          <w:p>
            <w:pPr>
              <w:spacing w:line="400" w:lineRule="exact"/>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7</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50m³采出水罐</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座</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1072" w:type="dxa"/>
            <w:tcBorders>
              <w:tl2br w:val="nil"/>
              <w:tr2bl w:val="nil"/>
            </w:tcBorders>
            <w:noWrap/>
            <w:tcMar>
              <w:top w:w="0" w:type="dxa"/>
              <w:left w:w="51" w:type="dxa"/>
              <w:bottom w:w="0" w:type="dxa"/>
              <w:right w:w="51" w:type="dxa"/>
            </w:tcMar>
            <w:vAlign w:val="bottom"/>
          </w:tcPr>
          <w:p>
            <w:pPr>
              <w:spacing w:line="400" w:lineRule="exact"/>
              <w:ind w:firstLine="0" w:firstLineChars="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8</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50m³油罐</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座</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9</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放空管DN100 H=15m</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座</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10</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放散管 DN100 H=6m</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座</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11</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装车泵 流量：25m</w:t>
            </w:r>
            <w:r>
              <w:rPr>
                <w:rFonts w:ascii="Times New Roman" w:cs="Times New Roman"/>
                <w:kern w:val="2"/>
                <w:sz w:val="21"/>
                <w:vertAlign w:val="superscript"/>
              </w:rPr>
              <w:t>3</w:t>
            </w:r>
            <w:r>
              <w:rPr>
                <w:rFonts w:ascii="Times New Roman" w:cs="Times New Roman"/>
                <w:kern w:val="2"/>
                <w:sz w:val="21"/>
              </w:rPr>
              <w:t>/h 扬程：30m</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台</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12</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装车鹤管 DN100 PM16</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座</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13</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阻火器 DN100 PN16</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套</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2</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14</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井口控制柜（一井式）</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套</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15</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绝缘接头DN80 PN1.6MPa</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个</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16</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钢法兰闸阀 DN25 PN16</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个</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2</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17</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钢法兰截止阀 DN25 PN16</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个</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2</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18</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钢法兰球阀 DN50 PN16</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个</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2</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19</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钢法兰截止阀DN65PN16</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个</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2</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20</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钢法兰球阀DN25class1500</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个</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2</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21</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钢法兰闸阀DN50PN16</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个</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4</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二</w:t>
            </w:r>
          </w:p>
        </w:tc>
        <w:tc>
          <w:tcPr>
            <w:tcW w:w="5353" w:type="dxa"/>
            <w:tcBorders>
              <w:tl2br w:val="nil"/>
              <w:tr2bl w:val="nil"/>
            </w:tcBorders>
            <w:noWrap/>
            <w:vAlign w:val="center"/>
          </w:tcPr>
          <w:p>
            <w:pPr>
              <w:spacing w:line="400" w:lineRule="exact"/>
              <w:ind w:firstLine="0" w:firstLineChars="0"/>
              <w:jc w:val="center"/>
              <w:rPr>
                <w:rFonts w:ascii="Times New Roman" w:cs="Times New Roman"/>
                <w:b/>
                <w:bCs/>
                <w:kern w:val="2"/>
                <w:sz w:val="21"/>
              </w:rPr>
            </w:pPr>
            <w:r>
              <w:rPr>
                <w:rFonts w:ascii="Times New Roman" w:cs="Times New Roman"/>
                <w:b/>
                <w:bCs/>
                <w:kern w:val="2"/>
                <w:sz w:val="21"/>
              </w:rPr>
              <w:t>站内管线</w:t>
            </w:r>
          </w:p>
        </w:tc>
        <w:tc>
          <w:tcPr>
            <w:tcW w:w="709" w:type="dxa"/>
            <w:tcBorders>
              <w:tl2br w:val="nil"/>
              <w:tr2bl w:val="nil"/>
            </w:tcBorders>
            <w:noWrap/>
            <w:vAlign w:val="center"/>
          </w:tcPr>
          <w:p>
            <w:pPr>
              <w:spacing w:line="400" w:lineRule="exact"/>
              <w:ind w:firstLine="420"/>
              <w:jc w:val="center"/>
              <w:rPr>
                <w:rFonts w:ascii="Times New Roman" w:cs="Times New Roman"/>
                <w:kern w:val="2"/>
                <w:sz w:val="21"/>
              </w:rPr>
            </w:pPr>
          </w:p>
        </w:tc>
        <w:tc>
          <w:tcPr>
            <w:tcW w:w="750" w:type="dxa"/>
            <w:tcBorders>
              <w:tl2br w:val="nil"/>
              <w:tr2bl w:val="nil"/>
            </w:tcBorders>
            <w:noWrap/>
            <w:vAlign w:val="center"/>
          </w:tcPr>
          <w:p>
            <w:pPr>
              <w:spacing w:line="400" w:lineRule="exact"/>
              <w:ind w:firstLine="420"/>
              <w:jc w:val="center"/>
              <w:rPr>
                <w:rFonts w:ascii="Times New Roman" w:cs="Times New Roman"/>
                <w:kern w:val="2"/>
                <w:sz w:val="21"/>
              </w:rPr>
            </w:pP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无缝钢管D76.1×10 GB/T 9711-L360N PSL2</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m</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100</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2</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无缝钢管D60.3×5.5 L245N PSL2</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m</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570</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3</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无缝钢管DN88.9×5.0 Q345E PSL2</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m</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500</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4</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无缝钢管D76.1×6.5 L245N PSL2</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m</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50</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5</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无缝钢管DN33.7×4.5 L245N PSL2</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m</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50</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6</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等径三通  D60.3×5.5          接管L245N</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个</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2</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7</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电伴热带</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m</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1080</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8</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防爆电源接线盒首端</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个</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22</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9</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防爆电源接线盒尾端</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个</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22</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10</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防爆三通中间接线盒</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个</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22</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11</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防爆二通中间接线盒</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个</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22</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三</w:t>
            </w:r>
          </w:p>
        </w:tc>
        <w:tc>
          <w:tcPr>
            <w:tcW w:w="5353" w:type="dxa"/>
            <w:tcBorders>
              <w:tl2br w:val="nil"/>
              <w:tr2bl w:val="nil"/>
            </w:tcBorders>
            <w:noWrap/>
            <w:vAlign w:val="center"/>
          </w:tcPr>
          <w:p>
            <w:pPr>
              <w:spacing w:line="400" w:lineRule="exact"/>
              <w:ind w:firstLine="0" w:firstLineChars="0"/>
              <w:jc w:val="center"/>
              <w:rPr>
                <w:rFonts w:ascii="Times New Roman" w:cs="Times New Roman"/>
                <w:b/>
                <w:bCs/>
                <w:kern w:val="2"/>
                <w:sz w:val="21"/>
              </w:rPr>
            </w:pPr>
            <w:r>
              <w:rPr>
                <w:rFonts w:ascii="Times New Roman" w:cs="Times New Roman"/>
                <w:b/>
                <w:bCs/>
                <w:kern w:val="2"/>
                <w:sz w:val="21"/>
              </w:rPr>
              <w:t>拆除并重新安装</w:t>
            </w:r>
          </w:p>
        </w:tc>
        <w:tc>
          <w:tcPr>
            <w:tcW w:w="709" w:type="dxa"/>
            <w:tcBorders>
              <w:tl2br w:val="nil"/>
              <w:tr2bl w:val="nil"/>
            </w:tcBorders>
            <w:noWrap/>
            <w:vAlign w:val="center"/>
          </w:tcPr>
          <w:p>
            <w:pPr>
              <w:spacing w:line="400" w:lineRule="exact"/>
              <w:ind w:firstLine="420"/>
              <w:jc w:val="center"/>
              <w:rPr>
                <w:rFonts w:ascii="Times New Roman" w:cs="Times New Roman"/>
                <w:kern w:val="2"/>
                <w:sz w:val="21"/>
              </w:rPr>
            </w:pPr>
          </w:p>
        </w:tc>
        <w:tc>
          <w:tcPr>
            <w:tcW w:w="750" w:type="dxa"/>
            <w:tcBorders>
              <w:tl2br w:val="nil"/>
              <w:tr2bl w:val="nil"/>
            </w:tcBorders>
            <w:noWrap/>
            <w:vAlign w:val="center"/>
          </w:tcPr>
          <w:p>
            <w:pPr>
              <w:spacing w:line="400" w:lineRule="exact"/>
              <w:ind w:firstLine="420"/>
              <w:jc w:val="center"/>
              <w:rPr>
                <w:rFonts w:ascii="Times New Roman" w:cs="Times New Roman"/>
                <w:kern w:val="2"/>
                <w:sz w:val="21"/>
              </w:rPr>
            </w:pP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2盘管水套加热炉撬 1000kW 20MPa拆除+安装</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套</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2</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乙二醇加药撬拆除+搬迁</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座</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3</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破乳剂加药撬拆除+安装</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座</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4</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无缝钢管DN88.9×4.5</w:t>
            </w:r>
            <w:r>
              <w:rPr>
                <w:rFonts w:hint="eastAsia" w:ascii="Times New Roman" w:cs="Times New Roman"/>
                <w:kern w:val="2"/>
                <w:sz w:val="21"/>
              </w:rPr>
              <w:t>，</w:t>
            </w:r>
            <w:r>
              <w:rPr>
                <w:rFonts w:ascii="Times New Roman" w:cs="Times New Roman"/>
                <w:kern w:val="2"/>
                <w:sz w:val="21"/>
              </w:rPr>
              <w:t>GB/T6479-Q345E,GB/T17395</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m</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100</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5</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无缝钢管D76.1×11 GB/T 9711-L360N PSL2</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m</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50</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6</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无缝钢管D114.3×5 L245N</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m</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100</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7</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无缝钢管DN33.7×3.5  GB/T 9711-L245N PSL2</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m</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100</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8</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带杆视频摄像</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个</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3</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9</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带杆照明灯</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个</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2</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10</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DN100角式节流阀</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个</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11</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DN80截止阀</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个</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4</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12</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撬装值班房拆除+安装</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座</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13</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高架水箱拆除+安装</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座</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2</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14</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撬装厕所拆除+安装</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座</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center"/>
          </w:tcPr>
          <w:p>
            <w:pPr>
              <w:spacing w:line="400" w:lineRule="exact"/>
              <w:ind w:firstLine="0" w:firstLineChars="0"/>
              <w:jc w:val="center"/>
              <w:rPr>
                <w:rFonts w:ascii="Times New Roman" w:cs="Times New Roman"/>
                <w:b/>
                <w:kern w:val="2"/>
                <w:sz w:val="21"/>
              </w:rPr>
            </w:pPr>
            <w:r>
              <w:rPr>
                <w:rFonts w:ascii="Times New Roman" w:cs="Times New Roman"/>
                <w:b/>
                <w:kern w:val="2"/>
                <w:sz w:val="21"/>
              </w:rPr>
              <w:t>四</w:t>
            </w:r>
          </w:p>
        </w:tc>
        <w:tc>
          <w:tcPr>
            <w:tcW w:w="5353" w:type="dxa"/>
            <w:tcBorders>
              <w:tl2br w:val="nil"/>
              <w:tr2bl w:val="nil"/>
            </w:tcBorders>
            <w:noWrap/>
            <w:vAlign w:val="center"/>
          </w:tcPr>
          <w:p>
            <w:pPr>
              <w:spacing w:line="400" w:lineRule="exact"/>
              <w:ind w:firstLine="0" w:firstLineChars="0"/>
              <w:jc w:val="center"/>
              <w:rPr>
                <w:rFonts w:ascii="Times New Roman" w:cs="Times New Roman"/>
                <w:b/>
                <w:bCs/>
                <w:kern w:val="2"/>
                <w:sz w:val="21"/>
              </w:rPr>
            </w:pPr>
            <w:r>
              <w:rPr>
                <w:rFonts w:ascii="Times New Roman" w:cs="Times New Roman"/>
                <w:b/>
                <w:bCs/>
                <w:kern w:val="2"/>
                <w:sz w:val="21"/>
              </w:rPr>
              <w:t>站外集输管线</w:t>
            </w:r>
          </w:p>
        </w:tc>
        <w:tc>
          <w:tcPr>
            <w:tcW w:w="709" w:type="dxa"/>
            <w:tcBorders>
              <w:tl2br w:val="nil"/>
              <w:tr2bl w:val="nil"/>
            </w:tcBorders>
            <w:noWrap/>
            <w:vAlign w:val="center"/>
          </w:tcPr>
          <w:p>
            <w:pPr>
              <w:spacing w:line="400" w:lineRule="exact"/>
              <w:ind w:firstLine="420"/>
              <w:jc w:val="center"/>
              <w:rPr>
                <w:rFonts w:ascii="Times New Roman" w:cs="Times New Roman"/>
                <w:kern w:val="2"/>
                <w:sz w:val="21"/>
              </w:rPr>
            </w:pPr>
          </w:p>
        </w:tc>
        <w:tc>
          <w:tcPr>
            <w:tcW w:w="750" w:type="dxa"/>
            <w:tcBorders>
              <w:tl2br w:val="nil"/>
              <w:tr2bl w:val="nil"/>
            </w:tcBorders>
            <w:noWrap/>
            <w:vAlign w:val="center"/>
          </w:tcPr>
          <w:p>
            <w:pPr>
              <w:spacing w:line="400" w:lineRule="exact"/>
              <w:ind w:firstLine="420"/>
              <w:jc w:val="center"/>
              <w:rPr>
                <w:rFonts w:ascii="Times New Roman" w:cs="Times New Roman"/>
                <w:kern w:val="2"/>
                <w:sz w:val="21"/>
              </w:rPr>
            </w:pP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无缝钢管 D89×6  L245N</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km</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0.35</w:t>
            </w:r>
          </w:p>
        </w:tc>
        <w:tc>
          <w:tcPr>
            <w:tcW w:w="1072" w:type="dxa"/>
            <w:tcBorders>
              <w:tl2br w:val="nil"/>
              <w:tr2bl w:val="nil"/>
            </w:tcBorders>
            <w:noWrap/>
            <w:tcMar>
              <w:top w:w="0" w:type="dxa"/>
              <w:left w:w="51" w:type="dxa"/>
              <w:bottom w:w="0" w:type="dxa"/>
              <w:right w:w="51" w:type="dxa"/>
            </w:tcMar>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100m埋地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2</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穿越乡村水泥路</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处</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3</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冷弯弯管 DD89×7   L245N</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个</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3</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4</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冷弯弯管  DD89×7   L245N</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m</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36</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5</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热煨弯管 DD89×7.5  L245N</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个</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5</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6</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热煨弯管 D89×7.5   L245N</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m</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20</w:t>
            </w:r>
          </w:p>
        </w:tc>
        <w:tc>
          <w:tcPr>
            <w:tcW w:w="1072" w:type="dxa"/>
            <w:tcBorders>
              <w:tl2br w:val="nil"/>
              <w:tr2bl w:val="nil"/>
            </w:tcBorders>
            <w:noWrap/>
            <w:tcMar>
              <w:top w:w="0" w:type="dxa"/>
              <w:left w:w="51" w:type="dxa"/>
              <w:bottom w:w="0" w:type="dxa"/>
              <w:right w:w="51" w:type="dxa"/>
            </w:tcMar>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穿路套管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7</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90°长半径弯头 DN80  PN100 接管 D88.9×7 L245N</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个</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16</w:t>
            </w:r>
          </w:p>
        </w:tc>
        <w:tc>
          <w:tcPr>
            <w:tcW w:w="1072" w:type="dxa"/>
            <w:tcBorders>
              <w:tl2br w:val="nil"/>
              <w:tr2bl w:val="nil"/>
            </w:tcBorders>
            <w:noWrap/>
            <w:tcMar>
              <w:top w:w="0" w:type="dxa"/>
              <w:left w:w="51" w:type="dxa"/>
              <w:bottom w:w="0" w:type="dxa"/>
              <w:right w:w="51" w:type="dxa"/>
            </w:tcMar>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36m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8</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45°长半径弯头 DN80  PN100 接管 D88.9×7 L245N</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个</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16</w:t>
            </w:r>
          </w:p>
        </w:tc>
        <w:tc>
          <w:tcPr>
            <w:tcW w:w="1072" w:type="dxa"/>
            <w:tcBorders>
              <w:tl2br w:val="nil"/>
              <w:tr2bl w:val="nil"/>
            </w:tcBorders>
            <w:noWrap/>
            <w:tcMar>
              <w:top w:w="0" w:type="dxa"/>
              <w:left w:w="51" w:type="dxa"/>
              <w:bottom w:w="0" w:type="dxa"/>
              <w:right w:w="51" w:type="dxa"/>
            </w:tcMar>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20m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9</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D88.9×11.0 无缝钢管L245N</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m</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6</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10</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电动控制阀（抗硫）Class900 DN80</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套</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11</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止回阀</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套</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12</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警示牌</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个</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4</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13</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警示带</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km</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0.3</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14</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钢筋混凝土套管 DRCPⅢ 500×2000 砼 C50</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根</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6</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15</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隔离支架块（工艺管道外径DN80  套管DN500）</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个</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7</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16</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绝缘橡胶板 t=8mm b=230mm</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hint="eastAsia" w:ascii="Times New Roman" w:cs="Times New Roman"/>
                <w:kern w:val="2"/>
                <w:sz w:val="21"/>
              </w:rPr>
              <w:t>m</w:t>
            </w:r>
            <w:r>
              <w:rPr>
                <w:rFonts w:hint="eastAsia" w:ascii="Times New Roman" w:cs="Times New Roman"/>
                <w:kern w:val="2"/>
                <w:sz w:val="21"/>
                <w:vertAlign w:val="superscript"/>
              </w:rPr>
              <w:t>2</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0.71</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79" w:type="dxa"/>
            <w:tcBorders>
              <w:tl2br w:val="nil"/>
              <w:tr2bl w:val="nil"/>
            </w:tcBorders>
            <w:noWrap/>
            <w:vAlign w:val="bottom"/>
          </w:tcPr>
          <w:p>
            <w:pPr>
              <w:spacing w:line="400" w:lineRule="exact"/>
              <w:ind w:firstLine="0" w:firstLineChars="0"/>
              <w:jc w:val="center"/>
              <w:rPr>
                <w:rFonts w:ascii="Times New Roman" w:cs="Times New Roman"/>
                <w:kern w:val="2"/>
                <w:sz w:val="21"/>
              </w:rPr>
            </w:pPr>
            <w:r>
              <w:rPr>
                <w:rFonts w:ascii="Times New Roman" w:cs="Times New Roman"/>
                <w:kern w:val="2"/>
                <w:sz w:val="21"/>
              </w:rPr>
              <w:t>17</w:t>
            </w:r>
          </w:p>
        </w:tc>
        <w:tc>
          <w:tcPr>
            <w:tcW w:w="5353"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管线基墩</w:t>
            </w:r>
          </w:p>
        </w:tc>
        <w:tc>
          <w:tcPr>
            <w:tcW w:w="709"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个</w:t>
            </w:r>
          </w:p>
        </w:tc>
        <w:tc>
          <w:tcPr>
            <w:tcW w:w="750" w:type="dxa"/>
            <w:tcBorders>
              <w:tl2br w:val="nil"/>
              <w:tr2bl w:val="nil"/>
            </w:tcBorders>
            <w:noWrap/>
            <w:vAlign w:val="center"/>
          </w:tcPr>
          <w:p>
            <w:pPr>
              <w:spacing w:line="400" w:lineRule="exact"/>
              <w:ind w:firstLine="0" w:firstLineChars="0"/>
              <w:jc w:val="center"/>
              <w:rPr>
                <w:rFonts w:ascii="Times New Roman" w:cs="Times New Roman"/>
                <w:kern w:val="2"/>
                <w:sz w:val="21"/>
              </w:rPr>
            </w:pPr>
            <w:r>
              <w:rPr>
                <w:rFonts w:ascii="Times New Roman" w:cs="Times New Roman"/>
                <w:kern w:val="2"/>
                <w:sz w:val="21"/>
              </w:rPr>
              <w:t>18</w:t>
            </w:r>
          </w:p>
        </w:tc>
        <w:tc>
          <w:tcPr>
            <w:tcW w:w="1072" w:type="dxa"/>
            <w:tcBorders>
              <w:tl2br w:val="nil"/>
              <w:tr2bl w:val="nil"/>
            </w:tcBorders>
            <w:noWrap/>
            <w:tcMar>
              <w:top w:w="0" w:type="dxa"/>
              <w:left w:w="51" w:type="dxa"/>
              <w:bottom w:w="0" w:type="dxa"/>
              <w:right w:w="51" w:type="dxa"/>
            </w:tcMar>
            <w:vAlign w:val="bottom"/>
          </w:tcPr>
          <w:p>
            <w:pPr>
              <w:spacing w:line="400" w:lineRule="exact"/>
              <w:ind w:firstLine="420"/>
              <w:jc w:val="center"/>
              <w:rPr>
                <w:rFonts w:ascii="Times New Roman" w:cs="Times New Roman"/>
                <w:kern w:val="2"/>
                <w:sz w:val="21"/>
              </w:rPr>
            </w:pPr>
          </w:p>
        </w:tc>
      </w:tr>
    </w:tbl>
    <w:p>
      <w:pPr>
        <w:ind w:firstLine="480"/>
        <w:rPr>
          <w:rFonts w:cs="Times New Roman"/>
        </w:rPr>
      </w:pPr>
    </w:p>
    <w:p>
      <w:pPr>
        <w:pStyle w:val="56"/>
        <w:ind w:left="480" w:firstLine="400"/>
      </w:pPr>
    </w:p>
    <w:p>
      <w:pPr>
        <w:pStyle w:val="3"/>
        <w:spacing w:before="120"/>
        <w:rPr>
          <w:rFonts w:cs="Times New Roman"/>
        </w:rPr>
      </w:pPr>
      <w:bookmarkStart w:id="160" w:name="_Toc81515269"/>
      <w:bookmarkStart w:id="161" w:name="_Toc12288400"/>
      <w:bookmarkStart w:id="162" w:name="_Toc19815956"/>
      <w:r>
        <w:rPr>
          <w:rFonts w:cs="Times New Roman"/>
        </w:rPr>
        <w:t>3.</w:t>
      </w:r>
      <w:r>
        <w:rPr>
          <w:rFonts w:hint="eastAsia" w:cs="Times New Roman"/>
        </w:rPr>
        <w:t>6</w:t>
      </w:r>
      <w:r>
        <w:rPr>
          <w:rFonts w:cs="Times New Roman"/>
        </w:rPr>
        <w:t xml:space="preserve"> 线路工程</w:t>
      </w:r>
      <w:bookmarkEnd w:id="160"/>
      <w:bookmarkEnd w:id="161"/>
      <w:bookmarkEnd w:id="162"/>
    </w:p>
    <w:p>
      <w:pPr>
        <w:pStyle w:val="4"/>
        <w:rPr>
          <w:rFonts w:eastAsia="宋体"/>
        </w:rPr>
      </w:pPr>
      <w:r>
        <w:rPr>
          <w:rFonts w:eastAsia="宋体"/>
        </w:rPr>
        <w:t>3.</w:t>
      </w:r>
      <w:r>
        <w:rPr>
          <w:rFonts w:hint="eastAsia" w:eastAsia="宋体"/>
        </w:rPr>
        <w:t>6</w:t>
      </w:r>
      <w:r>
        <w:rPr>
          <w:rFonts w:eastAsia="宋体"/>
        </w:rPr>
        <w:t>.1 线路走向</w:t>
      </w:r>
    </w:p>
    <w:p>
      <w:pPr>
        <w:pStyle w:val="112"/>
        <w:ind w:firstLine="480"/>
      </w:pPr>
      <w:r>
        <w:rPr>
          <w:rFonts w:hint="eastAsia"/>
        </w:rPr>
        <w:t>（1）普陆4集气平台~P107集气站集气管道</w:t>
      </w:r>
    </w:p>
    <w:p>
      <w:pPr>
        <w:pStyle w:val="112"/>
        <w:ind w:firstLine="480"/>
      </w:pPr>
      <w:r>
        <w:rPr>
          <w:rFonts w:hint="eastAsia"/>
        </w:rPr>
        <w:t>新建普陆4集气平台~P107集气站集气管道，设计压力10MPa，材质为L245N无缝钢管PSL2，管径 DN80×6.5，长度约350m，管线自普陆4集气平台出站后斜坡埋地敷设约50m穿越一处乡村水泥路后沿P107集气站边缘地面敷设至站内分离器出口处，沿东北方向敷设300m后进P107集气站。</w:t>
      </w:r>
    </w:p>
    <w:p>
      <w:pPr>
        <w:ind w:firstLine="480"/>
        <w:rPr>
          <w:rFonts w:ascii="Times New Roman" w:cs="Times New Roman"/>
        </w:rPr>
      </w:pPr>
      <w:r>
        <w:t>（</w:t>
      </w:r>
      <w:r>
        <w:rPr>
          <w:rFonts w:ascii="Times New Roman" w:cs="Times New Roman"/>
        </w:rPr>
        <w:t>2</w:t>
      </w:r>
      <w:r>
        <w:t>）</w:t>
      </w:r>
      <w:r>
        <w:rPr>
          <w:rFonts w:ascii="Times New Roman" w:cs="Times New Roman"/>
        </w:rPr>
        <w:t>燃料气返输管线</w:t>
      </w:r>
    </w:p>
    <w:p>
      <w:pPr>
        <w:ind w:firstLine="480"/>
        <w:rPr>
          <w:rFonts w:ascii="Times New Roman" w:cs="Times New Roman"/>
        </w:rPr>
      </w:pPr>
      <w:r>
        <w:rPr>
          <w:rFonts w:ascii="Times New Roman" w:cs="Times New Roman"/>
        </w:rPr>
        <w:t>本项目水套炉采用返输净化后天然气（不含硫）作为燃料，</w:t>
      </w:r>
      <w:r>
        <w:rPr>
          <w:rFonts w:hint="eastAsia" w:ascii="Times New Roman" w:cs="Times New Roman"/>
        </w:rPr>
        <w:t>依托</w:t>
      </w:r>
      <w:r>
        <w:rPr>
          <w:rFonts w:ascii="Times New Roman" w:cs="Times New Roman"/>
        </w:rPr>
        <w:t>现有燃气返输管线返输。</w:t>
      </w:r>
    </w:p>
    <w:p>
      <w:pPr>
        <w:pStyle w:val="4"/>
        <w:rPr>
          <w:rFonts w:eastAsia="宋体"/>
        </w:rPr>
      </w:pPr>
      <w:r>
        <w:rPr>
          <w:rFonts w:eastAsia="宋体"/>
        </w:rPr>
        <w:t>3.</w:t>
      </w:r>
      <w:r>
        <w:rPr>
          <w:rFonts w:hint="eastAsia" w:eastAsia="宋体"/>
        </w:rPr>
        <w:t>6</w:t>
      </w:r>
      <w:r>
        <w:rPr>
          <w:rFonts w:eastAsia="宋体"/>
        </w:rPr>
        <w:t>.2 沿线基本情况</w:t>
      </w:r>
      <w:bookmarkEnd w:id="134"/>
    </w:p>
    <w:p>
      <w:pPr>
        <w:pStyle w:val="6"/>
        <w:ind w:firstLine="430"/>
        <w:rPr>
          <w:rStyle w:val="61"/>
          <w:rFonts w:cs="Times New Roman"/>
        </w:rPr>
      </w:pPr>
      <w:bookmarkStart w:id="163" w:name="_Toc12288403"/>
      <w:r>
        <w:rPr>
          <w:rStyle w:val="61"/>
          <w:rFonts w:cs="Times New Roman"/>
        </w:rPr>
        <w:t>1、</w:t>
      </w:r>
      <w:bookmarkEnd w:id="163"/>
      <w:r>
        <w:rPr>
          <w:rStyle w:val="61"/>
          <w:rFonts w:cs="Times New Roman"/>
        </w:rPr>
        <w:t>沿线地表植被区划长度</w:t>
      </w:r>
    </w:p>
    <w:p>
      <w:pPr>
        <w:pStyle w:val="112"/>
        <w:ind w:firstLine="480"/>
      </w:pPr>
      <w:bookmarkStart w:id="164" w:name="_Hlk52901667"/>
      <w:r>
        <w:t>管线沿线包植被分布在旱地、水田、</w:t>
      </w:r>
      <w:r>
        <w:rPr>
          <w:rFonts w:hint="eastAsia"/>
        </w:rPr>
        <w:t>一般</w:t>
      </w:r>
      <w:r>
        <w:t>林地，以旱地和</w:t>
      </w:r>
      <w:r>
        <w:rPr>
          <w:rFonts w:hint="eastAsia"/>
        </w:rPr>
        <w:t>一般</w:t>
      </w:r>
      <w:r>
        <w:t>林地为主。其中旱地主要为蔬菜、玉米、花生等作物，</w:t>
      </w:r>
      <w:r>
        <w:rPr>
          <w:rFonts w:hint="eastAsia"/>
        </w:rPr>
        <w:t>一般</w:t>
      </w:r>
      <w:r>
        <w:t>林地主要为马尾松、柏树等作物。</w:t>
      </w:r>
    </w:p>
    <w:p>
      <w:pPr>
        <w:pStyle w:val="112"/>
        <w:ind w:firstLine="480"/>
      </w:pPr>
      <w:r>
        <w:t>根据沿线地表植被区划长度统计。</w:t>
      </w:r>
    </w:p>
    <w:p>
      <w:pPr>
        <w:pStyle w:val="37"/>
        <w:rPr>
          <w:rFonts w:cs="Times New Roman"/>
        </w:rPr>
      </w:pPr>
      <w:bookmarkStart w:id="165" w:name="_Hlk58767188"/>
      <w:r>
        <w:rPr>
          <w:rFonts w:cs="Times New Roman"/>
        </w:rPr>
        <w:t>表3.</w:t>
      </w:r>
      <w:r>
        <w:rPr>
          <w:rFonts w:hint="eastAsia" w:cs="Times New Roman"/>
        </w:rPr>
        <w:t>6</w:t>
      </w:r>
      <w:r>
        <w:rPr>
          <w:rFonts w:cs="Times New Roman"/>
        </w:rPr>
        <w:t>-1  沿线地表植被长度统计表</w:t>
      </w:r>
    </w:p>
    <w:tbl>
      <w:tblPr>
        <w:tblStyle w:val="57"/>
        <w:tblW w:w="855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410"/>
        <w:gridCol w:w="3423"/>
        <w:gridCol w:w="20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tblHeader/>
          <w:jc w:val="center"/>
        </w:trPr>
        <w:tc>
          <w:tcPr>
            <w:tcW w:w="688" w:type="dxa"/>
            <w:vAlign w:val="center"/>
          </w:tcPr>
          <w:p>
            <w:pPr>
              <w:pStyle w:val="132"/>
              <w:rPr>
                <w:b/>
                <w:bCs/>
              </w:rPr>
            </w:pPr>
            <w:r>
              <w:rPr>
                <w:b/>
                <w:bCs/>
              </w:rPr>
              <w:t>序号</w:t>
            </w:r>
          </w:p>
        </w:tc>
        <w:tc>
          <w:tcPr>
            <w:tcW w:w="2410" w:type="dxa"/>
            <w:vAlign w:val="center"/>
          </w:tcPr>
          <w:p>
            <w:pPr>
              <w:pStyle w:val="132"/>
              <w:rPr>
                <w:b/>
                <w:bCs/>
              </w:rPr>
            </w:pPr>
            <w:r>
              <w:rPr>
                <w:b/>
                <w:bCs/>
              </w:rPr>
              <w:t>地表现状</w:t>
            </w:r>
          </w:p>
        </w:tc>
        <w:tc>
          <w:tcPr>
            <w:tcW w:w="3423" w:type="dxa"/>
            <w:vAlign w:val="center"/>
          </w:tcPr>
          <w:p>
            <w:pPr>
              <w:pStyle w:val="132"/>
              <w:rPr>
                <w:b/>
                <w:bCs/>
              </w:rPr>
            </w:pPr>
            <w:r>
              <w:rPr>
                <w:b/>
                <w:bCs/>
              </w:rPr>
              <w:t>长度（m）</w:t>
            </w:r>
          </w:p>
        </w:tc>
        <w:tc>
          <w:tcPr>
            <w:tcW w:w="2031" w:type="dxa"/>
            <w:vAlign w:val="center"/>
          </w:tcPr>
          <w:p>
            <w:pPr>
              <w:pStyle w:val="132"/>
              <w:rPr>
                <w:b/>
                <w:bCs/>
              </w:rPr>
            </w:pPr>
            <w:r>
              <w:rPr>
                <w:b/>
                <w:bC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88" w:type="dxa"/>
            <w:vAlign w:val="center"/>
          </w:tcPr>
          <w:p>
            <w:pPr>
              <w:pStyle w:val="132"/>
            </w:pPr>
            <w:r>
              <w:t>1</w:t>
            </w:r>
          </w:p>
        </w:tc>
        <w:tc>
          <w:tcPr>
            <w:tcW w:w="2410" w:type="dxa"/>
            <w:vAlign w:val="center"/>
          </w:tcPr>
          <w:p>
            <w:pPr>
              <w:pStyle w:val="132"/>
            </w:pPr>
            <w:r>
              <w:t>旱地</w:t>
            </w:r>
          </w:p>
        </w:tc>
        <w:tc>
          <w:tcPr>
            <w:tcW w:w="3423" w:type="dxa"/>
            <w:vAlign w:val="center"/>
          </w:tcPr>
          <w:p>
            <w:pPr>
              <w:pStyle w:val="132"/>
            </w:pPr>
            <w:r>
              <w:rPr>
                <w:rFonts w:hint="eastAsia"/>
                <w:szCs w:val="21"/>
              </w:rPr>
              <w:t>200</w:t>
            </w:r>
          </w:p>
        </w:tc>
        <w:tc>
          <w:tcPr>
            <w:tcW w:w="2031" w:type="dxa"/>
            <w:vAlign w:val="center"/>
          </w:tcPr>
          <w:p>
            <w:pPr>
              <w:pStyle w:val="132"/>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88" w:type="dxa"/>
            <w:vAlign w:val="center"/>
          </w:tcPr>
          <w:p>
            <w:pPr>
              <w:pStyle w:val="132"/>
            </w:pPr>
            <w:r>
              <w:t>2</w:t>
            </w:r>
          </w:p>
        </w:tc>
        <w:tc>
          <w:tcPr>
            <w:tcW w:w="2410" w:type="dxa"/>
            <w:vAlign w:val="center"/>
          </w:tcPr>
          <w:p>
            <w:pPr>
              <w:pStyle w:val="132"/>
            </w:pPr>
            <w:r>
              <w:t>水田</w:t>
            </w:r>
          </w:p>
        </w:tc>
        <w:tc>
          <w:tcPr>
            <w:tcW w:w="3423" w:type="dxa"/>
            <w:vAlign w:val="center"/>
          </w:tcPr>
          <w:p>
            <w:pPr>
              <w:pStyle w:val="132"/>
            </w:pPr>
            <w:r>
              <w:rPr>
                <w:rFonts w:hint="eastAsia"/>
                <w:szCs w:val="21"/>
              </w:rPr>
              <w:t>30</w:t>
            </w:r>
          </w:p>
        </w:tc>
        <w:tc>
          <w:tcPr>
            <w:tcW w:w="2031" w:type="dxa"/>
            <w:vAlign w:val="center"/>
          </w:tcPr>
          <w:p>
            <w:pPr>
              <w:pStyle w:val="132"/>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88" w:type="dxa"/>
            <w:vAlign w:val="center"/>
          </w:tcPr>
          <w:p>
            <w:pPr>
              <w:pStyle w:val="132"/>
            </w:pPr>
            <w:r>
              <w:t>3</w:t>
            </w:r>
          </w:p>
        </w:tc>
        <w:tc>
          <w:tcPr>
            <w:tcW w:w="2410" w:type="dxa"/>
            <w:vAlign w:val="center"/>
          </w:tcPr>
          <w:p>
            <w:pPr>
              <w:pStyle w:val="132"/>
            </w:pPr>
            <w:r>
              <w:rPr>
                <w:rFonts w:hint="eastAsia"/>
              </w:rPr>
              <w:t>一般</w:t>
            </w:r>
            <w:r>
              <w:t>林地</w:t>
            </w:r>
          </w:p>
        </w:tc>
        <w:tc>
          <w:tcPr>
            <w:tcW w:w="3423" w:type="dxa"/>
            <w:vAlign w:val="center"/>
          </w:tcPr>
          <w:p>
            <w:pPr>
              <w:pStyle w:val="132"/>
            </w:pPr>
            <w:r>
              <w:rPr>
                <w:rFonts w:hint="eastAsia"/>
                <w:szCs w:val="21"/>
              </w:rPr>
              <w:t>120</w:t>
            </w:r>
          </w:p>
        </w:tc>
        <w:tc>
          <w:tcPr>
            <w:tcW w:w="2031" w:type="dxa"/>
            <w:vAlign w:val="center"/>
          </w:tcPr>
          <w:p>
            <w:pPr>
              <w:pStyle w:val="132"/>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098" w:type="dxa"/>
            <w:gridSpan w:val="2"/>
            <w:vAlign w:val="center"/>
          </w:tcPr>
          <w:p>
            <w:pPr>
              <w:pStyle w:val="132"/>
            </w:pPr>
            <w:r>
              <w:t>合计</w:t>
            </w:r>
          </w:p>
        </w:tc>
        <w:tc>
          <w:tcPr>
            <w:tcW w:w="3423" w:type="dxa"/>
            <w:vAlign w:val="center"/>
          </w:tcPr>
          <w:p>
            <w:pPr>
              <w:pStyle w:val="132"/>
              <w:rPr>
                <w:szCs w:val="21"/>
              </w:rPr>
            </w:pPr>
            <w:r>
              <w:rPr>
                <w:rFonts w:hint="eastAsia"/>
                <w:szCs w:val="21"/>
              </w:rPr>
              <w:t>350</w:t>
            </w:r>
          </w:p>
        </w:tc>
        <w:tc>
          <w:tcPr>
            <w:tcW w:w="2031" w:type="dxa"/>
            <w:vAlign w:val="center"/>
          </w:tcPr>
          <w:p>
            <w:pPr>
              <w:pStyle w:val="132"/>
            </w:pPr>
          </w:p>
        </w:tc>
      </w:tr>
      <w:bookmarkEnd w:id="164"/>
      <w:bookmarkEnd w:id="165"/>
    </w:tbl>
    <w:p>
      <w:pPr>
        <w:pStyle w:val="6"/>
        <w:ind w:firstLine="482"/>
        <w:rPr>
          <w:rFonts w:ascii="Times New Roman" w:cs="Times New Roman"/>
          <w:b/>
        </w:rPr>
      </w:pPr>
      <w:bookmarkStart w:id="166" w:name="_Toc12288407"/>
      <w:r>
        <w:rPr>
          <w:rFonts w:ascii="Times New Roman" w:cs="Times New Roman"/>
          <w:b/>
        </w:rPr>
        <w:t>2、地区等级</w:t>
      </w:r>
      <w:bookmarkEnd w:id="166"/>
    </w:p>
    <w:p>
      <w:pPr>
        <w:pStyle w:val="112"/>
        <w:ind w:firstLine="480"/>
      </w:pPr>
      <w:r>
        <w:t>根据《输气管道工程设计规范》（GB50251-2003），沿管道中心两侧各200m范围内，任意划分成长度为2km并能包括最大聚居户数的若干地段，按划定地段内的户数划分为四个等级。</w:t>
      </w:r>
    </w:p>
    <w:p>
      <w:pPr>
        <w:pStyle w:val="112"/>
        <w:ind w:firstLine="480"/>
      </w:pPr>
      <w:bookmarkStart w:id="167" w:name="OLE_LINK109"/>
      <w:bookmarkStart w:id="168" w:name="OLE_LINK110"/>
      <w:r>
        <w:t>一</w:t>
      </w:r>
      <w:bookmarkEnd w:id="167"/>
      <w:bookmarkEnd w:id="168"/>
      <w:r>
        <w:t>级地区：户数在15户或以下的区段；</w:t>
      </w:r>
    </w:p>
    <w:p>
      <w:pPr>
        <w:pStyle w:val="112"/>
        <w:ind w:firstLine="480"/>
      </w:pPr>
      <w:r>
        <w:t>二级地区：户数在15户以上、100户以下的区段；</w:t>
      </w:r>
    </w:p>
    <w:p>
      <w:pPr>
        <w:pStyle w:val="112"/>
        <w:ind w:firstLine="480"/>
      </w:pPr>
      <w:r>
        <w:t>三级地区：户数在100户以或以上的区段，包括市郊居住区、商业区、工业区、发展区以及不够四级地区条件的人口稠密区；</w:t>
      </w:r>
    </w:p>
    <w:p>
      <w:pPr>
        <w:pStyle w:val="112"/>
        <w:ind w:firstLine="480"/>
      </w:pPr>
      <w:r>
        <w:t>四级地区：系指四层及四层以上楼房（不计地下室层数）普遍集中、交通频繁、地下设施多的区段。</w:t>
      </w:r>
    </w:p>
    <w:p>
      <w:pPr>
        <w:pStyle w:val="4"/>
        <w:rPr>
          <w:rFonts w:eastAsia="宋体"/>
        </w:rPr>
      </w:pPr>
      <w:bookmarkStart w:id="169" w:name="_Toc12288418"/>
      <w:bookmarkStart w:id="170" w:name="_Toc19815960"/>
      <w:r>
        <w:rPr>
          <w:rFonts w:eastAsia="宋体"/>
        </w:rPr>
        <w:t>3.</w:t>
      </w:r>
      <w:r>
        <w:rPr>
          <w:rFonts w:hint="eastAsia" w:eastAsia="宋体"/>
        </w:rPr>
        <w:t>6</w:t>
      </w:r>
      <w:r>
        <w:rPr>
          <w:rFonts w:eastAsia="宋体"/>
        </w:rPr>
        <w:t>.3 河流穿越</w:t>
      </w:r>
      <w:bookmarkEnd w:id="169"/>
      <w:bookmarkEnd w:id="170"/>
    </w:p>
    <w:p>
      <w:pPr>
        <w:pStyle w:val="6"/>
        <w:ind w:firstLine="480"/>
        <w:rPr>
          <w:rFonts w:ascii="Times New Roman" w:cs="Times New Roman"/>
        </w:rPr>
      </w:pPr>
      <w:r>
        <w:rPr>
          <w:rFonts w:hint="eastAsia" w:ascii="Times New Roman" w:cs="Times New Roman"/>
        </w:rPr>
        <w:t>本项目管线不涉及河流穿越</w:t>
      </w:r>
      <w:r>
        <w:rPr>
          <w:rFonts w:ascii="Times New Roman" w:cs="Times New Roman"/>
        </w:rPr>
        <w:t>。</w:t>
      </w:r>
    </w:p>
    <w:p>
      <w:pPr>
        <w:pStyle w:val="4"/>
        <w:rPr>
          <w:rFonts w:eastAsia="宋体"/>
        </w:rPr>
      </w:pPr>
      <w:bookmarkStart w:id="171" w:name="_Toc12288427"/>
      <w:r>
        <w:rPr>
          <w:rFonts w:eastAsia="宋体"/>
        </w:rPr>
        <w:t>3.</w:t>
      </w:r>
      <w:r>
        <w:rPr>
          <w:rFonts w:hint="eastAsia" w:eastAsia="宋体"/>
        </w:rPr>
        <w:t>6</w:t>
      </w:r>
      <w:r>
        <w:rPr>
          <w:rFonts w:eastAsia="宋体"/>
        </w:rPr>
        <w:t>.4 道路穿越</w:t>
      </w:r>
      <w:bookmarkEnd w:id="171"/>
    </w:p>
    <w:p>
      <w:pPr>
        <w:pStyle w:val="6"/>
        <w:ind w:firstLine="480"/>
        <w:rPr>
          <w:rFonts w:ascii="Times New Roman" w:cs="Times New Roman"/>
        </w:rPr>
      </w:pPr>
      <w:r>
        <w:rPr>
          <w:rFonts w:ascii="Times New Roman" w:cs="Times New Roman"/>
        </w:rPr>
        <w:t>本工程集输管道穿越乡村公路</w:t>
      </w:r>
      <w:r>
        <w:rPr>
          <w:rFonts w:hint="eastAsia" w:ascii="Times New Roman" w:cs="Times New Roman"/>
        </w:rPr>
        <w:t>1</w:t>
      </w:r>
      <w:r>
        <w:rPr>
          <w:rFonts w:ascii="Times New Roman" w:cs="Times New Roman"/>
        </w:rPr>
        <w:t>处</w:t>
      </w:r>
      <w:r>
        <w:rPr>
          <w:rFonts w:hint="eastAsia" w:ascii="Times New Roman" w:cs="Times New Roman"/>
        </w:rPr>
        <w:t>。</w:t>
      </w:r>
    </w:p>
    <w:p>
      <w:pPr>
        <w:pStyle w:val="37"/>
        <w:rPr>
          <w:rFonts w:cs="Times New Roman"/>
        </w:rPr>
      </w:pPr>
      <w:r>
        <w:rPr>
          <w:rFonts w:cs="Times New Roman"/>
        </w:rPr>
        <w:t>表3.</w:t>
      </w:r>
      <w:r>
        <w:rPr>
          <w:rFonts w:hint="eastAsia" w:cs="Times New Roman"/>
        </w:rPr>
        <w:t>6</w:t>
      </w:r>
      <w:r>
        <w:rPr>
          <w:rFonts w:cs="Times New Roman"/>
        </w:rPr>
        <w:t>-</w:t>
      </w:r>
      <w:r>
        <w:rPr>
          <w:rFonts w:hint="eastAsia" w:cs="Times New Roman"/>
        </w:rPr>
        <w:t>2</w:t>
      </w:r>
      <w:r>
        <w:rPr>
          <w:rFonts w:cs="Times New Roman"/>
        </w:rPr>
        <w:t xml:space="preserve">  公路及机耕路穿越统计表</w:t>
      </w:r>
    </w:p>
    <w:tbl>
      <w:tblPr>
        <w:tblStyle w:val="57"/>
        <w:tblW w:w="884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830"/>
        <w:gridCol w:w="1644"/>
        <w:gridCol w:w="1474"/>
        <w:gridCol w:w="1559"/>
        <w:gridCol w:w="1587"/>
        <w:gridCol w:w="75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1830" w:type="dxa"/>
            <w:noWrap/>
            <w:tcMar>
              <w:top w:w="15" w:type="dxa"/>
              <w:left w:w="15" w:type="dxa"/>
              <w:right w:w="15" w:type="dxa"/>
            </w:tcMar>
            <w:vAlign w:val="center"/>
          </w:tcPr>
          <w:p>
            <w:pPr>
              <w:pStyle w:val="132"/>
              <w:rPr>
                <w:b/>
                <w:bCs/>
                <w:szCs w:val="21"/>
              </w:rPr>
            </w:pPr>
            <w:r>
              <w:rPr>
                <w:b/>
                <w:bCs/>
                <w:szCs w:val="21"/>
              </w:rPr>
              <w:t>序号</w:t>
            </w:r>
          </w:p>
        </w:tc>
        <w:tc>
          <w:tcPr>
            <w:tcW w:w="1644" w:type="dxa"/>
            <w:tcBorders>
              <w:right w:val="single" w:color="auto" w:sz="4" w:space="0"/>
            </w:tcBorders>
            <w:noWrap/>
            <w:tcMar>
              <w:top w:w="15" w:type="dxa"/>
              <w:left w:w="15" w:type="dxa"/>
              <w:right w:w="15" w:type="dxa"/>
            </w:tcMar>
            <w:vAlign w:val="center"/>
          </w:tcPr>
          <w:p>
            <w:pPr>
              <w:pStyle w:val="132"/>
              <w:rPr>
                <w:b/>
                <w:bCs/>
                <w:szCs w:val="21"/>
              </w:rPr>
            </w:pPr>
            <w:r>
              <w:rPr>
                <w:b/>
                <w:bCs/>
                <w:szCs w:val="21"/>
              </w:rPr>
              <w:t>地点</w:t>
            </w:r>
          </w:p>
        </w:tc>
        <w:tc>
          <w:tcPr>
            <w:tcW w:w="1474" w:type="dxa"/>
            <w:tcBorders>
              <w:left w:val="single" w:color="auto" w:sz="4" w:space="0"/>
            </w:tcBorders>
            <w:tcMar>
              <w:top w:w="15" w:type="dxa"/>
              <w:left w:w="15" w:type="dxa"/>
              <w:right w:w="15" w:type="dxa"/>
            </w:tcMar>
            <w:vAlign w:val="center"/>
          </w:tcPr>
          <w:p>
            <w:pPr>
              <w:pStyle w:val="132"/>
              <w:rPr>
                <w:b/>
                <w:bCs/>
              </w:rPr>
            </w:pPr>
            <w:r>
              <w:rPr>
                <w:b/>
                <w:bCs/>
              </w:rPr>
              <w:t>测绘里程桩号</w:t>
            </w:r>
          </w:p>
        </w:tc>
        <w:tc>
          <w:tcPr>
            <w:tcW w:w="1559" w:type="dxa"/>
            <w:noWrap/>
            <w:tcMar>
              <w:top w:w="15" w:type="dxa"/>
              <w:left w:w="15" w:type="dxa"/>
              <w:right w:w="15" w:type="dxa"/>
            </w:tcMar>
            <w:vAlign w:val="center"/>
          </w:tcPr>
          <w:p>
            <w:pPr>
              <w:pStyle w:val="132"/>
              <w:rPr>
                <w:b/>
                <w:bCs/>
                <w:szCs w:val="21"/>
              </w:rPr>
            </w:pPr>
            <w:r>
              <w:rPr>
                <w:b/>
                <w:bCs/>
                <w:szCs w:val="21"/>
              </w:rPr>
              <w:t>公路宽（m）</w:t>
            </w:r>
          </w:p>
        </w:tc>
        <w:tc>
          <w:tcPr>
            <w:tcW w:w="1587" w:type="dxa"/>
            <w:noWrap/>
            <w:tcMar>
              <w:top w:w="15" w:type="dxa"/>
              <w:left w:w="15" w:type="dxa"/>
              <w:right w:w="15" w:type="dxa"/>
            </w:tcMar>
            <w:vAlign w:val="center"/>
          </w:tcPr>
          <w:p>
            <w:pPr>
              <w:pStyle w:val="132"/>
              <w:rPr>
                <w:b/>
                <w:bCs/>
                <w:szCs w:val="21"/>
              </w:rPr>
            </w:pPr>
            <w:r>
              <w:rPr>
                <w:b/>
                <w:bCs/>
                <w:szCs w:val="21"/>
              </w:rPr>
              <w:t>套管长度（m）</w:t>
            </w:r>
          </w:p>
        </w:tc>
        <w:tc>
          <w:tcPr>
            <w:tcW w:w="755" w:type="dxa"/>
            <w:noWrap/>
            <w:tcMar>
              <w:top w:w="15" w:type="dxa"/>
              <w:left w:w="15" w:type="dxa"/>
              <w:right w:w="15" w:type="dxa"/>
            </w:tcMar>
            <w:vAlign w:val="center"/>
          </w:tcPr>
          <w:p>
            <w:pPr>
              <w:pStyle w:val="132"/>
              <w:rPr>
                <w:b/>
                <w:bCs/>
                <w:szCs w:val="21"/>
              </w:rPr>
            </w:pPr>
            <w:r>
              <w:rPr>
                <w:b/>
                <w:bCs/>
                <w:szCs w:val="21"/>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1830" w:type="dxa"/>
            <w:noWrap/>
            <w:tcMar>
              <w:top w:w="15" w:type="dxa"/>
              <w:left w:w="15" w:type="dxa"/>
              <w:right w:w="15" w:type="dxa"/>
            </w:tcMar>
            <w:vAlign w:val="center"/>
          </w:tcPr>
          <w:p>
            <w:pPr>
              <w:pStyle w:val="132"/>
              <w:rPr>
                <w:szCs w:val="21"/>
              </w:rPr>
            </w:pPr>
            <w:r>
              <w:rPr>
                <w:szCs w:val="21"/>
              </w:rPr>
              <w:t>1</w:t>
            </w:r>
          </w:p>
        </w:tc>
        <w:tc>
          <w:tcPr>
            <w:tcW w:w="1644" w:type="dxa"/>
            <w:tcBorders>
              <w:right w:val="single" w:color="auto" w:sz="4" w:space="0"/>
            </w:tcBorders>
            <w:noWrap/>
            <w:tcMar>
              <w:top w:w="15" w:type="dxa"/>
              <w:left w:w="15" w:type="dxa"/>
              <w:right w:w="15" w:type="dxa"/>
            </w:tcMar>
            <w:vAlign w:val="center"/>
          </w:tcPr>
          <w:p>
            <w:pPr>
              <w:pStyle w:val="132"/>
              <w:rPr>
                <w:szCs w:val="21"/>
              </w:rPr>
            </w:pPr>
            <w:r>
              <w:rPr>
                <w:rFonts w:hint="eastAsia"/>
                <w:szCs w:val="21"/>
              </w:rPr>
              <w:t>沙场村</w:t>
            </w:r>
          </w:p>
        </w:tc>
        <w:tc>
          <w:tcPr>
            <w:tcW w:w="1474" w:type="dxa"/>
            <w:tcBorders>
              <w:left w:val="single" w:color="auto" w:sz="4" w:space="0"/>
            </w:tcBorders>
            <w:tcMar>
              <w:top w:w="15" w:type="dxa"/>
              <w:left w:w="15" w:type="dxa"/>
              <w:right w:w="15" w:type="dxa"/>
            </w:tcMar>
            <w:vAlign w:val="center"/>
          </w:tcPr>
          <w:p>
            <w:pPr>
              <w:pStyle w:val="132"/>
            </w:pPr>
            <w:r>
              <w:t>AB</w:t>
            </w:r>
            <w:r>
              <w:rPr>
                <w:rFonts w:hint="eastAsia"/>
              </w:rPr>
              <w:t>01</w:t>
            </w:r>
            <w:r>
              <w:t>-AB</w:t>
            </w:r>
            <w:r>
              <w:rPr>
                <w:rFonts w:hint="eastAsia"/>
              </w:rPr>
              <w:t>02</w:t>
            </w:r>
          </w:p>
        </w:tc>
        <w:tc>
          <w:tcPr>
            <w:tcW w:w="1559" w:type="dxa"/>
            <w:noWrap/>
            <w:tcMar>
              <w:top w:w="15" w:type="dxa"/>
              <w:left w:w="15" w:type="dxa"/>
              <w:right w:w="15" w:type="dxa"/>
            </w:tcMar>
            <w:vAlign w:val="center"/>
          </w:tcPr>
          <w:p>
            <w:pPr>
              <w:pStyle w:val="132"/>
              <w:rPr>
                <w:szCs w:val="21"/>
              </w:rPr>
            </w:pPr>
            <w:r>
              <w:rPr>
                <w:szCs w:val="21"/>
              </w:rPr>
              <w:t>4</w:t>
            </w:r>
          </w:p>
        </w:tc>
        <w:tc>
          <w:tcPr>
            <w:tcW w:w="1587" w:type="dxa"/>
            <w:noWrap/>
            <w:tcMar>
              <w:top w:w="15" w:type="dxa"/>
              <w:left w:w="15" w:type="dxa"/>
              <w:right w:w="15" w:type="dxa"/>
            </w:tcMar>
            <w:vAlign w:val="center"/>
          </w:tcPr>
          <w:p>
            <w:pPr>
              <w:pStyle w:val="132"/>
              <w:rPr>
                <w:szCs w:val="21"/>
              </w:rPr>
            </w:pPr>
            <w:r>
              <w:rPr>
                <w:szCs w:val="21"/>
              </w:rPr>
              <w:t>6</w:t>
            </w:r>
          </w:p>
        </w:tc>
        <w:tc>
          <w:tcPr>
            <w:tcW w:w="755" w:type="dxa"/>
            <w:noWrap/>
            <w:tcMar>
              <w:top w:w="15" w:type="dxa"/>
              <w:left w:w="15" w:type="dxa"/>
              <w:right w:w="15" w:type="dxa"/>
            </w:tcMar>
            <w:vAlign w:val="center"/>
          </w:tcPr>
          <w:p>
            <w:pPr>
              <w:pStyle w:val="132"/>
              <w:rPr>
                <w:szCs w:val="21"/>
              </w:rPr>
            </w:pPr>
            <w:r>
              <w:rPr>
                <w:szCs w:val="21"/>
              </w:rPr>
              <w:t>顶管</w:t>
            </w:r>
          </w:p>
          <w:p>
            <w:pPr>
              <w:pStyle w:val="132"/>
              <w:rPr>
                <w:szCs w:val="21"/>
              </w:rPr>
            </w:pPr>
            <w:r>
              <w:rPr>
                <w:szCs w:val="21"/>
              </w:rPr>
              <w:t>穿越</w:t>
            </w:r>
          </w:p>
        </w:tc>
      </w:tr>
      <w:bookmarkEnd w:id="135"/>
      <w:bookmarkEnd w:id="136"/>
    </w:tbl>
    <w:p>
      <w:pPr>
        <w:pStyle w:val="3"/>
        <w:spacing w:before="120"/>
        <w:rPr>
          <w:rFonts w:cs="Times New Roman"/>
        </w:rPr>
      </w:pPr>
      <w:bookmarkStart w:id="172" w:name="bookmark16"/>
      <w:bookmarkEnd w:id="172"/>
      <w:bookmarkStart w:id="173" w:name="bookmark17"/>
      <w:bookmarkEnd w:id="173"/>
      <w:bookmarkStart w:id="174" w:name="_Toc12288443"/>
      <w:bookmarkStart w:id="175" w:name="_Toc19815966"/>
      <w:bookmarkStart w:id="176" w:name="_Toc81515270"/>
      <w:bookmarkStart w:id="177" w:name="_Toc12288450"/>
      <w:r>
        <w:rPr>
          <w:rFonts w:cs="Times New Roman"/>
        </w:rPr>
        <w:t>3.</w:t>
      </w:r>
      <w:r>
        <w:rPr>
          <w:rFonts w:hint="eastAsia" w:cs="Times New Roman"/>
        </w:rPr>
        <w:t>7</w:t>
      </w:r>
      <w:r>
        <w:rPr>
          <w:rFonts w:cs="Times New Roman"/>
        </w:rPr>
        <w:t xml:space="preserve"> 辅助工程</w:t>
      </w:r>
      <w:bookmarkEnd w:id="174"/>
      <w:bookmarkEnd w:id="175"/>
      <w:bookmarkEnd w:id="176"/>
      <w:bookmarkStart w:id="178" w:name="bookmark18"/>
      <w:bookmarkEnd w:id="178"/>
      <w:bookmarkStart w:id="179" w:name="_Toc520234419"/>
      <w:bookmarkStart w:id="180" w:name="_Toc438796864"/>
    </w:p>
    <w:p>
      <w:pPr>
        <w:pStyle w:val="4"/>
        <w:rPr>
          <w:rFonts w:eastAsia="宋体"/>
        </w:rPr>
      </w:pPr>
      <w:bookmarkStart w:id="181" w:name="_Toc19815967"/>
      <w:r>
        <w:rPr>
          <w:rFonts w:eastAsia="宋体"/>
        </w:rPr>
        <w:t>3.</w:t>
      </w:r>
      <w:r>
        <w:rPr>
          <w:rFonts w:hint="eastAsia" w:eastAsia="宋体"/>
        </w:rPr>
        <w:t>7</w:t>
      </w:r>
      <w:r>
        <w:rPr>
          <w:rFonts w:eastAsia="宋体"/>
        </w:rPr>
        <w:t xml:space="preserve">.1 </w:t>
      </w:r>
      <w:bookmarkEnd w:id="179"/>
      <w:bookmarkEnd w:id="180"/>
      <w:bookmarkEnd w:id="181"/>
      <w:r>
        <w:rPr>
          <w:rFonts w:eastAsia="宋体"/>
        </w:rPr>
        <w:t>管道防腐系统方案综述</w:t>
      </w:r>
    </w:p>
    <w:p>
      <w:pPr>
        <w:pStyle w:val="112"/>
        <w:ind w:firstLine="480"/>
      </w:pPr>
      <w:r>
        <w:t>本工程</w:t>
      </w:r>
      <w:r>
        <w:rPr>
          <w:rFonts w:hint="eastAsia"/>
        </w:rPr>
        <w:t>新建普陆4-1H井</w:t>
      </w:r>
      <w:r>
        <w:rPr>
          <w:rFonts w:hint="eastAsia"/>
          <w:bCs/>
        </w:rPr>
        <w:t>钻井工程</w:t>
      </w:r>
      <w:r>
        <w:t>、</w:t>
      </w:r>
      <w:r>
        <w:rPr>
          <w:rFonts w:hint="eastAsia"/>
        </w:rPr>
        <w:t>依托现有普陆4井台建设</w:t>
      </w:r>
      <w:r>
        <w:t>普陆4集气平台、</w:t>
      </w:r>
      <w:r>
        <w:rPr>
          <w:rFonts w:hint="eastAsia"/>
        </w:rPr>
        <w:t>新建</w:t>
      </w:r>
      <w:bookmarkStart w:id="182" w:name="OLE_LINK114"/>
      <w:bookmarkStart w:id="183" w:name="OLE_LINK113"/>
      <w:r>
        <w:t>普陆4集气平台~</w:t>
      </w:r>
      <w:r>
        <w:rPr>
          <w:rFonts w:hint="eastAsia"/>
        </w:rPr>
        <w:t>P107集气站集气管道</w:t>
      </w:r>
      <w:bookmarkEnd w:id="182"/>
      <w:bookmarkEnd w:id="183"/>
      <w:r>
        <w:t>。本工程天然气集输系统中由CO</w:t>
      </w:r>
      <w:r>
        <w:rPr>
          <w:vertAlign w:val="subscript"/>
        </w:rPr>
        <w:t>2</w:t>
      </w:r>
      <w:r>
        <w:t>引发的管道、设备内腐蚀是腐蚀控制的关键，针对本工程集输系统管道、设备的内外腐蚀环境，应充分考虑各种因素，采取经济合理、有效可靠的腐蚀控制及腐蚀监测技术，以防止腐蚀危害，保证气田的安全生产。</w:t>
      </w:r>
    </w:p>
    <w:p>
      <w:pPr>
        <w:pStyle w:val="4"/>
        <w:rPr>
          <w:rFonts w:eastAsia="宋体"/>
        </w:rPr>
      </w:pPr>
      <w:bookmarkStart w:id="184" w:name="_Toc438796865"/>
      <w:bookmarkStart w:id="185" w:name="_Toc353089502"/>
      <w:bookmarkStart w:id="186" w:name="_Toc520234420"/>
      <w:bookmarkStart w:id="187" w:name="_Toc337886671"/>
      <w:bookmarkStart w:id="188" w:name="_Toc19815968"/>
      <w:r>
        <w:rPr>
          <w:rFonts w:eastAsia="宋体"/>
        </w:rPr>
        <w:t>3.</w:t>
      </w:r>
      <w:r>
        <w:rPr>
          <w:rFonts w:hint="eastAsia" w:eastAsia="宋体"/>
        </w:rPr>
        <w:t>7</w:t>
      </w:r>
      <w:r>
        <w:rPr>
          <w:rFonts w:eastAsia="宋体"/>
        </w:rPr>
        <w:t xml:space="preserve">.2 </w:t>
      </w:r>
      <w:bookmarkEnd w:id="184"/>
      <w:bookmarkEnd w:id="185"/>
      <w:bookmarkEnd w:id="186"/>
      <w:bookmarkEnd w:id="187"/>
      <w:bookmarkEnd w:id="188"/>
      <w:r>
        <w:rPr>
          <w:rFonts w:eastAsia="宋体"/>
        </w:rPr>
        <w:t>线路防腐</w:t>
      </w:r>
    </w:p>
    <w:p>
      <w:pPr>
        <w:pStyle w:val="112"/>
        <w:ind w:firstLine="480"/>
      </w:pPr>
      <w:r>
        <w:t>本工程管道地处四川山区，所在地区有酸雨且土壤腐蚀性较强，结合本工程保温输送工艺方案，埋地酸气、燃料气应采用相应的防腐保温保护措施。</w:t>
      </w:r>
    </w:p>
    <w:p>
      <w:pPr>
        <w:pStyle w:val="112"/>
        <w:ind w:firstLine="480"/>
        <w:rPr>
          <w:kern w:val="2"/>
          <w:szCs w:val="24"/>
        </w:rPr>
      </w:pPr>
      <w:r>
        <w:rPr>
          <w:kern w:val="2"/>
          <w:szCs w:val="24"/>
        </w:rPr>
        <w:t>埋地酸气管线防腐保温采用“管中管”成型工艺，保温层采用硬质</w:t>
      </w:r>
      <w:r>
        <w:rPr>
          <w:rFonts w:hint="eastAsia"/>
          <w:kern w:val="2"/>
          <w:szCs w:val="24"/>
          <w:lang w:eastAsia="zh-CN"/>
        </w:rPr>
        <w:t>聚氨酯</w:t>
      </w:r>
      <w:r>
        <w:rPr>
          <w:kern w:val="2"/>
          <w:szCs w:val="24"/>
        </w:rPr>
        <w:t>泡沫聚乙烯防腐保温层（保温层厚40mm），防腐层采用环氧粉末；防护层采用聚乙烯层，酸气管道补口采用现场发泡，补口防腐采用无溶剂液体环氧涂料+粘弹体胶带+聚乙烯袖套管+粘弹体胶带+辐射交联聚乙烯热收缩带。</w:t>
      </w:r>
    </w:p>
    <w:p>
      <w:pPr>
        <w:pStyle w:val="112"/>
        <w:ind w:firstLine="480"/>
      </w:pPr>
      <w:r>
        <w:rPr>
          <w:kern w:val="2"/>
          <w:szCs w:val="24"/>
        </w:rPr>
        <w:t>燃料气管线采用机械强度高，耐磨耐冲击，耐化学介质腐蚀，抗植物根茎穿透，吸水性低，使用寿命长，电绝缘性好，使用寿命长的加强级三层PE防腐层，管道补口采用辐射交联聚乙烯热收缩套。</w:t>
      </w:r>
    </w:p>
    <w:p>
      <w:pPr>
        <w:pStyle w:val="4"/>
        <w:rPr>
          <w:rFonts w:eastAsia="宋体"/>
        </w:rPr>
      </w:pPr>
      <w:bookmarkStart w:id="189" w:name="_Toc437344359"/>
      <w:bookmarkStart w:id="190" w:name="_Toc213832697"/>
      <w:bookmarkStart w:id="191" w:name="_Toc520234421"/>
      <w:bookmarkStart w:id="192" w:name="_Toc19815969"/>
      <w:r>
        <w:rPr>
          <w:rFonts w:eastAsia="宋体"/>
        </w:rPr>
        <w:t>3.</w:t>
      </w:r>
      <w:r>
        <w:rPr>
          <w:rFonts w:hint="eastAsia" w:eastAsia="宋体"/>
        </w:rPr>
        <w:t>7</w:t>
      </w:r>
      <w:r>
        <w:rPr>
          <w:rFonts w:eastAsia="宋体"/>
        </w:rPr>
        <w:t>.3 阴极保护</w:t>
      </w:r>
      <w:bookmarkEnd w:id="189"/>
      <w:bookmarkEnd w:id="190"/>
      <w:bookmarkEnd w:id="191"/>
      <w:bookmarkEnd w:id="192"/>
    </w:p>
    <w:p>
      <w:pPr>
        <w:pStyle w:val="112"/>
        <w:ind w:firstLine="480"/>
      </w:pPr>
      <w:r>
        <w:t>本工程对站外埋地酸气管道实施强制电流阴极保护；在普陆4集气平台新建阴极保护站1座，同时在普陆4集气平台~</w:t>
      </w:r>
      <w:r>
        <w:rPr>
          <w:rFonts w:hint="eastAsia"/>
        </w:rPr>
        <w:t>P107集气站集气管道</w:t>
      </w:r>
      <w:r>
        <w:t>沿线设置智能测试桩，实现阴极保护设备、管道保护电位数据的在线监测；为防止已埋地的管道被腐蚀，对本段管线全线采用牺牲阳极作为临时性保护措施。临时阴极保护选用块状镁合金阳极。</w:t>
      </w:r>
    </w:p>
    <w:p>
      <w:pPr>
        <w:pStyle w:val="112"/>
        <w:ind w:firstLine="480"/>
      </w:pPr>
      <w:r>
        <w:t>阴极保护站由电源设备（恒电位仪、控制台）、连接电缆、阳极地床、参比电极、绝缘设施以及测试设施等构成，其中电源设备布置在阴极保护间内（与机柜间合建）。</w:t>
      </w:r>
    </w:p>
    <w:p>
      <w:pPr>
        <w:pStyle w:val="112"/>
        <w:ind w:firstLine="480"/>
      </w:pPr>
      <w:r>
        <w:t>恒电位仪是阴极保护系统的极化电源装置，共设2台，1用1备。控制台是控制多台恒电位仪的设备，实现恒电位仪的自动切换。</w:t>
      </w:r>
    </w:p>
    <w:p>
      <w:pPr>
        <w:pStyle w:val="112"/>
        <w:ind w:firstLine="480"/>
      </w:pPr>
      <w:r>
        <w:t>阳极地床是阴极保护站重要辅助设施，目前有浅埋和深井两种方式，本工程暂按深井阳极考虑，下一步根据地质勘探情况再最终确定。</w:t>
      </w:r>
    </w:p>
    <w:p>
      <w:pPr>
        <w:pStyle w:val="4"/>
        <w:rPr>
          <w:rFonts w:eastAsia="宋体"/>
        </w:rPr>
      </w:pPr>
      <w:r>
        <w:rPr>
          <w:rFonts w:eastAsia="宋体"/>
        </w:rPr>
        <w:t>3.</w:t>
      </w:r>
      <w:r>
        <w:rPr>
          <w:rFonts w:hint="eastAsia" w:eastAsia="宋体"/>
        </w:rPr>
        <w:t>7</w:t>
      </w:r>
      <w:r>
        <w:rPr>
          <w:rFonts w:eastAsia="宋体"/>
        </w:rPr>
        <w:t>.4 自动控制</w:t>
      </w:r>
    </w:p>
    <w:p>
      <w:pPr>
        <w:pStyle w:val="112"/>
        <w:ind w:firstLine="482"/>
        <w:rPr>
          <w:b/>
          <w:bCs/>
        </w:rPr>
      </w:pPr>
      <w:r>
        <w:rPr>
          <w:b/>
          <w:bCs/>
        </w:rPr>
        <w:t>1、新建站场</w:t>
      </w:r>
    </w:p>
    <w:p>
      <w:pPr>
        <w:pStyle w:val="112"/>
        <w:ind w:firstLine="480"/>
      </w:pPr>
      <w:r>
        <w:t>普陆4集气平台新建站控系统，站控系统（SCS）共分为两部分：过程控制系统（PCS）和安全仪表系统（SIS）。安全仪表系统还包括火气检测系统（FGS）和紧急关断系统（ESD）2个子系统，两个系统采用独立的I/O卡件。PCS负责工艺流程的监测和控制，SIS负责安全联锁保护。</w:t>
      </w:r>
    </w:p>
    <w:p>
      <w:pPr>
        <w:pStyle w:val="112"/>
        <w:ind w:firstLine="482"/>
        <w:rPr>
          <w:b/>
          <w:bCs/>
        </w:rPr>
      </w:pPr>
      <w:r>
        <w:rPr>
          <w:rFonts w:hint="eastAsia"/>
          <w:b/>
          <w:bCs/>
        </w:rPr>
        <w:t>2</w:t>
      </w:r>
      <w:r>
        <w:rPr>
          <w:b/>
          <w:bCs/>
        </w:rPr>
        <w:t>、净化厂中控室</w:t>
      </w:r>
    </w:p>
    <w:p>
      <w:pPr>
        <w:pStyle w:val="112"/>
        <w:ind w:firstLine="480"/>
      </w:pPr>
      <w:r>
        <w:t>普光气田集输系统的控制中心为已建，设置在脱硫净化厂的中控室，本次设计对中控室系统进行扩容，将新建普陆4集气平台的信号纳入SCADA系统，并修改SCADA系统的ESD因果逻辑，完成新增集气站的数据采集监控和安全保护功能。</w:t>
      </w:r>
    </w:p>
    <w:p>
      <w:pPr>
        <w:pStyle w:val="4"/>
        <w:rPr>
          <w:rFonts w:eastAsia="宋体"/>
        </w:rPr>
      </w:pPr>
      <w:r>
        <w:rPr>
          <w:rFonts w:eastAsia="宋体"/>
        </w:rPr>
        <w:t>3.</w:t>
      </w:r>
      <w:r>
        <w:rPr>
          <w:rFonts w:hint="eastAsia" w:eastAsia="宋体"/>
        </w:rPr>
        <w:t>7</w:t>
      </w:r>
      <w:r>
        <w:rPr>
          <w:rFonts w:eastAsia="宋体"/>
        </w:rPr>
        <w:t>.5 通信工程</w:t>
      </w:r>
    </w:p>
    <w:p>
      <w:pPr>
        <w:pStyle w:val="112"/>
        <w:ind w:firstLine="480"/>
      </w:pPr>
      <w:r>
        <w:t>主要包括光缆线路，光传输系统，工业以太网，站场广播对讲系统</w:t>
      </w:r>
      <w:r>
        <w:rPr>
          <w:rFonts w:hint="eastAsia"/>
        </w:rPr>
        <w:t>（</w:t>
      </w:r>
      <w:r>
        <w:t>PA/GA</w:t>
      </w:r>
      <w:r>
        <w:rPr>
          <w:rFonts w:hint="eastAsia"/>
        </w:rPr>
        <w:t>）</w:t>
      </w:r>
      <w:r>
        <w:t>，工业电视监控系统，周界报警系统，办公网及语音系统，气象系统，紧急疏散广播系统扩容，通信基站。</w:t>
      </w:r>
    </w:p>
    <w:p>
      <w:pPr>
        <w:pStyle w:val="112"/>
        <w:ind w:firstLine="480"/>
      </w:pPr>
      <w:r>
        <w:t>从</w:t>
      </w:r>
      <w:r>
        <w:rPr>
          <w:rFonts w:hint="eastAsia"/>
        </w:rPr>
        <w:t>井场</w:t>
      </w:r>
      <w:r>
        <w:t>出发，沿输气管道同沟敷设1条24芯GYTA</w:t>
      </w:r>
      <w:r>
        <w:rPr>
          <w:rFonts w:hint="eastAsia"/>
        </w:rPr>
        <w:t>-24B1</w:t>
      </w:r>
      <w:r>
        <w:t>光缆，穿硅芯管保护至</w:t>
      </w:r>
      <w:r>
        <w:rPr>
          <w:rFonts w:hint="eastAsia"/>
        </w:rPr>
        <w:t>P107集气站</w:t>
      </w:r>
      <w:r>
        <w:t>。</w:t>
      </w:r>
    </w:p>
    <w:p>
      <w:pPr>
        <w:pStyle w:val="112"/>
        <w:ind w:firstLine="480"/>
      </w:pPr>
      <w:r>
        <w:t>从</w:t>
      </w:r>
      <w:r>
        <w:rPr>
          <w:rFonts w:hint="eastAsia"/>
        </w:rPr>
        <w:t>井场</w:t>
      </w:r>
      <w:r>
        <w:t>架设1条24芯ADSS光缆至</w:t>
      </w:r>
      <w:r>
        <w:rPr>
          <w:rFonts w:hint="eastAsia"/>
        </w:rPr>
        <w:t>P107集气站</w:t>
      </w:r>
      <w:r>
        <w:t>，其中沿电力线路同杆架设ADSS光缆，无新建电力线路时，再沿管线新建杆路，架设ADSS光缆。</w:t>
      </w:r>
    </w:p>
    <w:p>
      <w:pPr>
        <w:pStyle w:val="4"/>
        <w:rPr>
          <w:rFonts w:eastAsia="宋体"/>
        </w:rPr>
      </w:pPr>
      <w:bookmarkStart w:id="193" w:name="_Toc303189542"/>
      <w:bookmarkStart w:id="194" w:name="_Toc351383895"/>
      <w:bookmarkStart w:id="195" w:name="_Toc395634367"/>
      <w:bookmarkStart w:id="196" w:name="_Toc93513824"/>
      <w:bookmarkStart w:id="197" w:name="_Toc312135301"/>
      <w:bookmarkStart w:id="198" w:name="_Toc19815970"/>
      <w:bookmarkStart w:id="199" w:name="_Toc436162612"/>
      <w:bookmarkStart w:id="200" w:name="_Toc520234423"/>
      <w:r>
        <w:rPr>
          <w:rFonts w:eastAsia="宋体"/>
        </w:rPr>
        <w:t>3.</w:t>
      </w:r>
      <w:r>
        <w:rPr>
          <w:rFonts w:hint="eastAsia" w:eastAsia="宋体"/>
        </w:rPr>
        <w:t>7</w:t>
      </w:r>
      <w:r>
        <w:rPr>
          <w:rFonts w:eastAsia="宋体"/>
        </w:rPr>
        <w:t xml:space="preserve">.6 </w:t>
      </w:r>
      <w:bookmarkEnd w:id="193"/>
      <w:bookmarkEnd w:id="194"/>
      <w:bookmarkEnd w:id="195"/>
      <w:bookmarkEnd w:id="196"/>
      <w:bookmarkEnd w:id="197"/>
      <w:bookmarkEnd w:id="198"/>
      <w:bookmarkEnd w:id="199"/>
      <w:bookmarkEnd w:id="200"/>
      <w:r>
        <w:rPr>
          <w:rFonts w:eastAsia="宋体"/>
        </w:rPr>
        <w:t>管道焊接与焊缝检验</w:t>
      </w:r>
    </w:p>
    <w:p>
      <w:pPr>
        <w:ind w:firstLine="480"/>
        <w:rPr>
          <w:rFonts w:ascii="Times New Roman" w:cs="Times New Roman"/>
        </w:rPr>
      </w:pPr>
      <w:r>
        <w:rPr>
          <w:rFonts w:ascii="Times New Roman" w:cs="Times New Roman"/>
        </w:rPr>
        <w:t>本工程推荐采用氩弧焊打底，手工电弧焊接盖面，施工单位可根据现场情况及自身设备及技术条件调整焊接方式，但必须满足焊接工艺评定相关要求。本项目管道探伤采用100%全周长超声波探伤，合格后再进行100%的X射线探伤检验。工程探伤检验由专业队伍开展，应按照《工业X射线探伤放射防护要求》（GBZ117—2015）对管道探伤X射线复验进行。采用X射线探伤设备功率为700W，专业队伍在开展探伤工作前，应对项目使用探伤设备到相应环保部门进行登记，取得《辐射许可证》后方可进行。工程探伤检验由专业队伍开展，应按照《工业X射线探伤放射防护要求》（GBZ117—2015）对管道探伤X射线复验进行。</w:t>
      </w:r>
      <w:r>
        <w:rPr>
          <w:rFonts w:ascii="Times New Roman" w:cs="Times New Roman"/>
          <w:b/>
          <w:bCs/>
        </w:rPr>
        <w:t>不在本次评价范围内。</w:t>
      </w:r>
    </w:p>
    <w:p>
      <w:pPr>
        <w:pStyle w:val="3"/>
        <w:spacing w:before="120"/>
        <w:rPr>
          <w:rFonts w:cs="Times New Roman"/>
        </w:rPr>
      </w:pPr>
      <w:bookmarkStart w:id="201" w:name="_Toc19815971"/>
      <w:bookmarkStart w:id="202" w:name="_Toc81515271"/>
      <w:r>
        <w:rPr>
          <w:rFonts w:cs="Times New Roman"/>
        </w:rPr>
        <w:t>3.</w:t>
      </w:r>
      <w:r>
        <w:rPr>
          <w:rFonts w:hint="eastAsia" w:cs="Times New Roman"/>
        </w:rPr>
        <w:t>8</w:t>
      </w:r>
      <w:r>
        <w:rPr>
          <w:rFonts w:cs="Times New Roman"/>
        </w:rPr>
        <w:t xml:space="preserve"> 公用工程</w:t>
      </w:r>
      <w:bookmarkEnd w:id="177"/>
      <w:bookmarkEnd w:id="201"/>
      <w:bookmarkEnd w:id="202"/>
    </w:p>
    <w:p>
      <w:pPr>
        <w:pStyle w:val="4"/>
        <w:rPr>
          <w:rFonts w:eastAsia="宋体"/>
        </w:rPr>
      </w:pPr>
      <w:bookmarkStart w:id="203" w:name="_Toc12288451"/>
      <w:bookmarkStart w:id="204" w:name="_Toc19815972"/>
      <w:r>
        <w:rPr>
          <w:rFonts w:eastAsia="宋体"/>
        </w:rPr>
        <w:t>3.</w:t>
      </w:r>
      <w:r>
        <w:rPr>
          <w:rFonts w:hint="eastAsia" w:eastAsia="宋体"/>
        </w:rPr>
        <w:t>8</w:t>
      </w:r>
      <w:r>
        <w:rPr>
          <w:rFonts w:eastAsia="宋体"/>
        </w:rPr>
        <w:t>.1 给排水</w:t>
      </w:r>
      <w:bookmarkEnd w:id="203"/>
      <w:bookmarkEnd w:id="204"/>
    </w:p>
    <w:p>
      <w:pPr>
        <w:pStyle w:val="6"/>
        <w:ind w:firstLine="482"/>
        <w:rPr>
          <w:rFonts w:ascii="Times New Roman" w:cs="Times New Roman"/>
          <w:b/>
        </w:rPr>
      </w:pPr>
      <w:r>
        <w:rPr>
          <w:rFonts w:ascii="Times New Roman" w:cs="Times New Roman"/>
          <w:b/>
        </w:rPr>
        <w:t>1、给水</w:t>
      </w:r>
    </w:p>
    <w:p>
      <w:pPr>
        <w:pStyle w:val="6"/>
        <w:ind w:firstLine="480"/>
        <w:rPr>
          <w:rFonts w:ascii="Times New Roman" w:cs="Times New Roman"/>
        </w:rPr>
      </w:pPr>
      <w:r>
        <w:rPr>
          <w:rFonts w:ascii="Times New Roman" w:cs="Times New Roman"/>
        </w:rPr>
        <w:t>普陆4集气平台生活、生产用水采用罐车拉水的方式，车拉水卸至站场高架水箱，由水箱供给单井站生产生活用水。</w:t>
      </w:r>
    </w:p>
    <w:p>
      <w:pPr>
        <w:pStyle w:val="6"/>
        <w:ind w:firstLine="482"/>
        <w:rPr>
          <w:rFonts w:ascii="Times New Roman" w:cs="Times New Roman"/>
          <w:b/>
        </w:rPr>
      </w:pPr>
      <w:bookmarkStart w:id="205" w:name="_Toc12288452"/>
      <w:r>
        <w:rPr>
          <w:rFonts w:ascii="Times New Roman" w:cs="Times New Roman"/>
          <w:b/>
        </w:rPr>
        <w:t>2、排水</w:t>
      </w:r>
      <w:bookmarkEnd w:id="205"/>
    </w:p>
    <w:p>
      <w:pPr>
        <w:pStyle w:val="6"/>
        <w:ind w:firstLine="480"/>
        <w:rPr>
          <w:rFonts w:ascii="Times New Roman" w:cs="Times New Roman"/>
        </w:rPr>
      </w:pPr>
      <w:r>
        <w:rPr>
          <w:rFonts w:ascii="Times New Roman" w:cs="Times New Roman"/>
        </w:rPr>
        <w:t>施工期</w:t>
      </w:r>
      <w:r>
        <w:rPr>
          <w:rFonts w:hint="eastAsia" w:ascii="Times New Roman" w:cs="Times New Roman"/>
        </w:rPr>
        <w:t>井</w:t>
      </w:r>
      <w:r>
        <w:rPr>
          <w:rFonts w:ascii="Times New Roman" w:cs="Times New Roman"/>
        </w:rPr>
        <w:t>场施工</w:t>
      </w:r>
      <w:r>
        <w:rPr>
          <w:rFonts w:hint="eastAsia" w:ascii="Times New Roman" w:cs="Times New Roman"/>
          <w:lang w:eastAsia="zh-CN"/>
        </w:rPr>
        <w:t>如厕</w:t>
      </w:r>
      <w:r>
        <w:rPr>
          <w:rFonts w:ascii="Times New Roman" w:cs="Times New Roman"/>
        </w:rPr>
        <w:t>生活污水</w:t>
      </w:r>
      <w:r>
        <w:rPr>
          <w:rFonts w:hint="eastAsia" w:ascii="Times New Roman" w:cs="Times New Roman"/>
        </w:rPr>
        <w:t>依托</w:t>
      </w:r>
      <w:r>
        <w:rPr>
          <w:rFonts w:ascii="Times New Roman" w:cs="Times New Roman"/>
        </w:rPr>
        <w:t>经</w:t>
      </w:r>
      <w:r>
        <w:rPr>
          <w:rFonts w:ascii="Times New Roman" w:cs="Times New Roman"/>
          <w:bCs/>
        </w:rPr>
        <w:t>生态环保厕所收集处理</w:t>
      </w:r>
      <w:r>
        <w:rPr>
          <w:rFonts w:ascii="Times New Roman" w:cs="Times New Roman"/>
        </w:rPr>
        <w:t>后，用作周边农肥，不外排</w:t>
      </w:r>
      <w:r>
        <w:rPr>
          <w:rFonts w:hint="eastAsia" w:ascii="Times New Roman" w:cs="Times New Roman"/>
        </w:rPr>
        <w:t>，员工洗澡、食堂废水经单独收集后拉运至黄金镇场镇污水处理厂处理</w:t>
      </w:r>
      <w:r>
        <w:rPr>
          <w:rFonts w:ascii="Times New Roman" w:cs="Times New Roman"/>
        </w:rPr>
        <w:t>。雨水依托站内排水沟散排。</w:t>
      </w:r>
    </w:p>
    <w:p>
      <w:pPr>
        <w:pStyle w:val="4"/>
        <w:rPr>
          <w:rFonts w:eastAsia="宋体"/>
        </w:rPr>
      </w:pPr>
      <w:r>
        <w:rPr>
          <w:rFonts w:eastAsia="宋体"/>
        </w:rPr>
        <w:t>3.</w:t>
      </w:r>
      <w:r>
        <w:rPr>
          <w:rFonts w:hint="eastAsia" w:eastAsia="宋体"/>
        </w:rPr>
        <w:t>8</w:t>
      </w:r>
      <w:r>
        <w:rPr>
          <w:rFonts w:eastAsia="宋体"/>
        </w:rPr>
        <w:t>.2 消防</w:t>
      </w:r>
    </w:p>
    <w:p>
      <w:pPr>
        <w:pStyle w:val="112"/>
        <w:ind w:firstLine="480"/>
      </w:pPr>
      <w:r>
        <w:t>根据《石油天然气工程设计防火规范》（GB50183-2004）及《建筑灭火器配置设计规范》（GB50140-2005）的要求，普陆4集气平台可不设消防给水系统。</w:t>
      </w:r>
    </w:p>
    <w:p>
      <w:pPr>
        <w:pStyle w:val="112"/>
        <w:ind w:firstLine="480"/>
      </w:pPr>
      <w:r>
        <w:t>在集气站内配置一定数量的手提式及推车式磷酸铵盐干粉和二氧化碳灭火器，以便火灾发生时随时启用扑救。并在工艺装置区配置消防沙箱等消防器材。便于及时扑救火灾。</w:t>
      </w:r>
    </w:p>
    <w:p>
      <w:pPr>
        <w:pStyle w:val="4"/>
        <w:rPr>
          <w:rFonts w:eastAsia="宋体"/>
        </w:rPr>
      </w:pPr>
      <w:bookmarkStart w:id="206" w:name="_Toc12288453"/>
      <w:bookmarkStart w:id="207" w:name="_Toc19815973"/>
      <w:r>
        <w:rPr>
          <w:rFonts w:eastAsia="宋体"/>
        </w:rPr>
        <w:t>3.</w:t>
      </w:r>
      <w:r>
        <w:rPr>
          <w:rFonts w:hint="eastAsia" w:eastAsia="宋体"/>
        </w:rPr>
        <w:t>8</w:t>
      </w:r>
      <w:r>
        <w:rPr>
          <w:rFonts w:eastAsia="宋体"/>
        </w:rPr>
        <w:t>.3 供配电及防雷、防静电和接地</w:t>
      </w:r>
      <w:bookmarkEnd w:id="206"/>
      <w:bookmarkEnd w:id="207"/>
    </w:p>
    <w:p>
      <w:pPr>
        <w:pStyle w:val="112"/>
        <w:ind w:firstLine="482"/>
        <w:rPr>
          <w:b/>
        </w:rPr>
      </w:pPr>
      <w:r>
        <w:rPr>
          <w:b/>
        </w:rPr>
        <w:t>1、供配电</w:t>
      </w:r>
    </w:p>
    <w:p>
      <w:pPr>
        <w:pStyle w:val="112"/>
        <w:ind w:firstLine="480"/>
      </w:pPr>
      <w:r>
        <w:t>在站内设电力小屋1座，内设35kV高压开关柜、干式变压器柜、低压配电柜和UPS装置。变压器容量为125kVA，冗余式UPS容量为380V、30kVA，后备时间为1h。</w:t>
      </w:r>
    </w:p>
    <w:p>
      <w:pPr>
        <w:pStyle w:val="112"/>
        <w:ind w:firstLine="482"/>
      </w:pPr>
      <w:bookmarkStart w:id="208" w:name="_Toc12288454"/>
      <w:r>
        <w:rPr>
          <w:b/>
        </w:rPr>
        <w:t>2、</w:t>
      </w:r>
      <w:bookmarkEnd w:id="208"/>
      <w:r>
        <w:rPr>
          <w:b/>
        </w:rPr>
        <w:t>防雷、防静电设计</w:t>
      </w:r>
    </w:p>
    <w:p>
      <w:pPr>
        <w:pStyle w:val="112"/>
        <w:ind w:firstLine="480"/>
      </w:pPr>
      <w:r>
        <w:t>为防止雷电波侵入过电压，在进线电源柜内安装并联式电涌保护器，UPS的进线侧安装电涌保护器。工艺装置区内布置的塔、容器等，当顶板厚度等于或大于4mm时，不设避雷针保护，但必须设防雷接地。</w:t>
      </w:r>
    </w:p>
    <w:p>
      <w:pPr>
        <w:pStyle w:val="112"/>
        <w:ind w:firstLine="480"/>
      </w:pPr>
      <w:r>
        <w:t>站内采用联合接地网配置，所有的电气设备工作接地和保护接地、建筑物的防雷接地及仪表接地采用共用接地方式，接地电阻小于1Ω。</w:t>
      </w:r>
    </w:p>
    <w:p>
      <w:pPr>
        <w:pStyle w:val="112"/>
        <w:ind w:firstLine="480"/>
      </w:pPr>
      <w:r>
        <w:t>管道在地上跨越应采取防雷防静电措施。</w:t>
      </w:r>
    </w:p>
    <w:p>
      <w:pPr>
        <w:pStyle w:val="3"/>
        <w:spacing w:before="120"/>
        <w:rPr>
          <w:rFonts w:cs="Times New Roman"/>
        </w:rPr>
      </w:pPr>
      <w:bookmarkStart w:id="209" w:name="bookmark19"/>
      <w:bookmarkEnd w:id="209"/>
      <w:bookmarkStart w:id="210" w:name="_Toc12288457"/>
      <w:bookmarkStart w:id="211" w:name="_Toc19815974"/>
      <w:bookmarkStart w:id="212" w:name="_Toc81515272"/>
      <w:r>
        <w:rPr>
          <w:rFonts w:cs="Times New Roman"/>
        </w:rPr>
        <w:t>3.</w:t>
      </w:r>
      <w:r>
        <w:rPr>
          <w:rFonts w:hint="eastAsia" w:cs="Times New Roman"/>
        </w:rPr>
        <w:t>9</w:t>
      </w:r>
      <w:r>
        <w:rPr>
          <w:rFonts w:cs="Times New Roman"/>
        </w:rPr>
        <w:t xml:space="preserve"> 其他工程</w:t>
      </w:r>
      <w:bookmarkEnd w:id="210"/>
      <w:bookmarkEnd w:id="211"/>
      <w:bookmarkEnd w:id="212"/>
    </w:p>
    <w:p>
      <w:pPr>
        <w:pStyle w:val="4"/>
        <w:rPr>
          <w:rFonts w:eastAsia="宋体"/>
        </w:rPr>
      </w:pPr>
      <w:bookmarkStart w:id="213" w:name="_Toc19815977"/>
      <w:r>
        <w:rPr>
          <w:rFonts w:eastAsia="宋体"/>
        </w:rPr>
        <w:t>3.</w:t>
      </w:r>
      <w:r>
        <w:rPr>
          <w:rFonts w:hint="eastAsia" w:eastAsia="宋体"/>
        </w:rPr>
        <w:t>9</w:t>
      </w:r>
      <w:r>
        <w:rPr>
          <w:rFonts w:eastAsia="宋体"/>
        </w:rPr>
        <w:t>.1 项目工程占地</w:t>
      </w:r>
      <w:bookmarkEnd w:id="213"/>
    </w:p>
    <w:p>
      <w:pPr>
        <w:pStyle w:val="112"/>
        <w:ind w:firstLine="480"/>
      </w:pPr>
      <w:bookmarkStart w:id="214" w:name="OLE_LINK168"/>
      <w:bookmarkStart w:id="215" w:name="OLE_LINK169"/>
      <w:r>
        <w:t>项目永久占地</w:t>
      </w:r>
      <w:bookmarkStart w:id="216" w:name="OLE_LINK123"/>
      <w:bookmarkStart w:id="217" w:name="OLE_LINK124"/>
      <w:bookmarkStart w:id="218" w:name="OLE_LINK131"/>
      <w:r>
        <w:rPr>
          <w:rFonts w:hint="eastAsia"/>
        </w:rPr>
        <w:t>8720</w:t>
      </w:r>
      <w:r>
        <w:rPr>
          <w:rFonts w:hint="eastAsia"/>
          <w:bCs/>
        </w:rPr>
        <w:t>m</w:t>
      </w:r>
      <w:r>
        <w:rPr>
          <w:rFonts w:hint="eastAsia"/>
          <w:bCs/>
          <w:vertAlign w:val="superscript"/>
        </w:rPr>
        <w:t>2</w:t>
      </w:r>
      <w:bookmarkEnd w:id="216"/>
      <w:bookmarkEnd w:id="217"/>
      <w:bookmarkEnd w:id="218"/>
      <w:r>
        <w:rPr>
          <w:rFonts w:hint="eastAsia"/>
          <w:color w:val="0000FF"/>
          <w:kern w:val="2"/>
        </w:rPr>
        <w:t>（利用现有井场）</w:t>
      </w:r>
      <w:r>
        <w:t>，临时占地</w:t>
      </w:r>
      <w:r>
        <w:rPr>
          <w:rFonts w:hint="eastAsia"/>
        </w:rPr>
        <w:t>410</w:t>
      </w:r>
      <w:r>
        <w:t>0</w:t>
      </w:r>
      <w:r>
        <w:rPr>
          <w:rFonts w:hint="eastAsia"/>
          <w:bCs/>
        </w:rPr>
        <w:t>m</w:t>
      </w:r>
      <w:r>
        <w:rPr>
          <w:rFonts w:hint="eastAsia"/>
          <w:bCs/>
          <w:vertAlign w:val="superscript"/>
        </w:rPr>
        <w:t>2</w:t>
      </w:r>
      <w:bookmarkEnd w:id="214"/>
      <w:bookmarkEnd w:id="215"/>
      <w:r>
        <w:t>。</w:t>
      </w:r>
    </w:p>
    <w:p>
      <w:pPr>
        <w:pStyle w:val="37"/>
        <w:rPr>
          <w:rFonts w:cs="Times New Roman"/>
        </w:rPr>
      </w:pPr>
      <w:r>
        <w:rPr>
          <w:rFonts w:cs="Times New Roman"/>
        </w:rPr>
        <w:t>表3.</w:t>
      </w:r>
      <w:r>
        <w:rPr>
          <w:rFonts w:hint="eastAsia" w:cs="Times New Roman"/>
        </w:rPr>
        <w:t>9</w:t>
      </w:r>
      <w:r>
        <w:rPr>
          <w:rFonts w:cs="Times New Roman"/>
        </w:rPr>
        <w:t>-1  占地面积统计表</w:t>
      </w:r>
    </w:p>
    <w:tbl>
      <w:tblPr>
        <w:tblStyle w:val="57"/>
        <w:tblW w:w="534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07"/>
        <w:gridCol w:w="994"/>
        <w:gridCol w:w="1133"/>
        <w:gridCol w:w="4259"/>
        <w:gridCol w:w="12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731" w:type="pct"/>
            <w:vAlign w:val="center"/>
          </w:tcPr>
          <w:p>
            <w:pPr>
              <w:snapToGrid w:val="0"/>
              <w:spacing w:line="240" w:lineRule="auto"/>
              <w:ind w:firstLine="0" w:firstLineChars="0"/>
              <w:jc w:val="center"/>
              <w:rPr>
                <w:rFonts w:ascii="Times New Roman" w:cs="Times New Roman"/>
                <w:b/>
                <w:bCs/>
                <w:sz w:val="21"/>
                <w:szCs w:val="21"/>
              </w:rPr>
            </w:pPr>
            <w:r>
              <w:rPr>
                <w:rFonts w:ascii="Times New Roman" w:cs="Times New Roman"/>
                <w:b/>
                <w:bCs/>
                <w:sz w:val="21"/>
                <w:szCs w:val="21"/>
              </w:rPr>
              <w:t>类别</w:t>
            </w:r>
          </w:p>
        </w:tc>
        <w:tc>
          <w:tcPr>
            <w:tcW w:w="556" w:type="pct"/>
            <w:vAlign w:val="center"/>
          </w:tcPr>
          <w:p>
            <w:pPr>
              <w:snapToGrid w:val="0"/>
              <w:spacing w:line="240" w:lineRule="auto"/>
              <w:ind w:firstLine="0" w:firstLineChars="0"/>
              <w:jc w:val="center"/>
              <w:rPr>
                <w:rFonts w:ascii="Times New Roman" w:cs="Times New Roman"/>
                <w:b/>
                <w:bCs/>
                <w:sz w:val="21"/>
                <w:szCs w:val="21"/>
              </w:rPr>
            </w:pPr>
            <w:r>
              <w:rPr>
                <w:rFonts w:ascii="Times New Roman" w:cs="Times New Roman"/>
                <w:b/>
                <w:bCs/>
                <w:sz w:val="21"/>
                <w:szCs w:val="21"/>
              </w:rPr>
              <w:t>单位</w:t>
            </w:r>
          </w:p>
        </w:tc>
        <w:tc>
          <w:tcPr>
            <w:tcW w:w="634" w:type="pct"/>
            <w:vAlign w:val="center"/>
          </w:tcPr>
          <w:p>
            <w:pPr>
              <w:snapToGrid w:val="0"/>
              <w:spacing w:line="240" w:lineRule="auto"/>
              <w:ind w:firstLine="0" w:firstLineChars="0"/>
              <w:jc w:val="center"/>
              <w:rPr>
                <w:rFonts w:ascii="Times New Roman" w:cs="Times New Roman"/>
                <w:b/>
                <w:bCs/>
                <w:sz w:val="21"/>
                <w:szCs w:val="21"/>
              </w:rPr>
            </w:pPr>
            <w:r>
              <w:rPr>
                <w:rFonts w:ascii="Times New Roman" w:cs="Times New Roman"/>
                <w:b/>
                <w:bCs/>
                <w:sz w:val="21"/>
                <w:szCs w:val="21"/>
              </w:rPr>
              <w:t>数量</w:t>
            </w:r>
          </w:p>
        </w:tc>
        <w:tc>
          <w:tcPr>
            <w:tcW w:w="2383" w:type="pct"/>
            <w:vAlign w:val="center"/>
          </w:tcPr>
          <w:p>
            <w:pPr>
              <w:snapToGrid w:val="0"/>
              <w:spacing w:line="240" w:lineRule="auto"/>
              <w:ind w:firstLine="0" w:firstLineChars="0"/>
              <w:jc w:val="center"/>
              <w:rPr>
                <w:rFonts w:ascii="Times New Roman" w:cs="Times New Roman"/>
                <w:b/>
                <w:bCs/>
                <w:sz w:val="21"/>
                <w:szCs w:val="21"/>
              </w:rPr>
            </w:pPr>
            <w:r>
              <w:rPr>
                <w:rFonts w:ascii="Times New Roman" w:cs="Times New Roman"/>
                <w:b/>
                <w:bCs/>
                <w:sz w:val="21"/>
                <w:szCs w:val="21"/>
              </w:rPr>
              <w:t>备注</w:t>
            </w:r>
          </w:p>
        </w:tc>
        <w:tc>
          <w:tcPr>
            <w:tcW w:w="696" w:type="pct"/>
            <w:vAlign w:val="center"/>
          </w:tcPr>
          <w:p>
            <w:pPr>
              <w:snapToGrid w:val="0"/>
              <w:spacing w:line="240" w:lineRule="auto"/>
              <w:ind w:firstLine="0" w:firstLineChars="0"/>
              <w:jc w:val="center"/>
              <w:rPr>
                <w:rFonts w:ascii="Times New Roman" w:cs="Times New Roman"/>
                <w:b/>
                <w:bCs/>
                <w:sz w:val="21"/>
                <w:szCs w:val="21"/>
              </w:rPr>
            </w:pPr>
            <w:r>
              <w:rPr>
                <w:rFonts w:ascii="Times New Roman" w:cs="Times New Roman"/>
                <w:b/>
                <w:bCs/>
                <w:sz w:val="21"/>
                <w:szCs w:val="21"/>
              </w:rPr>
              <w:t>占地类型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731" w:type="pct"/>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永久占地</w:t>
            </w:r>
          </w:p>
        </w:tc>
        <w:tc>
          <w:tcPr>
            <w:tcW w:w="556" w:type="pct"/>
            <w:vAlign w:val="center"/>
          </w:tcPr>
          <w:p>
            <w:pPr>
              <w:spacing w:line="240" w:lineRule="auto"/>
              <w:ind w:firstLine="0" w:firstLineChars="0"/>
              <w:jc w:val="center"/>
              <w:rPr>
                <w:rFonts w:ascii="Times New Roman" w:cs="Times New Roman"/>
                <w:sz w:val="21"/>
                <w:szCs w:val="21"/>
              </w:rPr>
            </w:pPr>
            <w:r>
              <w:rPr>
                <w:rFonts w:hint="eastAsia" w:ascii="Times New Roman" w:cs="Times New Roman"/>
                <w:bCs/>
                <w:sz w:val="21"/>
                <w:szCs w:val="21"/>
              </w:rPr>
              <w:t>m</w:t>
            </w:r>
            <w:r>
              <w:rPr>
                <w:rFonts w:hint="eastAsia" w:ascii="Times New Roman" w:cs="Times New Roman"/>
                <w:bCs/>
                <w:sz w:val="21"/>
                <w:szCs w:val="21"/>
                <w:vertAlign w:val="superscript"/>
              </w:rPr>
              <w:t>2</w:t>
            </w:r>
          </w:p>
        </w:tc>
        <w:tc>
          <w:tcPr>
            <w:tcW w:w="634" w:type="pct"/>
            <w:vAlign w:val="center"/>
          </w:tcPr>
          <w:p>
            <w:pPr>
              <w:spacing w:before="240"/>
              <w:ind w:firstLine="0" w:firstLineChars="0"/>
              <w:jc w:val="center"/>
              <w:rPr>
                <w:rFonts w:ascii="Times New Roman" w:cs="Times New Roman"/>
                <w:sz w:val="21"/>
                <w:szCs w:val="21"/>
              </w:rPr>
            </w:pPr>
            <w:r>
              <w:rPr>
                <w:rFonts w:hint="eastAsia" w:ascii="Times New Roman" w:cs="Times New Roman"/>
                <w:sz w:val="21"/>
                <w:szCs w:val="21"/>
              </w:rPr>
              <w:t>8720</w:t>
            </w:r>
          </w:p>
        </w:tc>
        <w:tc>
          <w:tcPr>
            <w:tcW w:w="2383" w:type="pct"/>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普陆4集气平台</w:t>
            </w:r>
          </w:p>
        </w:tc>
        <w:tc>
          <w:tcPr>
            <w:tcW w:w="696" w:type="pct"/>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见表4.1-3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731" w:type="pct"/>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临时占地</w:t>
            </w:r>
          </w:p>
        </w:tc>
        <w:tc>
          <w:tcPr>
            <w:tcW w:w="556" w:type="pct"/>
            <w:vAlign w:val="center"/>
          </w:tcPr>
          <w:p>
            <w:pPr>
              <w:spacing w:line="240" w:lineRule="auto"/>
              <w:ind w:firstLine="0" w:firstLineChars="0"/>
              <w:jc w:val="center"/>
              <w:rPr>
                <w:rFonts w:ascii="Times New Roman" w:cs="Times New Roman"/>
                <w:sz w:val="21"/>
                <w:szCs w:val="21"/>
              </w:rPr>
            </w:pPr>
            <w:bookmarkStart w:id="219" w:name="OLE_LINK127"/>
            <w:bookmarkStart w:id="220" w:name="OLE_LINK128"/>
            <w:r>
              <w:rPr>
                <w:rFonts w:hint="eastAsia" w:ascii="Times New Roman" w:cs="Times New Roman"/>
                <w:bCs/>
                <w:sz w:val="21"/>
                <w:szCs w:val="21"/>
              </w:rPr>
              <w:t>m</w:t>
            </w:r>
            <w:r>
              <w:rPr>
                <w:rFonts w:hint="eastAsia" w:ascii="Times New Roman" w:cs="Times New Roman"/>
                <w:bCs/>
                <w:sz w:val="21"/>
                <w:szCs w:val="21"/>
                <w:vertAlign w:val="superscript"/>
              </w:rPr>
              <w:t>2</w:t>
            </w:r>
            <w:bookmarkEnd w:id="219"/>
            <w:bookmarkEnd w:id="220"/>
          </w:p>
        </w:tc>
        <w:tc>
          <w:tcPr>
            <w:tcW w:w="634" w:type="pct"/>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4100</w:t>
            </w:r>
          </w:p>
        </w:tc>
        <w:tc>
          <w:tcPr>
            <w:tcW w:w="2383" w:type="pct"/>
            <w:vAlign w:val="center"/>
          </w:tcPr>
          <w:p>
            <w:pPr>
              <w:spacing w:line="240" w:lineRule="auto"/>
              <w:ind w:firstLine="0" w:firstLineChars="0"/>
              <w:jc w:val="center"/>
              <w:rPr>
                <w:rFonts w:ascii="Times New Roman" w:cs="Times New Roman"/>
                <w:sz w:val="21"/>
                <w:szCs w:val="21"/>
              </w:rPr>
            </w:pPr>
            <w:r>
              <w:rPr>
                <w:rFonts w:ascii="Times New Roman" w:cs="Times New Roman"/>
                <w:sz w:val="21"/>
                <w:szCs w:val="21"/>
              </w:rPr>
              <w:t>施工作业带、</w:t>
            </w:r>
            <w:r>
              <w:rPr>
                <w:rFonts w:hint="eastAsia" w:ascii="Times New Roman" w:cs="Times New Roman"/>
                <w:sz w:val="21"/>
                <w:szCs w:val="21"/>
              </w:rPr>
              <w:t>管道工程区堆管点、</w:t>
            </w:r>
            <w:r>
              <w:rPr>
                <w:rFonts w:ascii="Times New Roman" w:cs="Times New Roman"/>
                <w:sz w:val="21"/>
                <w:szCs w:val="21"/>
              </w:rPr>
              <w:t>施工便道</w:t>
            </w:r>
          </w:p>
        </w:tc>
        <w:tc>
          <w:tcPr>
            <w:tcW w:w="696" w:type="pct"/>
            <w:vAlign w:val="center"/>
          </w:tcPr>
          <w:p>
            <w:pPr>
              <w:spacing w:line="240" w:lineRule="auto"/>
              <w:ind w:firstLine="0" w:firstLineChars="0"/>
              <w:jc w:val="center"/>
              <w:rPr>
                <w:rFonts w:ascii="Times New Roman" w:cs="Times New Roman"/>
                <w:sz w:val="21"/>
                <w:szCs w:val="21"/>
              </w:rPr>
            </w:pPr>
            <w:r>
              <w:rPr>
                <w:rFonts w:hint="eastAsia" w:ascii="Times New Roman" w:cs="Times New Roman"/>
                <w:sz w:val="21"/>
                <w:szCs w:val="21"/>
              </w:rPr>
              <w:t>见表4.1-4</w:t>
            </w:r>
          </w:p>
        </w:tc>
      </w:tr>
    </w:tbl>
    <w:p>
      <w:pPr>
        <w:pStyle w:val="112"/>
        <w:ind w:firstLine="480"/>
      </w:pPr>
      <w:r>
        <w:t>项目线路选线工程涉及的必要所占耕地、</w:t>
      </w:r>
      <w:r>
        <w:rPr>
          <w:rFonts w:hint="eastAsia"/>
        </w:rPr>
        <w:t>一般</w:t>
      </w:r>
      <w:r>
        <w:t>林地的补偿方式将依据沿线各地的有关规定，并委托市、县国土资源部门、林业部门完成耕地、</w:t>
      </w:r>
      <w:r>
        <w:rPr>
          <w:rFonts w:hint="eastAsia"/>
        </w:rPr>
        <w:t>一般</w:t>
      </w:r>
      <w:r>
        <w:t>林地等的补偿任务，依法缴纳相关费用，以确保实现耕地、</w:t>
      </w:r>
      <w:r>
        <w:rPr>
          <w:rFonts w:hint="eastAsia"/>
        </w:rPr>
        <w:t>一般</w:t>
      </w:r>
      <w:r>
        <w:t>林地等的占补平衡。临时用地施工作业带在满足施工作业的情况下，尽量少占地，项目管线施工完后应及时恢复原地形地貌。</w:t>
      </w:r>
    </w:p>
    <w:p>
      <w:pPr>
        <w:pStyle w:val="4"/>
        <w:rPr>
          <w:rFonts w:eastAsia="宋体"/>
        </w:rPr>
      </w:pPr>
      <w:r>
        <w:rPr>
          <w:rFonts w:eastAsia="宋体"/>
        </w:rPr>
        <w:t>3.</w:t>
      </w:r>
      <w:r>
        <w:rPr>
          <w:rFonts w:hint="eastAsia" w:eastAsia="宋体"/>
        </w:rPr>
        <w:t>9</w:t>
      </w:r>
      <w:r>
        <w:rPr>
          <w:rFonts w:eastAsia="宋体"/>
        </w:rPr>
        <w:t>.2 土石方平衡分析</w:t>
      </w:r>
    </w:p>
    <w:p>
      <w:pPr>
        <w:pStyle w:val="109"/>
        <w:ind w:firstLine="480"/>
      </w:pPr>
      <w:r>
        <w:t>本项目土石方工程主要来自管道工程区、施工便道区施工活动中产生的开挖、堆土及回填。</w:t>
      </w:r>
    </w:p>
    <w:p>
      <w:pPr>
        <w:pStyle w:val="109"/>
        <w:ind w:firstLine="482"/>
        <w:rPr>
          <w:b/>
          <w:bCs/>
        </w:rPr>
      </w:pPr>
      <w:r>
        <w:rPr>
          <w:b/>
          <w:bCs/>
        </w:rPr>
        <w:t>1、表土剥离与回填</w:t>
      </w:r>
    </w:p>
    <w:p>
      <w:pPr>
        <w:pStyle w:val="109"/>
        <w:ind w:firstLine="480"/>
      </w:pPr>
      <w:r>
        <w:t>对本项目各分区需要开挖破坏的占地类型为耕地、</w:t>
      </w:r>
      <w:r>
        <w:rPr>
          <w:rFonts w:hint="eastAsia"/>
        </w:rPr>
        <w:t>一般</w:t>
      </w:r>
      <w:r>
        <w:t>林地、草地可进行表土剥离用于项目完成后的复耕覆土，项目施工前应进行表土剥离，可剥离面积约</w:t>
      </w:r>
      <w:r>
        <w:rPr>
          <w:rFonts w:hint="eastAsia"/>
          <w:bCs/>
        </w:rPr>
        <w:t>1500m</w:t>
      </w:r>
      <w:r>
        <w:rPr>
          <w:rFonts w:hint="eastAsia"/>
          <w:bCs/>
          <w:vertAlign w:val="superscript"/>
        </w:rPr>
        <w:t>2</w:t>
      </w:r>
      <w:r>
        <w:t>，可剥离厚度30cm，总剥离量</w:t>
      </w:r>
      <w:r>
        <w:rPr>
          <w:rFonts w:hint="eastAsia"/>
        </w:rPr>
        <w:t>450</w:t>
      </w:r>
      <w:r>
        <w:t>m</w:t>
      </w:r>
      <w:r>
        <w:rPr>
          <w:vertAlign w:val="superscript"/>
        </w:rPr>
        <w:t>3</w:t>
      </w:r>
      <w:r>
        <w:t>，项目施工完成后，对各分区拆除地表因施工形成的占压物并覆土以恢复植被，剥离表土全部复耕。</w:t>
      </w:r>
    </w:p>
    <w:p>
      <w:pPr>
        <w:pStyle w:val="109"/>
        <w:ind w:firstLine="482"/>
        <w:rPr>
          <w:b/>
          <w:bCs/>
        </w:rPr>
      </w:pPr>
      <w:r>
        <w:rPr>
          <w:b/>
          <w:bCs/>
        </w:rPr>
        <w:t>2、土石方开挖及回填</w:t>
      </w:r>
    </w:p>
    <w:p>
      <w:pPr>
        <w:pStyle w:val="109"/>
        <w:ind w:firstLine="480"/>
      </w:pPr>
      <w:r>
        <w:t>根据《普光气田普陆4-1H井产能建设项目</w:t>
      </w:r>
      <w:r>
        <w:rPr>
          <w:rFonts w:hint="eastAsia"/>
        </w:rPr>
        <w:t>水土保持方案</w:t>
      </w:r>
      <w:r>
        <w:t>报告》可知，本项目土石方主要为管沟开挖、施工便道开挖。项目土石方挖方量共计</w:t>
      </w:r>
      <w:r>
        <w:rPr>
          <w:rFonts w:hint="eastAsia"/>
        </w:rPr>
        <w:t>约500</w:t>
      </w:r>
      <w:r>
        <w:t>m</w:t>
      </w:r>
      <w:r>
        <w:rPr>
          <w:vertAlign w:val="superscript"/>
        </w:rPr>
        <w:t>3</w:t>
      </w:r>
      <w:r>
        <w:t>，填方量共计</w:t>
      </w:r>
      <w:r>
        <w:rPr>
          <w:rFonts w:hint="eastAsia"/>
        </w:rPr>
        <w:t>约500</w:t>
      </w:r>
      <w:r>
        <w:t>m</w:t>
      </w:r>
      <w:r>
        <w:rPr>
          <w:vertAlign w:val="superscript"/>
        </w:rPr>
        <w:t>3</w:t>
      </w:r>
      <w:r>
        <w:t>，</w:t>
      </w:r>
      <w:r>
        <w:rPr>
          <w:rFonts w:hint="eastAsia"/>
        </w:rPr>
        <w:t>无</w:t>
      </w:r>
      <w:r>
        <w:t>弃方。</w:t>
      </w:r>
    </w:p>
    <w:p>
      <w:pPr>
        <w:pStyle w:val="4"/>
        <w:rPr>
          <w:rFonts w:eastAsia="宋体"/>
        </w:rPr>
      </w:pPr>
      <w:r>
        <w:rPr>
          <w:rFonts w:eastAsia="宋体"/>
        </w:rPr>
        <w:t>3.</w:t>
      </w:r>
      <w:r>
        <w:rPr>
          <w:rFonts w:hint="eastAsia" w:eastAsia="宋体"/>
        </w:rPr>
        <w:t>9</w:t>
      </w:r>
      <w:r>
        <w:rPr>
          <w:rFonts w:eastAsia="宋体"/>
        </w:rPr>
        <w:t>.3 拆迁工程</w:t>
      </w:r>
    </w:p>
    <w:p>
      <w:pPr>
        <w:pStyle w:val="112"/>
        <w:ind w:firstLine="480"/>
      </w:pPr>
      <w:r>
        <w:t>根据《中华人民共和国石油天然气管道保护法》中第三十条规定的“在管道线路中心线两侧各5m地域范围内，禁止下列危害管道安全的行为：建家畜棚圈、建房以及修建其他建筑物、构筑物。”</w:t>
      </w:r>
      <w:r>
        <w:rPr>
          <w:color w:val="0000FF"/>
        </w:rPr>
        <w:t>本项目</w:t>
      </w:r>
      <w:r>
        <w:t>在管线敷设过程中不涉及拆迁工程。</w:t>
      </w:r>
    </w:p>
    <w:p>
      <w:pPr>
        <w:pStyle w:val="3"/>
        <w:spacing w:before="120"/>
        <w:rPr>
          <w:rFonts w:cs="Times New Roman"/>
        </w:rPr>
      </w:pPr>
      <w:bookmarkStart w:id="221" w:name="bookmark20"/>
      <w:bookmarkEnd w:id="221"/>
      <w:bookmarkStart w:id="222" w:name="_Toc12288458"/>
      <w:bookmarkStart w:id="223" w:name="_Toc19815978"/>
      <w:bookmarkStart w:id="224" w:name="_Toc81515273"/>
      <w:r>
        <w:rPr>
          <w:rFonts w:cs="Times New Roman"/>
        </w:rPr>
        <w:t>3.</w:t>
      </w:r>
      <w:r>
        <w:rPr>
          <w:rFonts w:hint="eastAsia" w:cs="Times New Roman"/>
        </w:rPr>
        <w:t>10</w:t>
      </w:r>
      <w:r>
        <w:rPr>
          <w:rFonts w:cs="Times New Roman"/>
        </w:rPr>
        <w:t xml:space="preserve"> </w:t>
      </w:r>
      <w:bookmarkEnd w:id="222"/>
      <w:bookmarkEnd w:id="223"/>
      <w:r>
        <w:rPr>
          <w:rFonts w:cs="Times New Roman"/>
        </w:rPr>
        <w:t>劳动定员、建设进度</w:t>
      </w:r>
      <w:bookmarkEnd w:id="224"/>
    </w:p>
    <w:p>
      <w:pPr>
        <w:pStyle w:val="4"/>
        <w:rPr>
          <w:rFonts w:eastAsia="宋体"/>
        </w:rPr>
      </w:pPr>
      <w:bookmarkStart w:id="225" w:name="_Toc213835365"/>
      <w:bookmarkStart w:id="226" w:name="_Toc520234482"/>
      <w:bookmarkStart w:id="227" w:name="_Toc155976349"/>
      <w:bookmarkStart w:id="228" w:name="_Toc175728350"/>
      <w:bookmarkStart w:id="229" w:name="_Toc155976099"/>
      <w:bookmarkStart w:id="230" w:name="_Toc155975331"/>
      <w:bookmarkStart w:id="231" w:name="_Toc155975831"/>
      <w:bookmarkStart w:id="232" w:name="_Toc153685211"/>
      <w:bookmarkStart w:id="233" w:name="_Toc148954843"/>
      <w:bookmarkStart w:id="234" w:name="_Toc139207294"/>
      <w:bookmarkStart w:id="235" w:name="_Toc111542124"/>
      <w:bookmarkStart w:id="236" w:name="_Toc19815979"/>
      <w:r>
        <w:rPr>
          <w:rFonts w:eastAsia="宋体"/>
        </w:rPr>
        <w:t>3.</w:t>
      </w:r>
      <w:r>
        <w:rPr>
          <w:rFonts w:hint="eastAsia" w:eastAsia="宋体"/>
        </w:rPr>
        <w:t>10</w:t>
      </w:r>
      <w:r>
        <w:rPr>
          <w:rFonts w:eastAsia="宋体"/>
        </w:rPr>
        <w:t>.1 组织机构</w:t>
      </w:r>
      <w:bookmarkEnd w:id="225"/>
      <w:bookmarkEnd w:id="226"/>
      <w:bookmarkEnd w:id="227"/>
      <w:bookmarkEnd w:id="228"/>
      <w:bookmarkEnd w:id="229"/>
      <w:bookmarkEnd w:id="230"/>
      <w:bookmarkEnd w:id="231"/>
      <w:bookmarkEnd w:id="232"/>
      <w:bookmarkEnd w:id="233"/>
      <w:bookmarkEnd w:id="234"/>
      <w:bookmarkEnd w:id="235"/>
      <w:bookmarkEnd w:id="236"/>
    </w:p>
    <w:p>
      <w:pPr>
        <w:ind w:firstLine="480"/>
        <w:rPr>
          <w:rFonts w:ascii="Times New Roman" w:cs="Times New Roman"/>
        </w:rPr>
      </w:pPr>
      <w:r>
        <w:rPr>
          <w:rFonts w:ascii="Times New Roman" w:cs="Times New Roman"/>
        </w:rPr>
        <w:t>本工程为天然气开采和内部集输工程，由中国石油化工股份有限公司中原油田普光分公司管理。</w:t>
      </w:r>
    </w:p>
    <w:p>
      <w:pPr>
        <w:pStyle w:val="4"/>
        <w:rPr>
          <w:rFonts w:eastAsia="宋体"/>
        </w:rPr>
      </w:pPr>
      <w:bookmarkStart w:id="237" w:name="_Toc213835368"/>
      <w:bookmarkStart w:id="238" w:name="_Toc520234483"/>
      <w:bookmarkStart w:id="239" w:name="_Toc19815980"/>
      <w:bookmarkStart w:id="240" w:name="_Toc439056557"/>
      <w:r>
        <w:rPr>
          <w:rFonts w:eastAsia="宋体"/>
        </w:rPr>
        <w:t>3.</w:t>
      </w:r>
      <w:r>
        <w:rPr>
          <w:rFonts w:hint="eastAsia" w:eastAsia="宋体"/>
        </w:rPr>
        <w:t>10</w:t>
      </w:r>
      <w:r>
        <w:rPr>
          <w:rFonts w:eastAsia="宋体"/>
        </w:rPr>
        <w:t xml:space="preserve">.2 </w:t>
      </w:r>
      <w:bookmarkEnd w:id="237"/>
      <w:bookmarkEnd w:id="238"/>
      <w:bookmarkEnd w:id="239"/>
      <w:bookmarkEnd w:id="240"/>
      <w:r>
        <w:rPr>
          <w:rFonts w:eastAsia="宋体"/>
        </w:rPr>
        <w:t>定员</w:t>
      </w:r>
    </w:p>
    <w:p>
      <w:pPr>
        <w:pStyle w:val="112"/>
        <w:ind w:firstLine="480"/>
      </w:pPr>
      <w:r>
        <w:t>本项目普陆4集气平台为</w:t>
      </w:r>
      <w:r>
        <w:rPr>
          <w:rFonts w:hint="eastAsia"/>
        </w:rPr>
        <w:t>有</w:t>
      </w:r>
      <w:r>
        <w:t>人值守站</w:t>
      </w:r>
      <w:r>
        <w:rPr>
          <w:rFonts w:hint="eastAsia"/>
        </w:rPr>
        <w:t>，本项目新增劳动定员4人</w:t>
      </w:r>
      <w:r>
        <w:t>。</w:t>
      </w:r>
    </w:p>
    <w:p>
      <w:pPr>
        <w:pStyle w:val="4"/>
        <w:rPr>
          <w:rFonts w:eastAsia="宋体"/>
        </w:rPr>
      </w:pPr>
      <w:r>
        <w:rPr>
          <w:rFonts w:eastAsia="宋体"/>
        </w:rPr>
        <w:t>3.</w:t>
      </w:r>
      <w:r>
        <w:rPr>
          <w:rFonts w:hint="eastAsia" w:eastAsia="宋体"/>
        </w:rPr>
        <w:t>10</w:t>
      </w:r>
      <w:r>
        <w:rPr>
          <w:rFonts w:eastAsia="宋体"/>
        </w:rPr>
        <w:t>.3 建设进度</w:t>
      </w:r>
    </w:p>
    <w:p>
      <w:pPr>
        <w:pStyle w:val="112"/>
        <w:ind w:firstLine="480"/>
      </w:pPr>
      <w:r>
        <w:t>项目</w:t>
      </w:r>
      <w:bookmarkStart w:id="241" w:name="OLE_LINK134"/>
      <w:bookmarkStart w:id="242" w:name="OLE_LINK135"/>
      <w:r>
        <w:rPr>
          <w:rFonts w:hint="eastAsia"/>
        </w:rPr>
        <w:t>站场</w:t>
      </w:r>
      <w:bookmarkEnd w:id="241"/>
      <w:bookmarkEnd w:id="242"/>
      <w:r>
        <w:t>施工作业主要采用人工+机械</w:t>
      </w:r>
      <w:r>
        <w:rPr>
          <w:rFonts w:hint="eastAsia"/>
        </w:rPr>
        <w:t>作业，</w:t>
      </w:r>
      <w:bookmarkStart w:id="243" w:name="OLE_LINK136"/>
      <w:r>
        <w:t>管道</w:t>
      </w:r>
      <w:bookmarkEnd w:id="243"/>
      <w:bookmarkStart w:id="244" w:name="OLE_LINK132"/>
      <w:bookmarkStart w:id="245" w:name="OLE_LINK133"/>
      <w:r>
        <w:t>施工作业主要采用人工+机械开挖</w:t>
      </w:r>
      <w:bookmarkEnd w:id="244"/>
      <w:bookmarkEnd w:id="245"/>
      <w:r>
        <w:t>管沟，不设置施工营地，项目</w:t>
      </w:r>
      <w:r>
        <w:rPr>
          <w:rFonts w:hint="eastAsia"/>
        </w:rPr>
        <w:t>站场和</w:t>
      </w:r>
      <w:r>
        <w:t>管道施工工期约为</w:t>
      </w:r>
      <w:r>
        <w:rPr>
          <w:rFonts w:hint="eastAsia"/>
        </w:rPr>
        <w:t>2</w:t>
      </w:r>
      <w:r>
        <w:t>个月</w:t>
      </w:r>
      <w:r>
        <w:rPr>
          <w:rFonts w:hint="eastAsia"/>
        </w:rPr>
        <w:t>，项目钻井周期：施工周期155天，其中钻前工程50d，钻井工程45d，完井工程60d</w:t>
      </w:r>
      <w:r>
        <w:t>。为有效保护项目沿线耕地内土壤，项目</w:t>
      </w:r>
      <w:r>
        <w:rPr>
          <w:rFonts w:hint="eastAsia"/>
        </w:rPr>
        <w:t>管道</w:t>
      </w:r>
      <w:r>
        <w:t>施工分段进行，每段施工完成后，及时恢复地表植被及回填耕作层土壤。</w:t>
      </w:r>
    </w:p>
    <w:p>
      <w:pPr>
        <w:pStyle w:val="4"/>
        <w:rPr>
          <w:rFonts w:eastAsia="宋体"/>
          <w:color w:val="FF0000"/>
        </w:rPr>
      </w:pPr>
      <w:r>
        <w:rPr>
          <w:rFonts w:eastAsia="宋体"/>
          <w:color w:val="FF0000"/>
        </w:rPr>
        <w:t>3.</w:t>
      </w:r>
      <w:r>
        <w:rPr>
          <w:rFonts w:hint="eastAsia" w:eastAsia="宋体"/>
          <w:color w:val="FF0000"/>
        </w:rPr>
        <w:t>10</w:t>
      </w:r>
      <w:r>
        <w:rPr>
          <w:rFonts w:eastAsia="宋体"/>
          <w:color w:val="FF0000"/>
        </w:rPr>
        <w:t>.</w:t>
      </w:r>
      <w:r>
        <w:rPr>
          <w:rFonts w:hint="eastAsia" w:eastAsia="宋体"/>
          <w:color w:val="FF0000"/>
        </w:rPr>
        <w:t>4</w:t>
      </w:r>
      <w:r>
        <w:rPr>
          <w:rFonts w:eastAsia="宋体"/>
          <w:color w:val="FF0000"/>
        </w:rPr>
        <w:t xml:space="preserve"> </w:t>
      </w:r>
      <w:r>
        <w:rPr>
          <w:rFonts w:hint="eastAsia" w:eastAsia="宋体"/>
          <w:color w:val="FF0000"/>
        </w:rPr>
        <w:t>技术</w:t>
      </w:r>
      <w:r>
        <w:rPr>
          <w:rFonts w:eastAsia="宋体"/>
          <w:color w:val="FF0000"/>
        </w:rPr>
        <w:t>经济指标</w:t>
      </w:r>
    </w:p>
    <w:p>
      <w:pPr>
        <w:pStyle w:val="112"/>
        <w:ind w:firstLine="480"/>
        <w:rPr>
          <w:color w:val="FF0000"/>
        </w:rPr>
      </w:pPr>
      <w:r>
        <w:rPr>
          <w:color w:val="FF0000"/>
        </w:rPr>
        <w:t>项目技术经济指标表见表</w:t>
      </w:r>
      <w:r>
        <w:rPr>
          <w:rFonts w:hint="eastAsia"/>
          <w:color w:val="FF0000"/>
        </w:rPr>
        <w:t>3.10-1。</w:t>
      </w:r>
    </w:p>
    <w:p>
      <w:pPr>
        <w:pStyle w:val="37"/>
        <w:rPr>
          <w:rFonts w:cs="Times New Roman"/>
          <w:color w:val="FF0000"/>
        </w:rPr>
      </w:pPr>
      <w:r>
        <w:rPr>
          <w:rFonts w:cs="Times New Roman"/>
          <w:color w:val="FF0000"/>
        </w:rPr>
        <w:t>表3.</w:t>
      </w:r>
      <w:r>
        <w:rPr>
          <w:rFonts w:hint="eastAsia" w:cs="Times New Roman"/>
          <w:color w:val="FF0000"/>
        </w:rPr>
        <w:t>10</w:t>
      </w:r>
      <w:r>
        <w:rPr>
          <w:rFonts w:cs="Times New Roman"/>
          <w:color w:val="FF0000"/>
        </w:rPr>
        <w:t xml:space="preserve">-1  </w:t>
      </w:r>
      <w:r>
        <w:rPr>
          <w:rFonts w:hint="eastAsia" w:cs="Times New Roman"/>
          <w:color w:val="FF0000"/>
        </w:rPr>
        <w:t>项目技术经济指标</w:t>
      </w:r>
      <w:r>
        <w:rPr>
          <w:rFonts w:cs="Times New Roman"/>
          <w:color w:val="FF0000"/>
        </w:rPr>
        <w:t>表</w:t>
      </w:r>
    </w:p>
    <w:tbl>
      <w:tblPr>
        <w:tblStyle w:val="57"/>
        <w:tblW w:w="534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07"/>
        <w:gridCol w:w="2409"/>
        <w:gridCol w:w="2835"/>
        <w:gridCol w:w="1142"/>
        <w:gridCol w:w="12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731" w:type="pct"/>
            <w:vAlign w:val="center"/>
          </w:tcPr>
          <w:p>
            <w:pPr>
              <w:snapToGrid w:val="0"/>
              <w:spacing w:line="240" w:lineRule="auto"/>
              <w:ind w:firstLine="0" w:firstLineChars="0"/>
              <w:jc w:val="center"/>
              <w:rPr>
                <w:rFonts w:ascii="Times New Roman" w:cs="Times New Roman"/>
                <w:b/>
                <w:bCs/>
                <w:color w:val="FF0000"/>
                <w:sz w:val="21"/>
                <w:szCs w:val="21"/>
              </w:rPr>
            </w:pPr>
            <w:r>
              <w:rPr>
                <w:rFonts w:ascii="Times New Roman" w:cs="Times New Roman"/>
                <w:b/>
                <w:bCs/>
                <w:color w:val="FF0000"/>
                <w:sz w:val="21"/>
                <w:szCs w:val="21"/>
              </w:rPr>
              <w:t>序号</w:t>
            </w:r>
          </w:p>
        </w:tc>
        <w:tc>
          <w:tcPr>
            <w:tcW w:w="1348" w:type="pct"/>
            <w:vAlign w:val="center"/>
          </w:tcPr>
          <w:p>
            <w:pPr>
              <w:snapToGrid w:val="0"/>
              <w:spacing w:line="240" w:lineRule="auto"/>
              <w:ind w:firstLine="0" w:firstLineChars="0"/>
              <w:jc w:val="center"/>
              <w:rPr>
                <w:rFonts w:ascii="Times New Roman" w:cs="Times New Roman"/>
                <w:b/>
                <w:bCs/>
                <w:color w:val="FF0000"/>
                <w:sz w:val="21"/>
                <w:szCs w:val="21"/>
              </w:rPr>
            </w:pPr>
            <w:r>
              <w:rPr>
                <w:rFonts w:hint="eastAsia" w:ascii="Times New Roman" w:cs="Times New Roman"/>
                <w:b/>
                <w:bCs/>
                <w:color w:val="FF0000"/>
                <w:sz w:val="21"/>
                <w:szCs w:val="21"/>
              </w:rPr>
              <w:t>类别</w:t>
            </w:r>
          </w:p>
        </w:tc>
        <w:tc>
          <w:tcPr>
            <w:tcW w:w="1586" w:type="pct"/>
            <w:vAlign w:val="center"/>
          </w:tcPr>
          <w:p>
            <w:pPr>
              <w:snapToGrid w:val="0"/>
              <w:spacing w:line="240" w:lineRule="auto"/>
              <w:ind w:firstLine="0" w:firstLineChars="0"/>
              <w:jc w:val="center"/>
              <w:rPr>
                <w:rFonts w:ascii="Times New Roman" w:cs="Times New Roman"/>
                <w:b/>
                <w:bCs/>
                <w:color w:val="FF0000"/>
                <w:sz w:val="21"/>
                <w:szCs w:val="21"/>
              </w:rPr>
            </w:pPr>
            <w:r>
              <w:rPr>
                <w:rFonts w:hint="eastAsia" w:ascii="Times New Roman" w:cs="Times New Roman"/>
                <w:b/>
                <w:bCs/>
                <w:color w:val="FF0000"/>
                <w:sz w:val="21"/>
                <w:szCs w:val="21"/>
              </w:rPr>
              <w:t>数量</w:t>
            </w:r>
          </w:p>
        </w:tc>
        <w:tc>
          <w:tcPr>
            <w:tcW w:w="639" w:type="pct"/>
            <w:vAlign w:val="center"/>
          </w:tcPr>
          <w:p>
            <w:pPr>
              <w:snapToGrid w:val="0"/>
              <w:spacing w:line="240" w:lineRule="auto"/>
              <w:ind w:firstLine="0" w:firstLineChars="0"/>
              <w:jc w:val="center"/>
              <w:rPr>
                <w:rFonts w:ascii="Times New Roman" w:cs="Times New Roman"/>
                <w:b/>
                <w:bCs/>
                <w:color w:val="FF0000"/>
                <w:sz w:val="21"/>
                <w:szCs w:val="21"/>
              </w:rPr>
            </w:pPr>
            <w:r>
              <w:rPr>
                <w:rFonts w:ascii="Times New Roman" w:cs="Times New Roman"/>
                <w:b/>
                <w:bCs/>
                <w:color w:val="FF0000"/>
                <w:sz w:val="21"/>
                <w:szCs w:val="21"/>
              </w:rPr>
              <w:t>单位</w:t>
            </w:r>
          </w:p>
        </w:tc>
        <w:tc>
          <w:tcPr>
            <w:tcW w:w="696" w:type="pct"/>
            <w:vAlign w:val="center"/>
          </w:tcPr>
          <w:p>
            <w:pPr>
              <w:snapToGrid w:val="0"/>
              <w:spacing w:line="240" w:lineRule="auto"/>
              <w:ind w:firstLine="0" w:firstLineChars="0"/>
              <w:jc w:val="center"/>
              <w:rPr>
                <w:rFonts w:ascii="Times New Roman" w:cs="Times New Roman"/>
                <w:b/>
                <w:bCs/>
                <w:color w:val="FF0000"/>
                <w:sz w:val="21"/>
                <w:szCs w:val="21"/>
              </w:rPr>
            </w:pPr>
            <w:r>
              <w:rPr>
                <w:rFonts w:hint="eastAsia" w:ascii="Times New Roman" w:cs="Times New Roman"/>
                <w:b/>
                <w:bCs/>
                <w:color w:val="FF000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731" w:type="pct"/>
            <w:vAlign w:val="center"/>
          </w:tcPr>
          <w:p>
            <w:pPr>
              <w:spacing w:line="240" w:lineRule="auto"/>
              <w:ind w:firstLine="0" w:firstLineChars="0"/>
              <w:jc w:val="center"/>
              <w:rPr>
                <w:rFonts w:ascii="Times New Roman" w:cs="Times New Roman"/>
                <w:color w:val="FF0000"/>
                <w:sz w:val="21"/>
                <w:szCs w:val="21"/>
              </w:rPr>
            </w:pPr>
            <w:r>
              <w:rPr>
                <w:rFonts w:hint="eastAsia" w:ascii="Times New Roman" w:cs="Times New Roman"/>
                <w:color w:val="FF0000"/>
                <w:sz w:val="21"/>
                <w:szCs w:val="21"/>
              </w:rPr>
              <w:t>1</w:t>
            </w:r>
          </w:p>
        </w:tc>
        <w:tc>
          <w:tcPr>
            <w:tcW w:w="1348" w:type="pct"/>
            <w:vAlign w:val="center"/>
          </w:tcPr>
          <w:p>
            <w:pPr>
              <w:spacing w:line="240" w:lineRule="auto"/>
              <w:ind w:firstLine="0" w:firstLineChars="0"/>
              <w:jc w:val="center"/>
              <w:rPr>
                <w:rFonts w:ascii="Times New Roman" w:cs="Times New Roman"/>
                <w:color w:val="FF0000"/>
                <w:sz w:val="21"/>
                <w:szCs w:val="21"/>
              </w:rPr>
            </w:pPr>
            <w:r>
              <w:rPr>
                <w:rFonts w:hint="eastAsia" w:ascii="Times New Roman" w:cs="Times New Roman"/>
                <w:bCs/>
                <w:color w:val="FF0000"/>
                <w:sz w:val="21"/>
                <w:szCs w:val="21"/>
              </w:rPr>
              <w:t>项目总投资</w:t>
            </w:r>
          </w:p>
        </w:tc>
        <w:tc>
          <w:tcPr>
            <w:tcW w:w="1586" w:type="pct"/>
            <w:vAlign w:val="center"/>
          </w:tcPr>
          <w:p>
            <w:pPr>
              <w:spacing w:before="240"/>
              <w:ind w:firstLine="0" w:firstLineChars="0"/>
              <w:jc w:val="center"/>
              <w:rPr>
                <w:rFonts w:ascii="Times New Roman" w:cs="Times New Roman"/>
                <w:color w:val="FF0000"/>
                <w:sz w:val="21"/>
                <w:szCs w:val="21"/>
              </w:rPr>
            </w:pPr>
            <w:r>
              <w:rPr>
                <w:rFonts w:hint="eastAsia" w:ascii="Times New Roman" w:cs="Times New Roman"/>
                <w:color w:val="FF0000"/>
                <w:sz w:val="21"/>
                <w:szCs w:val="21"/>
              </w:rPr>
              <w:t>7765</w:t>
            </w:r>
          </w:p>
        </w:tc>
        <w:tc>
          <w:tcPr>
            <w:tcW w:w="639" w:type="pct"/>
            <w:vAlign w:val="center"/>
          </w:tcPr>
          <w:p>
            <w:pPr>
              <w:spacing w:line="240" w:lineRule="auto"/>
              <w:ind w:firstLine="0" w:firstLineChars="0"/>
              <w:jc w:val="center"/>
              <w:rPr>
                <w:rFonts w:ascii="Times New Roman" w:cs="Times New Roman"/>
                <w:color w:val="FF0000"/>
                <w:sz w:val="21"/>
                <w:szCs w:val="21"/>
              </w:rPr>
            </w:pPr>
            <w:r>
              <w:rPr>
                <w:rFonts w:hint="eastAsia" w:ascii="Times New Roman" w:cs="Times New Roman"/>
                <w:color w:val="FF0000"/>
                <w:sz w:val="21"/>
                <w:szCs w:val="21"/>
              </w:rPr>
              <w:t>万元</w:t>
            </w:r>
          </w:p>
        </w:tc>
        <w:tc>
          <w:tcPr>
            <w:tcW w:w="696" w:type="pct"/>
            <w:vAlign w:val="center"/>
          </w:tcPr>
          <w:p>
            <w:pPr>
              <w:spacing w:line="240" w:lineRule="auto"/>
              <w:ind w:firstLine="0" w:firstLineChars="0"/>
              <w:jc w:val="center"/>
              <w:rPr>
                <w:rFonts w:ascii="Times New Roman"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731" w:type="pct"/>
            <w:vAlign w:val="center"/>
          </w:tcPr>
          <w:p>
            <w:pPr>
              <w:spacing w:line="240" w:lineRule="auto"/>
              <w:ind w:firstLine="0" w:firstLineChars="0"/>
              <w:jc w:val="center"/>
              <w:rPr>
                <w:rFonts w:ascii="Times New Roman" w:cs="Times New Roman"/>
                <w:color w:val="FF0000"/>
                <w:sz w:val="21"/>
                <w:szCs w:val="21"/>
              </w:rPr>
            </w:pPr>
            <w:r>
              <w:rPr>
                <w:rFonts w:hint="eastAsia" w:ascii="Times New Roman" w:cs="Times New Roman"/>
                <w:color w:val="FF0000"/>
                <w:sz w:val="21"/>
                <w:szCs w:val="21"/>
              </w:rPr>
              <w:t>2</w:t>
            </w:r>
          </w:p>
        </w:tc>
        <w:tc>
          <w:tcPr>
            <w:tcW w:w="1348" w:type="pct"/>
            <w:vAlign w:val="center"/>
          </w:tcPr>
          <w:p>
            <w:pPr>
              <w:spacing w:line="240" w:lineRule="auto"/>
              <w:ind w:firstLine="0" w:firstLineChars="0"/>
              <w:jc w:val="center"/>
              <w:rPr>
                <w:rFonts w:ascii="Times New Roman" w:cs="Times New Roman"/>
                <w:color w:val="FF0000"/>
                <w:sz w:val="21"/>
                <w:szCs w:val="21"/>
              </w:rPr>
            </w:pPr>
            <w:r>
              <w:rPr>
                <w:rFonts w:ascii="Times New Roman" w:cs="Times New Roman"/>
                <w:color w:val="FF0000"/>
                <w:sz w:val="21"/>
                <w:szCs w:val="21"/>
              </w:rPr>
              <w:t>占地面积</w:t>
            </w:r>
          </w:p>
        </w:tc>
        <w:tc>
          <w:tcPr>
            <w:tcW w:w="1586" w:type="pct"/>
            <w:vAlign w:val="center"/>
          </w:tcPr>
          <w:p>
            <w:pPr>
              <w:spacing w:line="240" w:lineRule="auto"/>
              <w:ind w:firstLine="0" w:firstLineChars="0"/>
              <w:jc w:val="center"/>
              <w:rPr>
                <w:rFonts w:ascii="Times New Roman" w:cs="Times New Roman"/>
                <w:color w:val="FF0000"/>
                <w:sz w:val="21"/>
                <w:szCs w:val="21"/>
              </w:rPr>
            </w:pPr>
            <w:r>
              <w:rPr>
                <w:rFonts w:hint="eastAsia" w:ascii="Times New Roman" w:cs="Times New Roman"/>
                <w:color w:val="FF0000"/>
                <w:sz w:val="21"/>
                <w:szCs w:val="21"/>
              </w:rPr>
              <w:t>12820</w:t>
            </w:r>
          </w:p>
        </w:tc>
        <w:tc>
          <w:tcPr>
            <w:tcW w:w="639" w:type="pct"/>
            <w:vAlign w:val="center"/>
          </w:tcPr>
          <w:p>
            <w:pPr>
              <w:spacing w:line="240" w:lineRule="auto"/>
              <w:ind w:firstLine="0" w:firstLineChars="0"/>
              <w:jc w:val="center"/>
              <w:rPr>
                <w:rFonts w:ascii="Times New Roman" w:cs="Times New Roman"/>
                <w:color w:val="FF0000"/>
                <w:sz w:val="21"/>
                <w:szCs w:val="21"/>
              </w:rPr>
            </w:pPr>
            <w:r>
              <w:rPr>
                <w:rFonts w:hint="eastAsia" w:ascii="Times New Roman" w:cs="Times New Roman"/>
                <w:bCs/>
                <w:color w:val="FF0000"/>
                <w:sz w:val="21"/>
                <w:szCs w:val="21"/>
              </w:rPr>
              <w:t>m</w:t>
            </w:r>
            <w:r>
              <w:rPr>
                <w:rFonts w:hint="eastAsia" w:ascii="Times New Roman" w:cs="Times New Roman"/>
                <w:bCs/>
                <w:color w:val="FF0000"/>
                <w:sz w:val="21"/>
                <w:szCs w:val="21"/>
                <w:vertAlign w:val="superscript"/>
              </w:rPr>
              <w:t>2</w:t>
            </w:r>
          </w:p>
        </w:tc>
        <w:tc>
          <w:tcPr>
            <w:tcW w:w="696" w:type="pct"/>
            <w:vAlign w:val="center"/>
          </w:tcPr>
          <w:p>
            <w:pPr>
              <w:spacing w:line="240" w:lineRule="auto"/>
              <w:ind w:firstLine="0" w:firstLineChars="0"/>
              <w:jc w:val="center"/>
              <w:rPr>
                <w:rFonts w:ascii="Times New Roman"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731" w:type="pct"/>
            <w:vAlign w:val="center"/>
          </w:tcPr>
          <w:p>
            <w:pPr>
              <w:spacing w:line="240" w:lineRule="auto"/>
              <w:ind w:firstLine="0" w:firstLineChars="0"/>
              <w:jc w:val="center"/>
              <w:rPr>
                <w:rFonts w:ascii="Times New Roman" w:cs="Times New Roman"/>
                <w:color w:val="FF0000"/>
                <w:sz w:val="21"/>
                <w:szCs w:val="21"/>
              </w:rPr>
            </w:pPr>
            <w:r>
              <w:rPr>
                <w:rFonts w:hint="eastAsia" w:ascii="Times New Roman" w:cs="Times New Roman"/>
                <w:color w:val="FF0000"/>
                <w:sz w:val="21"/>
                <w:szCs w:val="21"/>
              </w:rPr>
              <w:t>3</w:t>
            </w:r>
          </w:p>
        </w:tc>
        <w:tc>
          <w:tcPr>
            <w:tcW w:w="1348" w:type="pct"/>
            <w:vAlign w:val="center"/>
          </w:tcPr>
          <w:p>
            <w:pPr>
              <w:spacing w:line="240" w:lineRule="auto"/>
              <w:ind w:firstLine="0" w:firstLineChars="0"/>
              <w:jc w:val="center"/>
              <w:rPr>
                <w:rFonts w:ascii="Times New Roman" w:cs="Times New Roman"/>
                <w:color w:val="FF0000"/>
                <w:sz w:val="21"/>
                <w:szCs w:val="21"/>
              </w:rPr>
            </w:pPr>
            <w:r>
              <w:rPr>
                <w:rFonts w:ascii="Times New Roman" w:cs="Times New Roman"/>
                <w:color w:val="FF0000"/>
                <w:sz w:val="21"/>
                <w:szCs w:val="21"/>
              </w:rPr>
              <w:t>其中</w:t>
            </w:r>
            <w:r>
              <w:rPr>
                <w:rFonts w:hint="eastAsia" w:ascii="Times New Roman" w:cs="Times New Roman"/>
                <w:color w:val="FF0000"/>
                <w:sz w:val="21"/>
                <w:szCs w:val="21"/>
              </w:rPr>
              <w:t>：</w:t>
            </w:r>
            <w:r>
              <w:rPr>
                <w:rFonts w:ascii="Times New Roman" w:cs="Times New Roman"/>
                <w:color w:val="FF0000"/>
                <w:sz w:val="21"/>
                <w:szCs w:val="21"/>
              </w:rPr>
              <w:t>永久占地</w:t>
            </w:r>
          </w:p>
        </w:tc>
        <w:tc>
          <w:tcPr>
            <w:tcW w:w="1586" w:type="pct"/>
            <w:vAlign w:val="center"/>
          </w:tcPr>
          <w:p>
            <w:pPr>
              <w:spacing w:line="240" w:lineRule="auto"/>
              <w:ind w:firstLine="0" w:firstLineChars="0"/>
              <w:jc w:val="center"/>
              <w:rPr>
                <w:rFonts w:ascii="Times New Roman" w:cs="Times New Roman"/>
                <w:color w:val="FF0000"/>
                <w:sz w:val="21"/>
                <w:szCs w:val="21"/>
              </w:rPr>
            </w:pPr>
            <w:r>
              <w:rPr>
                <w:rFonts w:hint="eastAsia" w:ascii="Times New Roman" w:cs="Times New Roman"/>
                <w:color w:val="FF0000"/>
                <w:sz w:val="21"/>
                <w:szCs w:val="21"/>
              </w:rPr>
              <w:t>8720</w:t>
            </w:r>
          </w:p>
        </w:tc>
        <w:tc>
          <w:tcPr>
            <w:tcW w:w="639" w:type="pct"/>
            <w:vAlign w:val="center"/>
          </w:tcPr>
          <w:p>
            <w:pPr>
              <w:spacing w:line="240" w:lineRule="auto"/>
              <w:ind w:firstLine="0" w:firstLineChars="0"/>
              <w:jc w:val="center"/>
              <w:rPr>
                <w:rFonts w:ascii="Times New Roman" w:cs="Times New Roman"/>
                <w:bCs/>
                <w:color w:val="FF0000"/>
                <w:sz w:val="21"/>
                <w:szCs w:val="21"/>
              </w:rPr>
            </w:pPr>
            <w:r>
              <w:rPr>
                <w:rFonts w:hint="eastAsia" w:ascii="Times New Roman" w:cs="Times New Roman"/>
                <w:bCs/>
                <w:color w:val="FF0000"/>
                <w:sz w:val="21"/>
                <w:szCs w:val="21"/>
              </w:rPr>
              <w:t>m</w:t>
            </w:r>
            <w:r>
              <w:rPr>
                <w:rFonts w:hint="eastAsia" w:ascii="Times New Roman" w:cs="Times New Roman"/>
                <w:bCs/>
                <w:color w:val="FF0000"/>
                <w:sz w:val="21"/>
                <w:szCs w:val="21"/>
                <w:vertAlign w:val="superscript"/>
              </w:rPr>
              <w:t>2</w:t>
            </w:r>
          </w:p>
        </w:tc>
        <w:tc>
          <w:tcPr>
            <w:tcW w:w="696" w:type="pct"/>
            <w:vAlign w:val="center"/>
          </w:tcPr>
          <w:p>
            <w:pPr>
              <w:spacing w:line="240" w:lineRule="auto"/>
              <w:ind w:firstLine="0" w:firstLineChars="0"/>
              <w:jc w:val="center"/>
              <w:rPr>
                <w:rFonts w:ascii="Times New Roman"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731" w:type="pct"/>
            <w:vAlign w:val="center"/>
          </w:tcPr>
          <w:p>
            <w:pPr>
              <w:spacing w:line="240" w:lineRule="auto"/>
              <w:ind w:firstLine="0" w:firstLineChars="0"/>
              <w:jc w:val="center"/>
              <w:rPr>
                <w:rFonts w:ascii="Times New Roman" w:cs="Times New Roman"/>
                <w:color w:val="FF0000"/>
                <w:sz w:val="21"/>
                <w:szCs w:val="21"/>
              </w:rPr>
            </w:pPr>
            <w:r>
              <w:rPr>
                <w:rFonts w:hint="eastAsia" w:ascii="Times New Roman" w:cs="Times New Roman"/>
                <w:color w:val="FF0000"/>
                <w:sz w:val="21"/>
                <w:szCs w:val="21"/>
              </w:rPr>
              <w:t>4</w:t>
            </w:r>
          </w:p>
        </w:tc>
        <w:tc>
          <w:tcPr>
            <w:tcW w:w="1348" w:type="pct"/>
            <w:vAlign w:val="center"/>
          </w:tcPr>
          <w:p>
            <w:pPr>
              <w:spacing w:line="240" w:lineRule="auto"/>
              <w:ind w:firstLine="0" w:firstLineChars="0"/>
              <w:jc w:val="center"/>
              <w:rPr>
                <w:rFonts w:ascii="Times New Roman" w:cs="Times New Roman"/>
                <w:color w:val="FF0000"/>
                <w:sz w:val="21"/>
                <w:szCs w:val="21"/>
              </w:rPr>
            </w:pPr>
            <w:r>
              <w:rPr>
                <w:rFonts w:ascii="Times New Roman" w:cs="Times New Roman"/>
                <w:color w:val="FF0000"/>
                <w:sz w:val="21"/>
                <w:szCs w:val="21"/>
              </w:rPr>
              <w:t>其中</w:t>
            </w:r>
            <w:r>
              <w:rPr>
                <w:rFonts w:hint="eastAsia" w:ascii="Times New Roman" w:cs="Times New Roman"/>
                <w:color w:val="FF0000"/>
                <w:sz w:val="21"/>
                <w:szCs w:val="21"/>
              </w:rPr>
              <w:t>：</w:t>
            </w:r>
            <w:r>
              <w:rPr>
                <w:rFonts w:ascii="Times New Roman" w:cs="Times New Roman"/>
                <w:color w:val="FF0000"/>
                <w:sz w:val="21"/>
                <w:szCs w:val="21"/>
              </w:rPr>
              <w:t>临时占地</w:t>
            </w:r>
          </w:p>
        </w:tc>
        <w:tc>
          <w:tcPr>
            <w:tcW w:w="1586" w:type="pct"/>
            <w:vAlign w:val="center"/>
          </w:tcPr>
          <w:p>
            <w:pPr>
              <w:spacing w:line="240" w:lineRule="auto"/>
              <w:ind w:firstLine="0" w:firstLineChars="0"/>
              <w:jc w:val="center"/>
              <w:rPr>
                <w:rFonts w:ascii="Times New Roman" w:cs="Times New Roman"/>
                <w:color w:val="FF0000"/>
                <w:sz w:val="21"/>
                <w:szCs w:val="21"/>
              </w:rPr>
            </w:pPr>
            <w:r>
              <w:rPr>
                <w:rFonts w:hint="eastAsia" w:ascii="Times New Roman" w:cs="Times New Roman"/>
                <w:color w:val="FF0000"/>
                <w:sz w:val="21"/>
                <w:szCs w:val="21"/>
              </w:rPr>
              <w:t>410</w:t>
            </w:r>
            <w:r>
              <w:rPr>
                <w:rFonts w:ascii="Times New Roman" w:cs="Times New Roman"/>
                <w:color w:val="FF0000"/>
                <w:sz w:val="21"/>
                <w:szCs w:val="21"/>
              </w:rPr>
              <w:t>0</w:t>
            </w:r>
          </w:p>
        </w:tc>
        <w:tc>
          <w:tcPr>
            <w:tcW w:w="639" w:type="pct"/>
            <w:vAlign w:val="center"/>
          </w:tcPr>
          <w:p>
            <w:pPr>
              <w:spacing w:line="240" w:lineRule="auto"/>
              <w:ind w:firstLine="0" w:firstLineChars="0"/>
              <w:jc w:val="center"/>
              <w:rPr>
                <w:rFonts w:ascii="Times New Roman" w:cs="Times New Roman"/>
                <w:bCs/>
                <w:color w:val="FF0000"/>
                <w:sz w:val="21"/>
                <w:szCs w:val="21"/>
              </w:rPr>
            </w:pPr>
            <w:r>
              <w:rPr>
                <w:rFonts w:hint="eastAsia" w:ascii="Times New Roman" w:cs="Times New Roman"/>
                <w:bCs/>
                <w:color w:val="FF0000"/>
                <w:sz w:val="21"/>
                <w:szCs w:val="21"/>
              </w:rPr>
              <w:t>m</w:t>
            </w:r>
            <w:r>
              <w:rPr>
                <w:rFonts w:hint="eastAsia" w:ascii="Times New Roman" w:cs="Times New Roman"/>
                <w:bCs/>
                <w:color w:val="FF0000"/>
                <w:sz w:val="21"/>
                <w:szCs w:val="21"/>
                <w:vertAlign w:val="superscript"/>
              </w:rPr>
              <w:t>2</w:t>
            </w:r>
          </w:p>
        </w:tc>
        <w:tc>
          <w:tcPr>
            <w:tcW w:w="696" w:type="pct"/>
            <w:vAlign w:val="center"/>
          </w:tcPr>
          <w:p>
            <w:pPr>
              <w:spacing w:line="240" w:lineRule="auto"/>
              <w:ind w:firstLine="0" w:firstLineChars="0"/>
              <w:jc w:val="center"/>
              <w:rPr>
                <w:rFonts w:ascii="Times New Roman"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731" w:type="pct"/>
            <w:vAlign w:val="center"/>
          </w:tcPr>
          <w:p>
            <w:pPr>
              <w:spacing w:line="240" w:lineRule="auto"/>
              <w:ind w:firstLine="0" w:firstLineChars="0"/>
              <w:jc w:val="center"/>
              <w:rPr>
                <w:rFonts w:ascii="Times New Roman" w:cs="Times New Roman"/>
                <w:color w:val="FF0000"/>
                <w:sz w:val="21"/>
                <w:szCs w:val="21"/>
              </w:rPr>
            </w:pPr>
            <w:r>
              <w:rPr>
                <w:rFonts w:hint="eastAsia" w:ascii="Times New Roman" w:cs="Times New Roman"/>
                <w:color w:val="FF0000"/>
                <w:sz w:val="21"/>
                <w:szCs w:val="21"/>
              </w:rPr>
              <w:t>5</w:t>
            </w:r>
          </w:p>
        </w:tc>
        <w:tc>
          <w:tcPr>
            <w:tcW w:w="1348" w:type="pct"/>
            <w:vAlign w:val="center"/>
          </w:tcPr>
          <w:p>
            <w:pPr>
              <w:spacing w:line="240" w:lineRule="auto"/>
              <w:ind w:firstLine="0" w:firstLineChars="0"/>
              <w:jc w:val="center"/>
              <w:rPr>
                <w:rFonts w:ascii="Times New Roman" w:cs="Times New Roman"/>
                <w:color w:val="FF0000"/>
                <w:sz w:val="21"/>
                <w:szCs w:val="21"/>
              </w:rPr>
            </w:pPr>
            <w:r>
              <w:rPr>
                <w:rFonts w:ascii="Times New Roman" w:cs="Times New Roman"/>
                <w:color w:val="FF0000"/>
                <w:sz w:val="21"/>
                <w:szCs w:val="21"/>
              </w:rPr>
              <w:t>建设周期</w:t>
            </w:r>
          </w:p>
        </w:tc>
        <w:tc>
          <w:tcPr>
            <w:tcW w:w="1586" w:type="pct"/>
            <w:vAlign w:val="center"/>
          </w:tcPr>
          <w:p>
            <w:pPr>
              <w:spacing w:line="240" w:lineRule="auto"/>
              <w:ind w:firstLine="0" w:firstLineChars="0"/>
              <w:jc w:val="center"/>
              <w:rPr>
                <w:rFonts w:ascii="Times New Roman" w:cs="Times New Roman"/>
                <w:color w:val="FF0000"/>
                <w:sz w:val="21"/>
                <w:szCs w:val="21"/>
              </w:rPr>
            </w:pPr>
            <w:r>
              <w:rPr>
                <w:rFonts w:hint="eastAsia" w:ascii="Times New Roman" w:cs="Times New Roman"/>
                <w:color w:val="FF0000"/>
                <w:sz w:val="21"/>
                <w:szCs w:val="21"/>
              </w:rPr>
              <w:t>215</w:t>
            </w:r>
          </w:p>
        </w:tc>
        <w:tc>
          <w:tcPr>
            <w:tcW w:w="639" w:type="pct"/>
            <w:vAlign w:val="center"/>
          </w:tcPr>
          <w:p>
            <w:pPr>
              <w:spacing w:line="240" w:lineRule="auto"/>
              <w:ind w:firstLine="0" w:firstLineChars="0"/>
              <w:jc w:val="center"/>
              <w:rPr>
                <w:rFonts w:ascii="Times New Roman" w:cs="Times New Roman"/>
                <w:bCs/>
                <w:color w:val="FF0000"/>
                <w:sz w:val="21"/>
                <w:szCs w:val="21"/>
              </w:rPr>
            </w:pPr>
            <w:r>
              <w:rPr>
                <w:rFonts w:hint="eastAsia" w:ascii="Times New Roman" w:cs="Times New Roman"/>
                <w:bCs/>
                <w:color w:val="FF0000"/>
                <w:sz w:val="21"/>
                <w:szCs w:val="21"/>
              </w:rPr>
              <w:t>天</w:t>
            </w:r>
          </w:p>
        </w:tc>
        <w:tc>
          <w:tcPr>
            <w:tcW w:w="696" w:type="pct"/>
            <w:vAlign w:val="center"/>
          </w:tcPr>
          <w:p>
            <w:pPr>
              <w:spacing w:line="240" w:lineRule="auto"/>
              <w:ind w:firstLine="0" w:firstLineChars="0"/>
              <w:jc w:val="center"/>
              <w:rPr>
                <w:rFonts w:ascii="Times New Roman"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731" w:type="pct"/>
            <w:vAlign w:val="center"/>
          </w:tcPr>
          <w:p>
            <w:pPr>
              <w:spacing w:line="240" w:lineRule="auto"/>
              <w:ind w:firstLine="0" w:firstLineChars="0"/>
              <w:jc w:val="center"/>
              <w:rPr>
                <w:rFonts w:ascii="Times New Roman" w:cs="Times New Roman"/>
                <w:color w:val="FF0000"/>
                <w:sz w:val="21"/>
                <w:szCs w:val="21"/>
              </w:rPr>
            </w:pPr>
            <w:r>
              <w:rPr>
                <w:rFonts w:hint="eastAsia" w:ascii="Times New Roman" w:cs="Times New Roman"/>
                <w:color w:val="FF0000"/>
                <w:sz w:val="21"/>
                <w:szCs w:val="21"/>
              </w:rPr>
              <w:t>6</w:t>
            </w:r>
          </w:p>
        </w:tc>
        <w:tc>
          <w:tcPr>
            <w:tcW w:w="1348" w:type="pct"/>
            <w:vAlign w:val="center"/>
          </w:tcPr>
          <w:p>
            <w:pPr>
              <w:spacing w:line="240" w:lineRule="auto"/>
              <w:ind w:firstLine="0" w:firstLineChars="0"/>
              <w:jc w:val="center"/>
              <w:rPr>
                <w:rFonts w:ascii="Times New Roman" w:cs="Times New Roman"/>
                <w:color w:val="FF0000"/>
                <w:sz w:val="21"/>
                <w:szCs w:val="21"/>
              </w:rPr>
            </w:pPr>
            <w:r>
              <w:rPr>
                <w:rFonts w:ascii="Times New Roman" w:cs="Times New Roman"/>
                <w:color w:val="FF0000"/>
                <w:sz w:val="21"/>
                <w:szCs w:val="21"/>
              </w:rPr>
              <w:t>劳动定员</w:t>
            </w:r>
          </w:p>
        </w:tc>
        <w:tc>
          <w:tcPr>
            <w:tcW w:w="1586" w:type="pct"/>
            <w:vAlign w:val="center"/>
          </w:tcPr>
          <w:p>
            <w:pPr>
              <w:spacing w:line="240" w:lineRule="auto"/>
              <w:ind w:firstLine="0" w:firstLineChars="0"/>
              <w:jc w:val="center"/>
              <w:rPr>
                <w:rFonts w:ascii="Times New Roman" w:cs="Times New Roman"/>
                <w:color w:val="FF0000"/>
                <w:sz w:val="21"/>
                <w:szCs w:val="21"/>
              </w:rPr>
            </w:pPr>
            <w:r>
              <w:rPr>
                <w:rFonts w:hint="eastAsia" w:ascii="Times New Roman" w:cs="Times New Roman"/>
                <w:color w:val="FF0000"/>
                <w:sz w:val="21"/>
                <w:szCs w:val="21"/>
              </w:rPr>
              <w:t>4</w:t>
            </w:r>
          </w:p>
        </w:tc>
        <w:tc>
          <w:tcPr>
            <w:tcW w:w="639" w:type="pct"/>
            <w:vAlign w:val="center"/>
          </w:tcPr>
          <w:p>
            <w:pPr>
              <w:spacing w:line="240" w:lineRule="auto"/>
              <w:ind w:firstLine="0" w:firstLineChars="0"/>
              <w:jc w:val="center"/>
              <w:rPr>
                <w:rFonts w:ascii="Times New Roman" w:cs="Times New Roman"/>
                <w:bCs/>
                <w:color w:val="FF0000"/>
                <w:sz w:val="21"/>
                <w:szCs w:val="21"/>
              </w:rPr>
            </w:pPr>
            <w:r>
              <w:rPr>
                <w:rFonts w:hint="eastAsia" w:ascii="Times New Roman" w:cs="Times New Roman"/>
                <w:color w:val="FF0000"/>
                <w:sz w:val="21"/>
                <w:szCs w:val="21"/>
              </w:rPr>
              <w:t>人</w:t>
            </w:r>
          </w:p>
        </w:tc>
        <w:tc>
          <w:tcPr>
            <w:tcW w:w="696" w:type="pct"/>
            <w:vAlign w:val="center"/>
          </w:tcPr>
          <w:p>
            <w:pPr>
              <w:spacing w:line="240" w:lineRule="auto"/>
              <w:ind w:firstLine="0" w:firstLineChars="0"/>
              <w:jc w:val="center"/>
              <w:rPr>
                <w:rFonts w:ascii="Times New Roman" w:cs="Times New Roman"/>
                <w:color w:val="FF0000"/>
                <w:sz w:val="21"/>
                <w:szCs w:val="21"/>
              </w:rPr>
            </w:pPr>
          </w:p>
        </w:tc>
      </w:tr>
    </w:tbl>
    <w:p>
      <w:pPr>
        <w:pStyle w:val="112"/>
        <w:ind w:firstLine="480"/>
        <w:sectPr>
          <w:pgSz w:w="11910" w:h="16840"/>
          <w:pgMar w:top="1440" w:right="1800" w:bottom="1440" w:left="1800" w:header="885" w:footer="1097" w:gutter="0"/>
          <w:pgNumType w:chapStyle="2"/>
          <w:cols w:space="720" w:num="1"/>
          <w:docGrid w:linePitch="326" w:charSpace="0"/>
        </w:sectPr>
      </w:pPr>
    </w:p>
    <w:p>
      <w:pPr>
        <w:pStyle w:val="2"/>
        <w:spacing w:before="0" w:beforeAutospacing="0" w:after="0" w:afterAutospacing="0"/>
        <w:rPr>
          <w:rFonts w:eastAsia="宋体"/>
        </w:rPr>
      </w:pPr>
      <w:bookmarkStart w:id="246" w:name="bookmark22"/>
      <w:bookmarkEnd w:id="246"/>
      <w:bookmarkStart w:id="247" w:name="_Toc19815984"/>
      <w:bookmarkStart w:id="248" w:name="_Toc81515274"/>
      <w:bookmarkStart w:id="249" w:name="_Toc12288470"/>
      <w:r>
        <w:rPr>
          <w:rFonts w:eastAsia="宋体"/>
        </w:rPr>
        <w:t>4 工程分析</w:t>
      </w:r>
      <w:bookmarkEnd w:id="247"/>
      <w:bookmarkEnd w:id="248"/>
      <w:bookmarkEnd w:id="249"/>
    </w:p>
    <w:p>
      <w:pPr>
        <w:pStyle w:val="112"/>
        <w:ind w:firstLine="480"/>
      </w:pPr>
      <w:bookmarkStart w:id="250" w:name="bookmark23"/>
      <w:bookmarkEnd w:id="250"/>
      <w:r>
        <w:t>该项目对环境的影响分为施工期和运营期两个阶段。根据</w:t>
      </w:r>
      <w:bookmarkStart w:id="251" w:name="OLE_LINK141"/>
      <w:bookmarkStart w:id="252" w:name="OLE_LINK142"/>
      <w:r>
        <w:rPr>
          <w:rFonts w:hint="eastAsia"/>
        </w:rPr>
        <w:t>钻井工程</w:t>
      </w:r>
      <w:bookmarkEnd w:id="251"/>
      <w:bookmarkEnd w:id="252"/>
      <w:r>
        <w:rPr>
          <w:rFonts w:hint="eastAsia"/>
        </w:rPr>
        <w:t>和</w:t>
      </w:r>
      <w:bookmarkStart w:id="253" w:name="OLE_LINK143"/>
      <w:bookmarkStart w:id="254" w:name="OLE_LINK144"/>
      <w:r>
        <w:t>集输工程</w:t>
      </w:r>
      <w:bookmarkEnd w:id="253"/>
      <w:bookmarkEnd w:id="254"/>
      <w:r>
        <w:t>的特点，</w:t>
      </w:r>
      <w:r>
        <w:rPr>
          <w:rFonts w:hint="eastAsia"/>
        </w:rPr>
        <w:t>钻井施工</w:t>
      </w:r>
      <w:r>
        <w:rPr>
          <w:rFonts w:hint="eastAsia"/>
          <w:bCs/>
        </w:rPr>
        <w:t>主要体现在钻井、完井过程中会产生废气、废水、废泥浆、岩屑、噪声、环境风险等以及钻井过程中可能造成地下水的污染，</w:t>
      </w:r>
      <w:r>
        <w:t>集输工程施工期对环境的影响主要表现在对生态的影响，其次是产生的施工机械噪声、生活污水、生活垃圾、扬尘等污染物对环境的影响。运营期对环境的影响主要表现井</w:t>
      </w:r>
      <w:r>
        <w:rPr>
          <w:rFonts w:hint="eastAsia"/>
        </w:rPr>
        <w:t>场</w:t>
      </w:r>
      <w:r>
        <w:t>水套加热炉的燃烧废气、</w:t>
      </w:r>
      <w:r>
        <w:rPr>
          <w:rFonts w:hint="eastAsia"/>
        </w:rPr>
        <w:t>返排酸液</w:t>
      </w:r>
      <w:r>
        <w:t>和管道运营过程中存在的环境风险。</w:t>
      </w:r>
    </w:p>
    <w:p>
      <w:pPr>
        <w:pStyle w:val="3"/>
        <w:spacing w:before="120"/>
        <w:rPr>
          <w:rFonts w:cs="Times New Roman"/>
        </w:rPr>
      </w:pPr>
      <w:bookmarkStart w:id="255" w:name="_Toc19815985"/>
      <w:bookmarkStart w:id="256" w:name="_Toc12288471"/>
      <w:bookmarkStart w:id="257" w:name="_Toc81515275"/>
      <w:r>
        <w:rPr>
          <w:rFonts w:cs="Times New Roman"/>
        </w:rPr>
        <w:t>4.1 施工期</w:t>
      </w:r>
      <w:bookmarkEnd w:id="255"/>
      <w:bookmarkEnd w:id="256"/>
      <w:r>
        <w:rPr>
          <w:rFonts w:cs="Times New Roman"/>
        </w:rPr>
        <w:t>工程分析</w:t>
      </w:r>
      <w:bookmarkEnd w:id="257"/>
    </w:p>
    <w:p>
      <w:pPr>
        <w:pStyle w:val="4"/>
        <w:rPr>
          <w:rFonts w:eastAsia="宋体"/>
        </w:rPr>
      </w:pPr>
      <w:r>
        <w:rPr>
          <w:rFonts w:eastAsia="宋体"/>
        </w:rPr>
        <w:t>4.1.1 施工过程分析</w:t>
      </w:r>
    </w:p>
    <w:p>
      <w:pPr>
        <w:pStyle w:val="112"/>
        <w:ind w:firstLine="480"/>
      </w:pPr>
      <w:r>
        <w:t>首先要测量定线，清理施工现场、平整工作带，修筑施工便道（以便施工人员、施工车辆、管材等进入施工场地），管材防腐绝缘后运到现场，开始布管、组装焊接，无损探伤，补口及防腐检漏，在完成管沟开挖等基础工作以后管道下沟，分段试压，站间连接，通球扫线，阴极保护，竣工验收后投入使用。</w:t>
      </w:r>
    </w:p>
    <w:p>
      <w:pPr>
        <w:pStyle w:val="6"/>
        <w:ind w:firstLine="0" w:firstLineChars="0"/>
        <w:jc w:val="center"/>
        <w:rPr>
          <w:rFonts w:ascii="Times New Roman" w:cs="Times New Roman"/>
        </w:rPr>
      </w:pPr>
      <w:r>
        <w:pict>
          <v:shape id="_x0000_s1054" o:spid="_x0000_s1054" o:spt="202" type="#_x0000_t202" style="position:absolute;left:0pt;margin-left:71.05pt;margin-top:81.95pt;height:22.7pt;width:159.35pt;z-index:251662336;mso-width-relative:margin;mso-height-relative:margin;" coordsize="21600,21600">
            <v:path/>
            <v:fill focussize="0,0"/>
            <v:stroke joinstyle="miter"/>
            <v:imagedata o:title=""/>
            <o:lock v:ext="edit"/>
            <v:textbox>
              <w:txbxContent>
                <w:p>
                  <w:pPr>
                    <w:spacing w:line="240" w:lineRule="auto"/>
                    <w:ind w:firstLine="0" w:firstLineChars="0"/>
                    <w:jc w:val="center"/>
                    <w:rPr>
                      <w:sz w:val="21"/>
                      <w:szCs w:val="21"/>
                    </w:rPr>
                  </w:pPr>
                  <w:r>
                    <w:rPr>
                      <w:rFonts w:hint="eastAsia"/>
                      <w:sz w:val="21"/>
                      <w:szCs w:val="21"/>
                    </w:rPr>
                    <w:t>管沟开挖</w:t>
                  </w:r>
                </w:p>
              </w:txbxContent>
            </v:textbox>
          </v:shape>
        </w:pict>
      </w:r>
      <w:r>
        <w:rPr>
          <w:rFonts w:ascii="Times New Roman" w:cs="Times New Roman"/>
        </w:rPr>
        <w:drawing>
          <wp:inline distT="0" distB="0" distL="0" distR="0">
            <wp:extent cx="4867275" cy="4322445"/>
            <wp:effectExtent l="19050" t="0" r="9525" b="0"/>
            <wp:docPr id="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
                    <pic:cNvPicPr>
                      <a:picLocks noChangeAspect="1" noChangeArrowheads="1"/>
                    </pic:cNvPicPr>
                  </pic:nvPicPr>
                  <pic:blipFill>
                    <a:blip r:embed="rId54" cstate="print"/>
                    <a:srcRect/>
                    <a:stretch>
                      <a:fillRect/>
                    </a:stretch>
                  </pic:blipFill>
                  <pic:spPr>
                    <a:xfrm>
                      <a:off x="0" y="0"/>
                      <a:ext cx="4867275" cy="4322445"/>
                    </a:xfrm>
                    <a:prstGeom prst="rect">
                      <a:avLst/>
                    </a:prstGeom>
                    <a:noFill/>
                    <a:ln w="9525">
                      <a:noFill/>
                      <a:miter lim="800000"/>
                      <a:headEnd/>
                      <a:tailEnd/>
                    </a:ln>
                  </pic:spPr>
                </pic:pic>
              </a:graphicData>
            </a:graphic>
          </wp:inline>
        </w:drawing>
      </w:r>
    </w:p>
    <w:p>
      <w:pPr>
        <w:pStyle w:val="6"/>
        <w:ind w:firstLine="422"/>
        <w:jc w:val="center"/>
        <w:rPr>
          <w:rFonts w:ascii="Times New Roman" w:cs="Times New Roman"/>
          <w:b/>
          <w:sz w:val="21"/>
          <w:szCs w:val="21"/>
        </w:rPr>
      </w:pPr>
      <w:r>
        <w:rPr>
          <w:rFonts w:ascii="Times New Roman" w:cs="Times New Roman"/>
          <w:b/>
          <w:sz w:val="21"/>
          <w:szCs w:val="21"/>
        </w:rPr>
        <w:t>图4.1-1  站场</w:t>
      </w:r>
      <w:r>
        <w:rPr>
          <w:rFonts w:hint="eastAsia" w:ascii="Times New Roman" w:cs="Times New Roman"/>
          <w:b/>
          <w:sz w:val="21"/>
          <w:szCs w:val="21"/>
        </w:rPr>
        <w:t>、</w:t>
      </w:r>
      <w:r>
        <w:rPr>
          <w:rFonts w:ascii="Times New Roman" w:cs="Times New Roman"/>
          <w:b/>
          <w:sz w:val="21"/>
          <w:szCs w:val="21"/>
        </w:rPr>
        <w:t>管线</w:t>
      </w:r>
      <w:r>
        <w:rPr>
          <w:rFonts w:hint="eastAsia" w:ascii="Times New Roman" w:cs="Times New Roman"/>
          <w:b/>
          <w:sz w:val="21"/>
          <w:szCs w:val="21"/>
        </w:rPr>
        <w:t>施工</w:t>
      </w:r>
      <w:r>
        <w:rPr>
          <w:rFonts w:ascii="Times New Roman" w:cs="Times New Roman"/>
          <w:b/>
          <w:sz w:val="21"/>
          <w:szCs w:val="21"/>
        </w:rPr>
        <w:t>工艺流程及产污情况</w:t>
      </w:r>
    </w:p>
    <w:p>
      <w:pPr>
        <w:pStyle w:val="112"/>
        <w:ind w:firstLine="480"/>
      </w:pPr>
      <w:r>
        <w:t>施工一般可分为线路施工和站场施工，管道施工分为若干个标段分别施工，标段按行政区划和地貌类型划分。施工由装备先进的专业施工队伍完成。</w:t>
      </w:r>
    </w:p>
    <w:p>
      <w:pPr>
        <w:pStyle w:val="112"/>
        <w:ind w:firstLine="480"/>
      </w:pPr>
      <w:r>
        <w:t>（1）管道线路施工工艺</w:t>
      </w:r>
    </w:p>
    <w:p>
      <w:pPr>
        <w:pStyle w:val="112"/>
        <w:ind w:firstLine="480"/>
      </w:pPr>
      <w:r>
        <w:rPr>
          <w:rFonts w:hint="eastAsia" w:ascii="宋体" w:hAnsi="宋体" w:cs="宋体"/>
        </w:rPr>
        <w:t>①</w:t>
      </w:r>
      <w:r>
        <w:t>现场勘查，确认路由后进行作业线路的清理。在完成管沟开挖等基础工程后，将钢管运至各施工现场。将管段及必要的弯头等组装后，用人工或自动方式焊接，然后进行防腐工艺的施工，最后按管道施工规范下到管沟内，覆土回填。</w:t>
      </w:r>
    </w:p>
    <w:p>
      <w:pPr>
        <w:pStyle w:val="112"/>
        <w:ind w:firstLine="480"/>
      </w:pPr>
      <w:r>
        <w:rPr>
          <w:rFonts w:hint="eastAsia" w:ascii="宋体" w:hAnsi="宋体" w:cs="宋体"/>
        </w:rPr>
        <w:t>②</w:t>
      </w:r>
      <w:r>
        <w:t>对管线进行清管、吹扫试压，清理作业现场，恢复地貌。</w:t>
      </w:r>
    </w:p>
    <w:p>
      <w:pPr>
        <w:pStyle w:val="112"/>
        <w:ind w:firstLine="480"/>
      </w:pPr>
      <w:r>
        <w:rPr>
          <w:rFonts w:hint="eastAsia" w:ascii="宋体" w:hAnsi="宋体" w:cs="宋体"/>
        </w:rPr>
        <w:t>③</w:t>
      </w:r>
      <w:r>
        <w:t>管线试运行正常后正式投产输气。</w:t>
      </w:r>
    </w:p>
    <w:p>
      <w:pPr>
        <w:pStyle w:val="112"/>
        <w:ind w:firstLine="480"/>
      </w:pPr>
      <w:r>
        <w:t>（2）站场施工工艺</w:t>
      </w:r>
    </w:p>
    <w:p>
      <w:pPr>
        <w:pStyle w:val="112"/>
        <w:ind w:firstLine="480"/>
      </w:pPr>
      <w:r>
        <w:t>本项目站场施工</w:t>
      </w:r>
      <w:r>
        <w:rPr>
          <w:rFonts w:hint="eastAsia"/>
        </w:rPr>
        <w:t>主要为进场道路修缮</w:t>
      </w:r>
      <w:r>
        <w:t>、</w:t>
      </w:r>
      <w:r>
        <w:rPr>
          <w:rFonts w:hint="eastAsia"/>
        </w:rPr>
        <w:t>场地平整、</w:t>
      </w:r>
      <w:r>
        <w:t>安装工艺装置，并建设相应的辅助设施</w:t>
      </w:r>
      <w:r>
        <w:rPr>
          <w:rFonts w:hint="eastAsia"/>
        </w:rPr>
        <w:t>等</w:t>
      </w:r>
      <w:r>
        <w:t>。上述工程建设完成后，对管沟覆土回填，清理作业现场，恢复地貌、恢复地表植被，竣工验收。</w:t>
      </w:r>
    </w:p>
    <w:p>
      <w:pPr>
        <w:pStyle w:val="112"/>
        <w:ind w:firstLine="480"/>
      </w:pPr>
      <w:r>
        <w:rPr>
          <w:rFonts w:hint="eastAsia"/>
        </w:rPr>
        <w:t>（3）钻井工艺</w:t>
      </w:r>
    </w:p>
    <w:p>
      <w:pPr>
        <w:pStyle w:val="112"/>
        <w:ind w:firstLine="480"/>
      </w:pPr>
      <w:r>
        <w:t>钻井工程主要包括钻进、钻进辅助作业、固井等过程。</w:t>
      </w:r>
    </w:p>
    <w:p>
      <w:pPr>
        <w:pStyle w:val="4"/>
        <w:rPr>
          <w:rFonts w:eastAsia="宋体"/>
        </w:rPr>
      </w:pPr>
      <w:r>
        <w:rPr>
          <w:rFonts w:eastAsia="宋体"/>
        </w:rPr>
        <w:t>4.1.2 施工工艺流程</w:t>
      </w:r>
    </w:p>
    <w:p>
      <w:pPr>
        <w:pStyle w:val="112"/>
        <w:ind w:firstLine="482"/>
        <w:rPr>
          <w:b/>
          <w:bCs/>
        </w:rPr>
      </w:pPr>
      <w:r>
        <w:rPr>
          <w:b/>
          <w:bCs/>
        </w:rPr>
        <w:t>（一）管道施工</w:t>
      </w:r>
    </w:p>
    <w:p>
      <w:pPr>
        <w:pStyle w:val="112"/>
        <w:ind w:firstLine="482"/>
        <w:rPr>
          <w:b/>
          <w:bCs/>
        </w:rPr>
      </w:pPr>
      <w:r>
        <w:rPr>
          <w:b/>
          <w:bCs/>
        </w:rPr>
        <w:t>1、施工作业带清理和管沟开挖</w:t>
      </w:r>
    </w:p>
    <w:p>
      <w:pPr>
        <w:pStyle w:val="112"/>
        <w:ind w:firstLine="480"/>
      </w:pPr>
      <w:r>
        <w:t>（1）作业带清理</w:t>
      </w:r>
    </w:p>
    <w:p>
      <w:pPr>
        <w:pStyle w:val="112"/>
        <w:ind w:firstLine="480"/>
      </w:pPr>
      <w:r>
        <w:t>一般线路段管道采用沟埋方式敷设，管道施工作业带应以少占良田、好地为原则，根据管道施工特点并结合本工程实际，在一般地段，施工作业带考虑机械化施工所需要的宽度。本工程输气管道施工作业带宽度为</w:t>
      </w:r>
      <w:r>
        <w:rPr>
          <w:rFonts w:hint="eastAsia"/>
        </w:rPr>
        <w:t>8</w:t>
      </w:r>
      <w:r>
        <w:t>m。局部地形受限制地段，可适当减少施工作业带宽度。</w:t>
      </w:r>
    </w:p>
    <w:p>
      <w:pPr>
        <w:pStyle w:val="112"/>
        <w:ind w:firstLine="480"/>
      </w:pPr>
      <w:r>
        <w:t>本项目线路全长</w:t>
      </w:r>
      <w:r>
        <w:rPr>
          <w:rFonts w:hint="eastAsia"/>
        </w:rPr>
        <w:t>350</w:t>
      </w:r>
      <w:r>
        <w:t>m，施工作业带共清理面积约</w:t>
      </w:r>
      <w:r>
        <w:rPr>
          <w:rFonts w:hint="eastAsia"/>
        </w:rPr>
        <w:t>2800</w:t>
      </w:r>
      <w:r>
        <w:t>m</w:t>
      </w:r>
      <w:r>
        <w:rPr>
          <w:vertAlign w:val="superscript"/>
        </w:rPr>
        <w:t>2</w:t>
      </w:r>
      <w:r>
        <w:t>。在管道通过经济作物区等特殊地带，尽量采取沟下组焊等占地宽度较小的施工作业方式，减少施工作业带宽度。在施工作业带范围内，对于影响施工机具通行或施工作业的石块、杂草、树木应清理干净，沟、坎应予以平整。有积水的</w:t>
      </w:r>
      <w:r>
        <w:rPr>
          <w:rFonts w:hint="eastAsia"/>
        </w:rPr>
        <w:t>地势</w:t>
      </w:r>
      <w:r>
        <w:t>低洼地段应排水，施工作业带清理时，应注意对土地的保护，减少或防止产生水土流失。清理和平整施工作业带时，应注意保护标志桩，如果破坏应立即恢复。在耕地开挖管沟时，应严格将表层耕作土和底层生土分层堆放。</w:t>
      </w:r>
    </w:p>
    <w:p>
      <w:pPr>
        <w:pStyle w:val="112"/>
        <w:ind w:firstLine="480"/>
      </w:pPr>
      <w:r>
        <w:t>（2）管沟开挖</w:t>
      </w:r>
    </w:p>
    <w:p>
      <w:pPr>
        <w:pStyle w:val="112"/>
        <w:ind w:firstLine="480"/>
      </w:pPr>
      <w:r>
        <w:t>管沟开挖的方式有人工开挖和机械开挖，必要时还可采用爆破开挖。</w:t>
      </w:r>
    </w:p>
    <w:p>
      <w:pPr>
        <w:pStyle w:val="112"/>
        <w:ind w:firstLine="480"/>
      </w:pPr>
      <w:r>
        <w:t>一般地段管沟开挖时，管顶覆土深度要求不小于1.0m，管道通过岩石层、卵砾石地段时，管沟应超挖0.2m，并用细土或砂浆深挖部分垫平后方可下管。管沟回填时，应先用细土回填至管顶以上0.3m，方可用土、砂或粒径小于100mm的碎石回填压实。管沟回填土应高出地面0.3m。在经过一些河流、沟渠、陡坡、陡坎时，为满足管道的弹性敷设要求及管道的轴向稳定性，局部地段应适当挖深，管沟宽度适当放大。</w:t>
      </w:r>
    </w:p>
    <w:p>
      <w:pPr>
        <w:pStyle w:val="112"/>
        <w:ind w:firstLine="480"/>
      </w:pPr>
      <w:r>
        <w:t>（3）管沟边坡</w:t>
      </w:r>
    </w:p>
    <w:p>
      <w:pPr>
        <w:pStyle w:val="112"/>
        <w:ind w:firstLine="480"/>
      </w:pPr>
      <w:r>
        <w:t>根据线路的特点，一般地段管沟边坡坡度执行以下规定：</w:t>
      </w:r>
    </w:p>
    <w:p>
      <w:pPr>
        <w:pStyle w:val="37"/>
        <w:rPr>
          <w:rFonts w:cs="Times New Roman"/>
        </w:rPr>
      </w:pPr>
      <w:r>
        <w:rPr>
          <w:rFonts w:cs="Times New Roman"/>
        </w:rPr>
        <w:t>表4.1-1  深度在5m以内管沟最陡边坡坡度</w:t>
      </w:r>
    </w:p>
    <w:tbl>
      <w:tblPr>
        <w:tblStyle w:val="57"/>
        <w:tblW w:w="89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1793"/>
        <w:gridCol w:w="2054"/>
        <w:gridCol w:w="20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3096" w:type="dxa"/>
            <w:vMerge w:val="restart"/>
            <w:vAlign w:val="center"/>
          </w:tcPr>
          <w:p>
            <w:pPr>
              <w:tabs>
                <w:tab w:val="left" w:pos="1500"/>
              </w:tabs>
              <w:snapToGrid w:val="0"/>
              <w:spacing w:line="240" w:lineRule="auto"/>
              <w:ind w:firstLine="0" w:firstLineChars="0"/>
              <w:jc w:val="center"/>
              <w:rPr>
                <w:rFonts w:ascii="Times New Roman" w:cs="Times New Roman"/>
                <w:b/>
                <w:bCs/>
                <w:sz w:val="21"/>
                <w:szCs w:val="18"/>
              </w:rPr>
            </w:pPr>
            <w:r>
              <w:rPr>
                <w:rFonts w:ascii="Times New Roman" w:cs="Times New Roman"/>
                <w:b/>
                <w:bCs/>
                <w:sz w:val="21"/>
                <w:szCs w:val="18"/>
              </w:rPr>
              <w:t>土壤类别</w:t>
            </w:r>
          </w:p>
        </w:tc>
        <w:tc>
          <w:tcPr>
            <w:tcW w:w="5902" w:type="dxa"/>
            <w:gridSpan w:val="3"/>
            <w:vAlign w:val="center"/>
          </w:tcPr>
          <w:p>
            <w:pPr>
              <w:tabs>
                <w:tab w:val="left" w:pos="1500"/>
              </w:tabs>
              <w:snapToGrid w:val="0"/>
              <w:spacing w:line="240" w:lineRule="auto"/>
              <w:ind w:firstLine="0" w:firstLineChars="0"/>
              <w:jc w:val="center"/>
              <w:rPr>
                <w:rFonts w:ascii="Times New Roman" w:cs="Times New Roman"/>
                <w:b/>
                <w:bCs/>
                <w:sz w:val="21"/>
                <w:szCs w:val="18"/>
              </w:rPr>
            </w:pPr>
            <w:r>
              <w:rPr>
                <w:rFonts w:ascii="Times New Roman" w:cs="Times New Roman"/>
                <w:b/>
                <w:bCs/>
                <w:sz w:val="21"/>
                <w:szCs w:val="18"/>
              </w:rPr>
              <w:t>最陡边坡坡度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3096" w:type="dxa"/>
            <w:vMerge w:val="continue"/>
            <w:vAlign w:val="center"/>
          </w:tcPr>
          <w:p>
            <w:pPr>
              <w:tabs>
                <w:tab w:val="left" w:pos="1500"/>
              </w:tabs>
              <w:snapToGrid w:val="0"/>
              <w:spacing w:line="240" w:lineRule="auto"/>
              <w:ind w:firstLine="0" w:firstLineChars="0"/>
              <w:jc w:val="center"/>
              <w:rPr>
                <w:rFonts w:ascii="Times New Roman" w:cs="Times New Roman"/>
                <w:b/>
                <w:bCs/>
                <w:sz w:val="21"/>
                <w:szCs w:val="18"/>
              </w:rPr>
            </w:pPr>
          </w:p>
        </w:tc>
        <w:tc>
          <w:tcPr>
            <w:tcW w:w="1793" w:type="dxa"/>
            <w:vAlign w:val="center"/>
          </w:tcPr>
          <w:p>
            <w:pPr>
              <w:tabs>
                <w:tab w:val="left" w:pos="1500"/>
              </w:tabs>
              <w:snapToGrid w:val="0"/>
              <w:spacing w:line="240" w:lineRule="auto"/>
              <w:ind w:firstLine="0" w:firstLineChars="0"/>
              <w:jc w:val="center"/>
              <w:rPr>
                <w:rFonts w:ascii="Times New Roman" w:cs="Times New Roman"/>
                <w:b/>
                <w:bCs/>
                <w:sz w:val="21"/>
                <w:szCs w:val="18"/>
              </w:rPr>
            </w:pPr>
            <w:r>
              <w:rPr>
                <w:rFonts w:ascii="Times New Roman" w:cs="Times New Roman"/>
                <w:b/>
                <w:bCs/>
                <w:sz w:val="21"/>
                <w:szCs w:val="18"/>
              </w:rPr>
              <w:t>坡顶无载荷</w:t>
            </w:r>
          </w:p>
        </w:tc>
        <w:tc>
          <w:tcPr>
            <w:tcW w:w="2054" w:type="dxa"/>
            <w:vAlign w:val="center"/>
          </w:tcPr>
          <w:p>
            <w:pPr>
              <w:tabs>
                <w:tab w:val="left" w:pos="1500"/>
              </w:tabs>
              <w:snapToGrid w:val="0"/>
              <w:spacing w:line="240" w:lineRule="auto"/>
              <w:ind w:firstLine="0" w:firstLineChars="0"/>
              <w:jc w:val="center"/>
              <w:rPr>
                <w:rFonts w:ascii="Times New Roman" w:cs="Times New Roman"/>
                <w:b/>
                <w:bCs/>
                <w:sz w:val="21"/>
                <w:szCs w:val="18"/>
              </w:rPr>
            </w:pPr>
            <w:r>
              <w:rPr>
                <w:rFonts w:ascii="Times New Roman" w:cs="Times New Roman"/>
                <w:b/>
                <w:bCs/>
                <w:sz w:val="21"/>
                <w:szCs w:val="18"/>
              </w:rPr>
              <w:t>坡顶有静载荷</w:t>
            </w:r>
          </w:p>
        </w:tc>
        <w:tc>
          <w:tcPr>
            <w:tcW w:w="2055" w:type="dxa"/>
            <w:vAlign w:val="center"/>
          </w:tcPr>
          <w:p>
            <w:pPr>
              <w:tabs>
                <w:tab w:val="left" w:pos="1500"/>
              </w:tabs>
              <w:snapToGrid w:val="0"/>
              <w:spacing w:line="240" w:lineRule="auto"/>
              <w:ind w:firstLine="0" w:firstLineChars="0"/>
              <w:jc w:val="center"/>
              <w:rPr>
                <w:rFonts w:ascii="Times New Roman" w:cs="Times New Roman"/>
                <w:b/>
                <w:bCs/>
                <w:sz w:val="21"/>
                <w:szCs w:val="18"/>
              </w:rPr>
            </w:pPr>
            <w:r>
              <w:rPr>
                <w:rFonts w:ascii="Times New Roman" w:cs="Times New Roman"/>
                <w:b/>
                <w:bCs/>
                <w:sz w:val="21"/>
                <w:szCs w:val="18"/>
              </w:rPr>
              <w:t>坡顶有动载荷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3096"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中密的沙土</w:t>
            </w:r>
          </w:p>
        </w:tc>
        <w:tc>
          <w:tcPr>
            <w:tcW w:w="1793"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1：1.00</w:t>
            </w:r>
          </w:p>
        </w:tc>
        <w:tc>
          <w:tcPr>
            <w:tcW w:w="2054"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1：1.25</w:t>
            </w:r>
          </w:p>
        </w:tc>
        <w:tc>
          <w:tcPr>
            <w:tcW w:w="2055"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1：1.5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3096"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中密的碎石类土</w:t>
            </w:r>
          </w:p>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（充填物为沙土）</w:t>
            </w:r>
          </w:p>
        </w:tc>
        <w:tc>
          <w:tcPr>
            <w:tcW w:w="1793"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1：0.75</w:t>
            </w:r>
          </w:p>
        </w:tc>
        <w:tc>
          <w:tcPr>
            <w:tcW w:w="2054"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1：1.00</w:t>
            </w:r>
          </w:p>
        </w:tc>
        <w:tc>
          <w:tcPr>
            <w:tcW w:w="2055"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1：1.25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3096"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硬塑的粉土</w:t>
            </w:r>
          </w:p>
        </w:tc>
        <w:tc>
          <w:tcPr>
            <w:tcW w:w="1793"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1：0.67</w:t>
            </w:r>
          </w:p>
        </w:tc>
        <w:tc>
          <w:tcPr>
            <w:tcW w:w="2054"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1：0.75</w:t>
            </w:r>
          </w:p>
        </w:tc>
        <w:tc>
          <w:tcPr>
            <w:tcW w:w="2055"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1：1.00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3096"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中密的碎石类土</w:t>
            </w:r>
          </w:p>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（充填物为粘性土）</w:t>
            </w:r>
          </w:p>
        </w:tc>
        <w:tc>
          <w:tcPr>
            <w:tcW w:w="1793"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1：0.5</w:t>
            </w:r>
          </w:p>
        </w:tc>
        <w:tc>
          <w:tcPr>
            <w:tcW w:w="2054"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1：0.67</w:t>
            </w:r>
          </w:p>
        </w:tc>
        <w:tc>
          <w:tcPr>
            <w:tcW w:w="2055"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1：0.75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3096"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硬塑的粉质粘土、粘土</w:t>
            </w:r>
          </w:p>
        </w:tc>
        <w:tc>
          <w:tcPr>
            <w:tcW w:w="1793"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1：0.33</w:t>
            </w:r>
          </w:p>
        </w:tc>
        <w:tc>
          <w:tcPr>
            <w:tcW w:w="2054"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1：0.50</w:t>
            </w:r>
          </w:p>
        </w:tc>
        <w:tc>
          <w:tcPr>
            <w:tcW w:w="2055"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1：0.67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3096"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老黄土</w:t>
            </w:r>
          </w:p>
        </w:tc>
        <w:tc>
          <w:tcPr>
            <w:tcW w:w="1793"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1：0.10</w:t>
            </w:r>
          </w:p>
        </w:tc>
        <w:tc>
          <w:tcPr>
            <w:tcW w:w="2054"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1：0.25</w:t>
            </w:r>
          </w:p>
        </w:tc>
        <w:tc>
          <w:tcPr>
            <w:tcW w:w="2055"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1：0.33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3096"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软土（经井点降水）</w:t>
            </w:r>
          </w:p>
        </w:tc>
        <w:tc>
          <w:tcPr>
            <w:tcW w:w="1793"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1：1.00</w:t>
            </w:r>
          </w:p>
        </w:tc>
        <w:tc>
          <w:tcPr>
            <w:tcW w:w="2054"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w:t>
            </w:r>
          </w:p>
        </w:tc>
        <w:tc>
          <w:tcPr>
            <w:tcW w:w="2055"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3096"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硬质岩</w:t>
            </w:r>
          </w:p>
        </w:tc>
        <w:tc>
          <w:tcPr>
            <w:tcW w:w="1793"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1：0</w:t>
            </w:r>
          </w:p>
        </w:tc>
        <w:tc>
          <w:tcPr>
            <w:tcW w:w="2054"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1：0</w:t>
            </w:r>
          </w:p>
        </w:tc>
        <w:tc>
          <w:tcPr>
            <w:tcW w:w="2055"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1：0</w:t>
            </w:r>
          </w:p>
        </w:tc>
      </w:tr>
    </w:tbl>
    <w:p>
      <w:pPr>
        <w:pStyle w:val="112"/>
        <w:ind w:firstLine="480"/>
      </w:pPr>
      <w:r>
        <w:t>特殊地段、管沟挖深超过5m时，可根据实际情况，采取边坡适当放缓，加支撑或采取阶梯式开挖措施。</w:t>
      </w:r>
    </w:p>
    <w:p>
      <w:pPr>
        <w:pStyle w:val="112"/>
        <w:ind w:firstLine="480"/>
      </w:pPr>
      <w:r>
        <w:t>（4）管沟底宽</w:t>
      </w:r>
    </w:p>
    <w:p>
      <w:pPr>
        <w:pStyle w:val="112"/>
        <w:ind w:firstLine="480"/>
      </w:pPr>
      <w:r>
        <w:t>当管沟深度小于或等于3m时，沟底宽度应按下式计算：</w:t>
      </w:r>
    </w:p>
    <w:p>
      <w:pPr>
        <w:pStyle w:val="112"/>
        <w:ind w:firstLine="0" w:firstLineChars="0"/>
        <w:jc w:val="center"/>
        <w:rPr>
          <w:bCs/>
        </w:rPr>
      </w:pPr>
      <w:r>
        <w:rPr>
          <w:bCs/>
        </w:rPr>
        <w:t>B＝D＋K</w:t>
      </w:r>
    </w:p>
    <w:p>
      <w:pPr>
        <w:pStyle w:val="112"/>
        <w:ind w:firstLine="480"/>
        <w:rPr>
          <w:bCs/>
        </w:rPr>
      </w:pPr>
      <w:r>
        <w:rPr>
          <w:bCs/>
        </w:rPr>
        <w:t>式中：</w:t>
      </w:r>
    </w:p>
    <w:p>
      <w:pPr>
        <w:pStyle w:val="112"/>
        <w:ind w:firstLine="480"/>
        <w:rPr>
          <w:bCs/>
        </w:rPr>
      </w:pPr>
      <w:r>
        <w:rPr>
          <w:bCs/>
        </w:rPr>
        <w:t>B—沟底宽度（m）；</w:t>
      </w:r>
    </w:p>
    <w:p>
      <w:pPr>
        <w:pStyle w:val="112"/>
        <w:ind w:firstLine="480"/>
        <w:rPr>
          <w:bCs/>
        </w:rPr>
      </w:pPr>
      <w:r>
        <w:rPr>
          <w:bCs/>
        </w:rPr>
        <w:t>D—钢管的结构外径（包括防腐、保温层的厚度）（m）；</w:t>
      </w:r>
    </w:p>
    <w:p>
      <w:pPr>
        <w:pStyle w:val="112"/>
        <w:ind w:firstLine="480"/>
        <w:rPr>
          <w:bCs/>
        </w:rPr>
      </w:pPr>
      <w:r>
        <w:rPr>
          <w:bCs/>
        </w:rPr>
        <w:t>K—沟底加宽裕量（m）。按表4.1-2取值。</w:t>
      </w:r>
    </w:p>
    <w:p>
      <w:pPr>
        <w:pStyle w:val="37"/>
        <w:rPr>
          <w:rFonts w:cs="Times New Roman"/>
        </w:rPr>
      </w:pPr>
      <w:r>
        <w:rPr>
          <w:rFonts w:cs="Times New Roman"/>
        </w:rPr>
        <w:t>表4.1-2  沟底加宽裕量K值 (m)</w:t>
      </w:r>
    </w:p>
    <w:tbl>
      <w:tblPr>
        <w:tblStyle w:val="57"/>
        <w:tblW w:w="882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09"/>
        <w:gridCol w:w="1642"/>
        <w:gridCol w:w="2747"/>
        <w:gridCol w:w="19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2509" w:type="dxa"/>
            <w:vAlign w:val="center"/>
          </w:tcPr>
          <w:p>
            <w:pPr>
              <w:tabs>
                <w:tab w:val="left" w:pos="1500"/>
              </w:tabs>
              <w:snapToGrid w:val="0"/>
              <w:spacing w:line="240" w:lineRule="auto"/>
              <w:ind w:firstLine="0" w:firstLineChars="0"/>
              <w:jc w:val="center"/>
              <w:rPr>
                <w:rFonts w:ascii="Times New Roman" w:cs="Times New Roman"/>
                <w:b/>
                <w:bCs/>
                <w:sz w:val="21"/>
                <w:szCs w:val="18"/>
              </w:rPr>
            </w:pPr>
            <w:r>
              <w:rPr>
                <w:rFonts w:ascii="Times New Roman" w:cs="Times New Roman"/>
                <w:b/>
                <w:bCs/>
                <w:sz w:val="21"/>
                <w:szCs w:val="18"/>
              </w:rPr>
              <w:t>施工方法</w:t>
            </w:r>
          </w:p>
        </w:tc>
        <w:tc>
          <w:tcPr>
            <w:tcW w:w="6315" w:type="dxa"/>
            <w:gridSpan w:val="3"/>
            <w:vAlign w:val="center"/>
          </w:tcPr>
          <w:p>
            <w:pPr>
              <w:tabs>
                <w:tab w:val="left" w:pos="1500"/>
              </w:tabs>
              <w:snapToGrid w:val="0"/>
              <w:spacing w:line="240" w:lineRule="auto"/>
              <w:ind w:firstLine="0" w:firstLineChars="0"/>
              <w:jc w:val="center"/>
              <w:rPr>
                <w:rFonts w:ascii="Times New Roman" w:cs="Times New Roman"/>
                <w:b/>
                <w:bCs/>
                <w:sz w:val="21"/>
                <w:szCs w:val="18"/>
              </w:rPr>
            </w:pPr>
            <w:r>
              <w:rPr>
                <w:rFonts w:ascii="Times New Roman" w:cs="Times New Roman"/>
                <w:b/>
                <w:bCs/>
                <w:sz w:val="21"/>
                <w:szCs w:val="18"/>
              </w:rPr>
              <w:t>沟下组装焊接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2509"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地质条件</w:t>
            </w:r>
          </w:p>
        </w:tc>
        <w:tc>
          <w:tcPr>
            <w:tcW w:w="1642"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旱地</w:t>
            </w:r>
          </w:p>
        </w:tc>
        <w:tc>
          <w:tcPr>
            <w:tcW w:w="2747"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沟内有积水</w:t>
            </w:r>
          </w:p>
        </w:tc>
        <w:tc>
          <w:tcPr>
            <w:tcW w:w="1926"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岩石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2509"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B（m）</w:t>
            </w:r>
          </w:p>
        </w:tc>
        <w:tc>
          <w:tcPr>
            <w:tcW w:w="1642"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0.8</w:t>
            </w:r>
          </w:p>
        </w:tc>
        <w:tc>
          <w:tcPr>
            <w:tcW w:w="2747"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1.0</w:t>
            </w:r>
          </w:p>
        </w:tc>
        <w:tc>
          <w:tcPr>
            <w:tcW w:w="1926" w:type="dxa"/>
            <w:vAlign w:val="center"/>
          </w:tcPr>
          <w:p>
            <w:pPr>
              <w:tabs>
                <w:tab w:val="left" w:pos="1500"/>
              </w:tabs>
              <w:snapToGrid w:val="0"/>
              <w:spacing w:line="240" w:lineRule="auto"/>
              <w:ind w:firstLine="0" w:firstLineChars="0"/>
              <w:jc w:val="center"/>
              <w:rPr>
                <w:rFonts w:ascii="Times New Roman" w:cs="Times New Roman"/>
                <w:sz w:val="21"/>
                <w:szCs w:val="18"/>
              </w:rPr>
            </w:pPr>
            <w:r>
              <w:rPr>
                <w:rFonts w:ascii="Times New Roman" w:cs="Times New Roman"/>
                <w:sz w:val="21"/>
                <w:szCs w:val="18"/>
              </w:rPr>
              <w:t>0.9</w:t>
            </w:r>
          </w:p>
        </w:tc>
      </w:tr>
    </w:tbl>
    <w:p>
      <w:pPr>
        <w:pStyle w:val="112"/>
        <w:ind w:firstLine="480"/>
      </w:pPr>
      <w:r>
        <w:t>当管沟深度大于3m而小于5m时，管沟沟底宽度应按上式计算值再加宽0.2m；当管沟深度超过5m时，管沟沟底宽度应根据工程地质情况酌情处理。</w:t>
      </w:r>
    </w:p>
    <w:p>
      <w:pPr>
        <w:pStyle w:val="112"/>
        <w:ind w:firstLine="480"/>
      </w:pPr>
      <w:r>
        <w:t>（5）管沟回填</w:t>
      </w:r>
    </w:p>
    <w:p>
      <w:pPr>
        <w:pStyle w:val="112"/>
        <w:ind w:firstLine="480"/>
      </w:pPr>
      <w:r>
        <w:t>岩石、砾石区的管沟，应在沟底先铺设0.2m厚的细土或细砂垫层且平整后方可管线下沟，对于管沟坡度较大，散土无法固定，细土垫层必须全部用编织袋或草口袋装袋，由下而上堆码回填，在堆码时必须分层交叉；有空隙的地方，再用散土填充。回填岩石、砾石区的管沟时，</w:t>
      </w:r>
    </w:p>
    <w:p>
      <w:pPr>
        <w:pStyle w:val="112"/>
        <w:ind w:firstLine="480"/>
      </w:pPr>
      <w:r>
        <w:t>必须用细土或砂（最大粒径不超过3mm）回填至管顶以上0.3m后，方可用原土，回填压实，其回填土的岩石和砾石块径不得超过100mm。管沟回填应留有沉降裕量，一般高出地面0.3m。管道出土端、弯头两侧非嵌固端及稳管墩处，回填土时应分层夯实。管沟回填后，应恢复原地貌，并保护耕植层，防止水土流失和积水。</w:t>
      </w:r>
    </w:p>
    <w:p>
      <w:pPr>
        <w:pStyle w:val="6"/>
        <w:ind w:firstLine="482"/>
        <w:rPr>
          <w:rStyle w:val="64"/>
          <w:rFonts w:cs="Times New Roman"/>
          <w:color w:val="FF0000"/>
        </w:rPr>
      </w:pPr>
      <w:bookmarkStart w:id="258" w:name="_Toc12288476"/>
      <w:r>
        <w:rPr>
          <w:rStyle w:val="64"/>
          <w:rFonts w:cs="Times New Roman"/>
          <w:color w:val="FF0000"/>
        </w:rPr>
        <w:t>2、</w:t>
      </w:r>
      <w:bookmarkEnd w:id="258"/>
      <w:r>
        <w:rPr>
          <w:rFonts w:ascii="Times New Roman" w:cs="Times New Roman"/>
          <w:b/>
          <w:bCs/>
          <w:color w:val="FF0000"/>
        </w:rPr>
        <w:t>特殊地段敷设方式</w:t>
      </w:r>
    </w:p>
    <w:p>
      <w:pPr>
        <w:pStyle w:val="112"/>
        <w:ind w:firstLine="480"/>
        <w:rPr>
          <w:color w:val="FF0000"/>
        </w:rPr>
      </w:pPr>
      <w:bookmarkStart w:id="259" w:name="_Toc12288477"/>
      <w:r>
        <w:rPr>
          <w:color w:val="FF0000"/>
        </w:rPr>
        <w:t>（1）陡坡地段</w:t>
      </w:r>
    </w:p>
    <w:p>
      <w:pPr>
        <w:pStyle w:val="112"/>
        <w:ind w:firstLine="480"/>
        <w:rPr>
          <w:color w:val="FF0000"/>
        </w:rPr>
      </w:pPr>
      <w:r>
        <w:rPr>
          <w:color w:val="FF0000"/>
        </w:rPr>
        <w:t>为防止陡坡地段雨水冲刷管沟，设计在管沟内每隔适当距离设置截水墙，采用浆砌石砌筑，同时作好导水排水措施。</w:t>
      </w:r>
    </w:p>
    <w:p>
      <w:pPr>
        <w:pStyle w:val="112"/>
        <w:ind w:firstLine="480"/>
        <w:rPr>
          <w:color w:val="FF0000"/>
        </w:rPr>
      </w:pPr>
      <w:r>
        <w:rPr>
          <w:color w:val="FF0000"/>
        </w:rPr>
        <w:t>在侧坡敷设管道时，一般要先开辟一条作业带，然后在作业带靠近山坡一侧挖沟埋设管道，雨季施工时，要作好排水设施，以免冲毁管沟和施工作业带，同时还要注意坡体的稳定。</w:t>
      </w:r>
    </w:p>
    <w:bookmarkEnd w:id="259"/>
    <w:p>
      <w:pPr>
        <w:pStyle w:val="6"/>
        <w:ind w:firstLine="480"/>
        <w:rPr>
          <w:rFonts w:ascii="Times New Roman" w:cs="Times New Roman"/>
          <w:color w:val="FF0000"/>
        </w:rPr>
      </w:pPr>
      <w:bookmarkStart w:id="260" w:name="_Toc12288484"/>
      <w:r>
        <w:rPr>
          <w:rFonts w:ascii="Times New Roman" w:cs="Times New Roman"/>
          <w:color w:val="FF0000"/>
        </w:rPr>
        <w:t>（</w:t>
      </w:r>
      <w:r>
        <w:rPr>
          <w:rFonts w:hint="eastAsia" w:ascii="Times New Roman" w:cs="Times New Roman"/>
          <w:color w:val="FF0000"/>
        </w:rPr>
        <w:t>2</w:t>
      </w:r>
      <w:r>
        <w:rPr>
          <w:rFonts w:ascii="Times New Roman" w:cs="Times New Roman"/>
          <w:color w:val="FF0000"/>
        </w:rPr>
        <w:t>）农田、林带管道敷设</w:t>
      </w:r>
      <w:bookmarkEnd w:id="260"/>
    </w:p>
    <w:p>
      <w:pPr>
        <w:pStyle w:val="6"/>
        <w:ind w:firstLine="480"/>
        <w:rPr>
          <w:rFonts w:ascii="Times New Roman" w:cs="Times New Roman"/>
          <w:color w:val="FF0000"/>
        </w:rPr>
      </w:pPr>
      <w:r>
        <w:rPr>
          <w:rFonts w:hint="eastAsia" w:hAnsi="宋体"/>
          <w:color w:val="FF0000"/>
        </w:rPr>
        <w:t>①</w:t>
      </w:r>
      <w:r>
        <w:rPr>
          <w:rFonts w:ascii="Times New Roman" w:cs="Times New Roman"/>
          <w:color w:val="FF0000"/>
        </w:rPr>
        <w:t xml:space="preserve"> 严格控制作业带宽度，尽量减少对沿线植被的破坏。在能安全行走的情况下，尽量不砍伐林木，对遮挡视线的树木，应只砍去遮挡视线的枝桠，不应整棵树砍伐。</w:t>
      </w:r>
    </w:p>
    <w:p>
      <w:pPr>
        <w:pStyle w:val="6"/>
        <w:ind w:firstLine="480"/>
        <w:rPr>
          <w:rFonts w:ascii="Times New Roman" w:cs="Times New Roman"/>
          <w:color w:val="FF0000"/>
        </w:rPr>
      </w:pPr>
      <w:r>
        <w:rPr>
          <w:rFonts w:hint="eastAsia" w:hAnsi="宋体"/>
          <w:color w:val="FF0000"/>
        </w:rPr>
        <w:t>②</w:t>
      </w:r>
      <w:r>
        <w:rPr>
          <w:rFonts w:ascii="Times New Roman" w:cs="Times New Roman"/>
          <w:color w:val="FF0000"/>
        </w:rPr>
        <w:t xml:space="preserve"> 地面附着物清点完、征地赔偿完后，经当地政府林业管理同意后，才能进行施工进行作业带的清理平整。</w:t>
      </w:r>
    </w:p>
    <w:p>
      <w:pPr>
        <w:pStyle w:val="6"/>
        <w:ind w:firstLine="480"/>
        <w:rPr>
          <w:rFonts w:ascii="Times New Roman" w:cs="Times New Roman"/>
          <w:color w:val="FF0000"/>
        </w:rPr>
      </w:pPr>
      <w:r>
        <w:rPr>
          <w:rFonts w:hint="eastAsia" w:hAnsi="宋体"/>
          <w:color w:val="FF0000"/>
        </w:rPr>
        <w:t>③</w:t>
      </w:r>
      <w:r>
        <w:rPr>
          <w:rFonts w:ascii="Times New Roman" w:cs="Times New Roman"/>
          <w:color w:val="FF0000"/>
        </w:rPr>
        <w:t xml:space="preserve"> 原则上能移植的尽量移植，能不砍伐的尽量不去砍伐。</w:t>
      </w:r>
    </w:p>
    <w:p>
      <w:pPr>
        <w:pStyle w:val="6"/>
        <w:ind w:firstLine="480"/>
        <w:rPr>
          <w:rFonts w:ascii="Times New Roman" w:cs="Times New Roman"/>
          <w:color w:val="FF0000"/>
        </w:rPr>
      </w:pPr>
      <w:r>
        <w:rPr>
          <w:rFonts w:hint="eastAsia" w:hAnsi="宋体"/>
          <w:color w:val="FF0000"/>
        </w:rPr>
        <w:t>④</w:t>
      </w:r>
      <w:r>
        <w:rPr>
          <w:rFonts w:ascii="Times New Roman" w:cs="Times New Roman"/>
          <w:color w:val="FF0000"/>
        </w:rPr>
        <w:t xml:space="preserve"> 作业带清理平整过程，尽量不采用大型机械设备，对不影响履带设备行走的土坎、沟渠等尽量不动。</w:t>
      </w:r>
    </w:p>
    <w:p>
      <w:pPr>
        <w:pStyle w:val="6"/>
        <w:ind w:firstLine="480"/>
        <w:rPr>
          <w:rFonts w:ascii="Times New Roman" w:cs="Times New Roman"/>
          <w:color w:val="FF0000"/>
        </w:rPr>
      </w:pPr>
      <w:r>
        <w:rPr>
          <w:rFonts w:hint="eastAsia" w:hAnsi="宋体"/>
          <w:color w:val="FF0000"/>
        </w:rPr>
        <w:t>⑤</w:t>
      </w:r>
      <w:r>
        <w:rPr>
          <w:rFonts w:ascii="Times New Roman" w:cs="Times New Roman"/>
          <w:color w:val="FF0000"/>
        </w:rPr>
        <w:t xml:space="preserve"> 清理掉农作物、草根、树根及其他障碍物保证设备通过，在施工作业带边界设置防火隔离带，严禁任意砍伐作业带以外的树木。</w:t>
      </w:r>
    </w:p>
    <w:p>
      <w:pPr>
        <w:pStyle w:val="6"/>
        <w:ind w:firstLine="480"/>
        <w:rPr>
          <w:rFonts w:ascii="Times New Roman" w:cs="Times New Roman"/>
          <w:color w:val="FF0000"/>
        </w:rPr>
      </w:pPr>
      <w:r>
        <w:rPr>
          <w:rFonts w:hint="eastAsia" w:hAnsi="宋体"/>
          <w:color w:val="FF0000"/>
        </w:rPr>
        <w:t>⑥</w:t>
      </w:r>
      <w:r>
        <w:rPr>
          <w:rFonts w:ascii="Times New Roman" w:cs="Times New Roman"/>
          <w:color w:val="FF0000"/>
        </w:rPr>
        <w:t xml:space="preserve"> 清除掉的农作物、草丛、树枝等杂物及时清理出作业带，严禁在作业带内乱摆乱放。</w:t>
      </w:r>
    </w:p>
    <w:p>
      <w:pPr>
        <w:pStyle w:val="6"/>
        <w:ind w:firstLine="480"/>
        <w:rPr>
          <w:rFonts w:ascii="Times New Roman" w:cs="Times New Roman"/>
          <w:color w:val="FF0000"/>
        </w:rPr>
      </w:pPr>
      <w:r>
        <w:rPr>
          <w:rFonts w:hint="eastAsia" w:hAnsi="宋体"/>
          <w:color w:val="FF0000"/>
        </w:rPr>
        <w:t>⑦</w:t>
      </w:r>
      <w:r>
        <w:rPr>
          <w:rFonts w:ascii="Times New Roman" w:cs="Times New Roman"/>
          <w:color w:val="FF0000"/>
        </w:rPr>
        <w:t xml:space="preserve"> 农田施工尽量减少对农田防护林的损坏，必要时对林木进行移栽或假植。</w:t>
      </w:r>
    </w:p>
    <w:p>
      <w:pPr>
        <w:pStyle w:val="6"/>
        <w:ind w:firstLine="480"/>
        <w:rPr>
          <w:rFonts w:ascii="Times New Roman" w:cs="Times New Roman"/>
          <w:color w:val="FF0000"/>
        </w:rPr>
      </w:pPr>
      <w:r>
        <w:rPr>
          <w:rFonts w:hint="eastAsia" w:hAnsi="宋体"/>
          <w:color w:val="FF0000"/>
        </w:rPr>
        <w:t>⑧</w:t>
      </w:r>
      <w:r>
        <w:rPr>
          <w:rFonts w:ascii="Times New Roman" w:cs="Times New Roman"/>
          <w:color w:val="FF0000"/>
        </w:rPr>
        <w:t xml:space="preserve"> 作业带平整时，要对农田、苗圃、林带原有的水利设施修建临时疏通设施，保证原有水系畅通，避免对灌溉、泄洪及居民用水产生影响。</w:t>
      </w:r>
    </w:p>
    <w:p>
      <w:pPr>
        <w:pStyle w:val="6"/>
        <w:ind w:firstLine="482"/>
        <w:rPr>
          <w:rFonts w:ascii="Times New Roman" w:cs="Times New Roman"/>
          <w:b/>
          <w:bCs/>
        </w:rPr>
      </w:pPr>
      <w:bookmarkStart w:id="261" w:name="_Toc12288486"/>
      <w:r>
        <w:rPr>
          <w:rFonts w:ascii="Times New Roman" w:cs="Times New Roman"/>
          <w:b/>
          <w:bCs/>
        </w:rPr>
        <w:t>3、施工作业地带</w:t>
      </w:r>
    </w:p>
    <w:p>
      <w:pPr>
        <w:pStyle w:val="112"/>
        <w:ind w:firstLine="480"/>
      </w:pPr>
      <w:r>
        <w:t>管道施工作业带在石方段、有地方要求的规划区、经济作物带等特殊地段应在保证施工手段展开的前提下，尽量减小作业带宽度。作业带开拓必须能满足大型车辆和大型施工机械作业要求，</w:t>
      </w:r>
      <w:r>
        <w:rPr>
          <w:color w:val="FF0000"/>
        </w:rPr>
        <w:t>本项目新建管道结合线路地形</w:t>
      </w:r>
      <w:r>
        <w:rPr>
          <w:rFonts w:hint="eastAsia"/>
          <w:color w:val="FF0000"/>
        </w:rPr>
        <w:t>，</w:t>
      </w:r>
      <w:r>
        <w:rPr>
          <w:color w:val="FF0000"/>
        </w:rPr>
        <w:t>作业带宽度</w:t>
      </w:r>
      <w:r>
        <w:rPr>
          <w:rFonts w:hint="eastAsia"/>
          <w:color w:val="FF0000"/>
        </w:rPr>
        <w:t>为8</w:t>
      </w:r>
      <w:r>
        <w:rPr>
          <w:color w:val="FF0000"/>
        </w:rPr>
        <w:t>m</w:t>
      </w:r>
      <w:r>
        <w:rPr>
          <w:rFonts w:hint="eastAsia"/>
          <w:color w:val="FF0000"/>
        </w:rPr>
        <w:t>，实际施工中应尽量控制项目作业带宽度</w:t>
      </w:r>
      <w:r>
        <w:rPr>
          <w:color w:val="FF0000"/>
        </w:rPr>
        <w:t>。</w:t>
      </w:r>
      <w:r>
        <w:t>施工作业带清理、平整应遵循保护植被及配套设施，减少或防止产生水土流失的原则。管沟开挖前应弄清施工作业带内是否埋设有管道、电缆、光缆，以及其它建构筑物或设施。探明的地下设施处应设立标志，并在竣工图中注明，施工时采取相应的保护措施。</w:t>
      </w:r>
    </w:p>
    <w:p>
      <w:pPr>
        <w:pStyle w:val="6"/>
        <w:ind w:firstLine="480"/>
        <w:jc w:val="left"/>
        <w:rPr>
          <w:rFonts w:ascii="Times New Roman" w:cs="Times New Roman"/>
        </w:rPr>
      </w:pPr>
      <w:r>
        <w:rPr>
          <w:rFonts w:ascii="Times New Roman" w:cs="Times New Roman"/>
        </w:rPr>
        <w:t>按有关法规对管道施工作业带只进行临时性使用土地，施工完毕后应立即还耕复种，并恢复原地貌。本项目管道的施工方式断面下图所示：</w:t>
      </w:r>
    </w:p>
    <w:p>
      <w:pPr>
        <w:pStyle w:val="6"/>
        <w:ind w:firstLine="0" w:firstLineChars="0"/>
        <w:jc w:val="center"/>
        <w:rPr>
          <w:rFonts w:ascii="Times New Roman" w:cs="Times New Roman"/>
          <w:b/>
        </w:rPr>
      </w:pPr>
      <w:r>
        <w:rPr>
          <w:rFonts w:ascii="Times New Roman" w:cs="Times New Roman"/>
          <w:b/>
        </w:rPr>
        <w:drawing>
          <wp:inline distT="0" distB="0" distL="0" distR="0">
            <wp:extent cx="5080000" cy="3094355"/>
            <wp:effectExtent l="19050" t="0" r="6350" b="0"/>
            <wp:docPr id="8" name="图片 24" descr="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descr="图7.jpg"/>
                    <pic:cNvPicPr>
                      <a:picLocks noChangeAspect="1" noChangeArrowheads="1"/>
                    </pic:cNvPicPr>
                  </pic:nvPicPr>
                  <pic:blipFill>
                    <a:blip r:embed="rId55" cstate="print"/>
                    <a:srcRect b="9174"/>
                    <a:stretch>
                      <a:fillRect/>
                    </a:stretch>
                  </pic:blipFill>
                  <pic:spPr>
                    <a:xfrm>
                      <a:off x="0" y="0"/>
                      <a:ext cx="5080000" cy="3094355"/>
                    </a:xfrm>
                    <a:prstGeom prst="rect">
                      <a:avLst/>
                    </a:prstGeom>
                    <a:noFill/>
                    <a:ln w="9525">
                      <a:noFill/>
                      <a:miter lim="800000"/>
                      <a:headEnd/>
                      <a:tailEnd/>
                    </a:ln>
                  </pic:spPr>
                </pic:pic>
              </a:graphicData>
            </a:graphic>
          </wp:inline>
        </w:drawing>
      </w:r>
    </w:p>
    <w:p>
      <w:pPr>
        <w:pStyle w:val="37"/>
        <w:rPr>
          <w:rFonts w:cs="Times New Roman"/>
        </w:rPr>
      </w:pPr>
      <w:r>
        <w:rPr>
          <w:rFonts w:cs="Times New Roman"/>
        </w:rPr>
        <w:t>图4.1-2 管道施工方式断面示意图</w:t>
      </w:r>
    </w:p>
    <w:bookmarkEnd w:id="261"/>
    <w:p>
      <w:pPr>
        <w:pStyle w:val="6"/>
        <w:ind w:firstLine="482"/>
        <w:rPr>
          <w:rFonts w:ascii="Times New Roman" w:cs="Times New Roman"/>
          <w:b/>
          <w:bCs/>
        </w:rPr>
      </w:pPr>
      <w:bookmarkStart w:id="262" w:name="_Toc12288489"/>
      <w:bookmarkStart w:id="263" w:name="_Toc12288494"/>
      <w:r>
        <w:rPr>
          <w:rFonts w:hint="eastAsia" w:ascii="Times New Roman" w:cs="Times New Roman"/>
          <w:b/>
          <w:bCs/>
        </w:rPr>
        <w:t>4</w:t>
      </w:r>
      <w:r>
        <w:rPr>
          <w:rFonts w:ascii="Times New Roman" w:cs="Times New Roman"/>
          <w:b/>
          <w:bCs/>
        </w:rPr>
        <w:t>、公路穿越</w:t>
      </w:r>
      <w:bookmarkEnd w:id="262"/>
    </w:p>
    <w:p>
      <w:pPr>
        <w:pStyle w:val="112"/>
        <w:ind w:firstLine="480"/>
      </w:pPr>
      <w:r>
        <w:t>（1）公路及机耕路穿越</w:t>
      </w:r>
    </w:p>
    <w:p>
      <w:pPr>
        <w:pStyle w:val="112"/>
        <w:ind w:firstLine="480"/>
        <w:rPr>
          <w:color w:val="0000FF"/>
        </w:rPr>
      </w:pPr>
      <w:r>
        <w:rPr>
          <w:rFonts w:hint="eastAsia" w:ascii="宋体" w:hAnsi="宋体" w:cs="宋体"/>
          <w:color w:val="0000FF"/>
        </w:rPr>
        <w:t>①</w:t>
      </w:r>
      <w:r>
        <w:rPr>
          <w:color w:val="0000FF"/>
        </w:rPr>
        <w:t>管道穿越公路及机耕道均采用</w:t>
      </w:r>
      <w:r>
        <w:rPr>
          <w:rFonts w:hint="eastAsia"/>
          <w:color w:val="0000FF"/>
        </w:rPr>
        <w:t>顶管</w:t>
      </w:r>
      <w:r>
        <w:rPr>
          <w:color w:val="0000FF"/>
        </w:rPr>
        <w:t>穿越方式，并采用钢筋水泥套管加以保护，套管顶距离地面的埋深≥1.2m，并应符合公路管理部门的要求。套管两端伸出公路坡脚或排水沟的长度不小于1m。套管内的天然气管道设置绝缘支撑。并不得损坏管道外防腐层。套管两端与输气管道之间的环形空间应采用柔性的防腐、防水材料密封。</w:t>
      </w:r>
    </w:p>
    <w:p>
      <w:pPr>
        <w:pStyle w:val="112"/>
        <w:ind w:firstLine="480"/>
      </w:pPr>
      <w:r>
        <w:rPr>
          <w:rFonts w:hint="eastAsia" w:ascii="宋体" w:hAnsi="宋体" w:cs="宋体"/>
        </w:rPr>
        <w:t>②</w:t>
      </w:r>
      <w:r>
        <w:t>管道穿越宜垂直交叉通过。当必须斜交时，斜交角度应大于60°。路基下面的管段不允许出现转角或进行平、竖面曲线敷设。</w:t>
      </w:r>
    </w:p>
    <w:p>
      <w:pPr>
        <w:pStyle w:val="112"/>
        <w:ind w:firstLine="480"/>
      </w:pPr>
      <w:r>
        <w:rPr>
          <w:rFonts w:hint="eastAsia" w:ascii="宋体" w:hAnsi="宋体" w:cs="宋体"/>
        </w:rPr>
        <w:t>③</w:t>
      </w:r>
      <w:r>
        <w:t>穿越乡镇道路的集输管道应选择质量好、较长的管子组焊，以减少焊口数，确保施工质量。</w:t>
      </w:r>
    </w:p>
    <w:p>
      <w:pPr>
        <w:pStyle w:val="112"/>
        <w:ind w:firstLine="480"/>
      </w:pPr>
      <w:r>
        <w:rPr>
          <w:rFonts w:hint="eastAsia" w:ascii="宋体" w:hAnsi="宋体" w:cs="宋体"/>
        </w:rPr>
        <w:t>④</w:t>
      </w:r>
      <w:r>
        <w:t>确保施工质量。穿越公路管沟回填土应充分夯实，使其密度与未开挖的土壤一致，并应按未开挖前的结构和质量恢复路面。</w:t>
      </w:r>
    </w:p>
    <w:p>
      <w:pPr>
        <w:pStyle w:val="112"/>
        <w:ind w:firstLine="480"/>
      </w:pPr>
      <w:r>
        <w:t>（2）管道设绝缘滑块以保护管道外防腐层，并在穿越套管两端采用柔性材料进行端部密封；</w:t>
      </w:r>
    </w:p>
    <w:p>
      <w:pPr>
        <w:pStyle w:val="6"/>
        <w:ind w:firstLine="480"/>
        <w:rPr>
          <w:rFonts w:ascii="Times New Roman" w:cs="Times New Roman"/>
          <w:b/>
        </w:rPr>
      </w:pPr>
      <w:r>
        <w:rPr>
          <w:rFonts w:ascii="Times New Roman" w:cs="Times New Roman"/>
        </w:rPr>
        <w:t>（3）</w:t>
      </w:r>
      <w:r>
        <w:t>公路穿越段两侧设置管道公路穿越标志桩。</w:t>
      </w:r>
    </w:p>
    <w:p>
      <w:pPr>
        <w:pStyle w:val="6"/>
        <w:ind w:firstLine="482"/>
        <w:rPr>
          <w:rFonts w:ascii="Times New Roman" w:cs="Times New Roman"/>
          <w:b/>
        </w:rPr>
      </w:pPr>
      <w:r>
        <w:rPr>
          <w:rFonts w:hint="eastAsia" w:ascii="Times New Roman" w:cs="Times New Roman"/>
          <w:b/>
        </w:rPr>
        <w:t>5</w:t>
      </w:r>
      <w:r>
        <w:rPr>
          <w:rFonts w:ascii="Times New Roman" w:cs="Times New Roman"/>
          <w:b/>
        </w:rPr>
        <w:t>、</w:t>
      </w:r>
      <w:bookmarkEnd w:id="263"/>
      <w:r>
        <w:rPr>
          <w:rFonts w:ascii="Times New Roman" w:cs="Times New Roman"/>
          <w:b/>
        </w:rPr>
        <w:t>焊接、清管试压干燥置换</w:t>
      </w:r>
    </w:p>
    <w:p>
      <w:pPr>
        <w:pStyle w:val="112"/>
        <w:ind w:firstLine="480"/>
        <w:rPr>
          <w:szCs w:val="24"/>
        </w:rPr>
      </w:pPr>
      <w:r>
        <w:rPr>
          <w:szCs w:val="24"/>
        </w:rPr>
        <w:t>（1）管道焊接</w:t>
      </w:r>
    </w:p>
    <w:p>
      <w:pPr>
        <w:pStyle w:val="112"/>
        <w:ind w:firstLine="480"/>
        <w:rPr>
          <w:szCs w:val="24"/>
        </w:rPr>
      </w:pPr>
      <w:r>
        <w:rPr>
          <w:szCs w:val="24"/>
        </w:rPr>
        <w:t>本工程推荐采用采用氩弧焊打底，手工电弧焊接盖面，施工单位可根据现场情况及自身设备及技术条件调整焊接方式，但必须满足焊接工艺评定相关要求。管道焊缝质量先进行外观检查，外观检查标准应符合《油水长输管道工程施工及验收规范》（GB50369-2006）的规定，合格后方可进行无损检测。</w:t>
      </w:r>
    </w:p>
    <w:p>
      <w:pPr>
        <w:pStyle w:val="112"/>
        <w:ind w:firstLine="480"/>
      </w:pPr>
      <w:r>
        <w:t>（2）探伤</w:t>
      </w:r>
    </w:p>
    <w:p>
      <w:pPr>
        <w:pStyle w:val="112"/>
        <w:ind w:firstLine="480"/>
      </w:pPr>
      <w:r>
        <w:t>本项目管道探伤采用100%全周长超声波探伤，合格后再进行100%的X射线探伤检验。工程探伤检验由专业队伍开展，应按照《工业X射线探伤放射防护要求》（GBZ117—2015）对管道探伤X射线复验进行。采用X射线探伤设备功率为700W，专业队伍在开展探伤工作前，应对项目使用探伤设备到相应环保部门进行登记，取得《辐射许可证》后方可进行。工程探伤检验由专业队伍开展，应按照《工业X射线探伤放射防护要求》（GBZ117—2015）对管道探伤X射线复验进行。</w:t>
      </w:r>
      <w:r>
        <w:rPr>
          <w:b/>
          <w:bCs/>
        </w:rPr>
        <w:t>不在本次评价范围内。</w:t>
      </w:r>
    </w:p>
    <w:p>
      <w:pPr>
        <w:pStyle w:val="112"/>
        <w:ind w:firstLine="480"/>
        <w:rPr>
          <w:szCs w:val="24"/>
        </w:rPr>
      </w:pPr>
      <w:r>
        <w:rPr>
          <w:szCs w:val="24"/>
        </w:rPr>
        <w:t>（3）清管</w:t>
      </w:r>
    </w:p>
    <w:p>
      <w:pPr>
        <w:pStyle w:val="112"/>
        <w:ind w:firstLine="480"/>
        <w:rPr>
          <w:szCs w:val="24"/>
        </w:rPr>
      </w:pPr>
      <w:r>
        <w:rPr>
          <w:szCs w:val="24"/>
        </w:rPr>
        <w:t>分段试压前，应采用清管球（器）进行清管，清管介质应用空气。清管次数不少于3次，以开口端不再排除杂物为合格。分段清管应设临时清管器收发装置，清管器接受装置应选择在地势较高且50m范围内没有建筑物和人口的区域内，并应设警示标志。清管选用复合式清管器，清管球充水后直径过盈量应为管内径的5%~8%。清管时的最大压力不得超过管材最小屈服强度的30%。清管器应适用于管线弯管的曲率半径。</w:t>
      </w:r>
    </w:p>
    <w:p>
      <w:pPr>
        <w:ind w:firstLine="480"/>
        <w:rPr>
          <w:rFonts w:ascii="Times New Roman" w:cs="Times New Roman"/>
        </w:rPr>
      </w:pPr>
      <w:r>
        <w:rPr>
          <w:rFonts w:ascii="Times New Roman" w:cs="Times New Roman"/>
        </w:rPr>
        <w:t>（4）管道试压</w:t>
      </w:r>
    </w:p>
    <w:p>
      <w:pPr>
        <w:pStyle w:val="112"/>
        <w:ind w:firstLine="480"/>
      </w:pPr>
      <w:r>
        <w:t>本工程线路段管道应进行分段试压，用</w:t>
      </w:r>
      <w:r>
        <w:rPr>
          <w:bCs/>
        </w:rPr>
        <w:t>洁净水</w:t>
      </w:r>
      <w:r>
        <w:t>作为试压介质时，每段自然高度应保证最低点管道环向应力不大于0.95σs。水质为无腐蚀性洁净水，试压时水温不得低于5℃，否则应采取防冻措施。注水宜连续，排除管道内的气体。水试压合格后，必须将管段内积水清扫干净。</w:t>
      </w:r>
    </w:p>
    <w:p>
      <w:pPr>
        <w:pStyle w:val="112"/>
        <w:ind w:firstLine="480"/>
      </w:pPr>
      <w:r>
        <w:t>本工程管道试验压力应为：</w:t>
      </w:r>
    </w:p>
    <w:p>
      <w:pPr>
        <w:pStyle w:val="112"/>
        <w:ind w:firstLine="480"/>
      </w:pPr>
      <w:r>
        <w:t>强度试验压力为管道设计压力的1.5倍，严密性试验的压力为管道的设计压力。</w:t>
      </w:r>
    </w:p>
    <w:p>
      <w:pPr>
        <w:pStyle w:val="112"/>
        <w:ind w:firstLine="480"/>
      </w:pPr>
      <w:r>
        <w:t>管道强度试验时，应缓慢升压，压力分别升至试验压力的30%和60%，各稳压30min，检查管道无变形、无渗漏后，继续升至强度试验压力，稳压4h，管道无断裂，目测无变形、无渗漏、压降小于或等于试验压力的1%且不大于0.1MPa为合格。强度试压合格后，应对整个管道进行卸压，卸压后应采取如通球等措施将水排除。</w:t>
      </w:r>
    </w:p>
    <w:p>
      <w:pPr>
        <w:pStyle w:val="112"/>
        <w:ind w:firstLine="480"/>
        <w:rPr>
          <w:bCs/>
        </w:rPr>
      </w:pPr>
      <w:r>
        <w:rPr>
          <w:bCs/>
        </w:rPr>
        <w:t>严密性试验应在强度试验合格后进行。</w:t>
      </w:r>
    </w:p>
    <w:p>
      <w:pPr>
        <w:pStyle w:val="112"/>
        <w:ind w:firstLine="480"/>
        <w:rPr>
          <w:bCs/>
        </w:rPr>
      </w:pPr>
      <w:r>
        <w:rPr>
          <w:bCs/>
        </w:rPr>
        <w:t>采用无腐蚀性洁净水进行严密性试验时，应将管道内压力值降至设计压力，后</w:t>
      </w:r>
      <w:r>
        <w:rPr>
          <w:bCs/>
        </w:rPr>
        <w:tab/>
      </w:r>
      <w:r>
        <w:rPr>
          <w:bCs/>
        </w:rPr>
        <w:t>稳压24h，若巡线检查管道无断裂，目测无变形、无渗漏。压降率不大于试验压力值的1%且不大于0.1MPa为合格。管道稳压时间内的压降</w:t>
      </w:r>
      <w:r>
        <w:rPr>
          <w:rFonts w:hint="eastAsia" w:ascii="宋体" w:hAnsi="宋体" w:cs="宋体"/>
          <w:bCs/>
        </w:rPr>
        <w:t>△</w:t>
      </w:r>
      <w:r>
        <w:rPr>
          <w:bCs/>
        </w:rPr>
        <w:t>P应按《高含硫化氢气田集输管道工程施工技术规范》（SY/T 4119-2016）的要求计算。</w:t>
      </w:r>
    </w:p>
    <w:p>
      <w:pPr>
        <w:ind w:firstLine="480"/>
        <w:rPr>
          <w:rFonts w:ascii="Times New Roman" w:cs="Times New Roman"/>
        </w:rPr>
      </w:pPr>
      <w:r>
        <w:rPr>
          <w:rFonts w:ascii="Times New Roman" w:cs="Times New Roman"/>
        </w:rPr>
        <w:t>（5）管道干燥</w:t>
      </w:r>
    </w:p>
    <w:p>
      <w:pPr>
        <w:pStyle w:val="112"/>
        <w:ind w:firstLine="480"/>
      </w:pPr>
      <w:r>
        <w:t>本工程为湿气输送，故原料气管道可不进行干燥。</w:t>
      </w:r>
    </w:p>
    <w:p>
      <w:pPr>
        <w:pStyle w:val="112"/>
        <w:ind w:firstLine="480"/>
      </w:pPr>
      <w:r>
        <w:t>燃料气管道在投运前应进行彻底干燥。干燥前，应先用清管器连续三次清扫管道内残余水，后用干燥的空气吹扫干净，当测量管道内空气水露点低于-15℃为合格。</w:t>
      </w:r>
    </w:p>
    <w:p>
      <w:pPr>
        <w:ind w:firstLine="480"/>
        <w:rPr>
          <w:rFonts w:ascii="Times New Roman" w:cs="Times New Roman"/>
        </w:rPr>
      </w:pPr>
      <w:r>
        <w:rPr>
          <w:rFonts w:ascii="Times New Roman" w:cs="Times New Roman"/>
        </w:rPr>
        <w:t>（6）管道置换</w:t>
      </w:r>
    </w:p>
    <w:p>
      <w:pPr>
        <w:pStyle w:val="112"/>
        <w:ind w:firstLine="480"/>
      </w:pPr>
      <w:r>
        <w:t>管道及设备投用前需用氮气对天然气系统进行置换。置换氮气压力为0.2～0.3MPa，置换宜分段反复进行，直至置换排气中氧含量小于2%为止。氮气置换合格后用天然气进行系统置换。</w:t>
      </w:r>
    </w:p>
    <w:p>
      <w:pPr>
        <w:pStyle w:val="112"/>
        <w:ind w:firstLine="480"/>
      </w:pPr>
      <w:r>
        <w:t>（7）投运</w:t>
      </w:r>
    </w:p>
    <w:p>
      <w:pPr>
        <w:pStyle w:val="112"/>
        <w:ind w:firstLine="480"/>
      </w:pPr>
      <w:r>
        <w:t>试压合格后，管道管理单位应根据《天然气管道运行规范》（SY/T5922-2012）相关规定制定投运方案及相应的安全应急预案，经相关部门审查通过后实施。</w:t>
      </w:r>
    </w:p>
    <w:p>
      <w:pPr>
        <w:pStyle w:val="112"/>
        <w:ind w:firstLine="482"/>
        <w:rPr>
          <w:b/>
          <w:bCs/>
        </w:rPr>
      </w:pPr>
      <w:bookmarkStart w:id="264" w:name="OLE_LINK149"/>
      <w:bookmarkStart w:id="265" w:name="OLE_LINK150"/>
      <w:r>
        <w:rPr>
          <w:b/>
          <w:bCs/>
        </w:rPr>
        <w:t>（二）站场工程</w:t>
      </w:r>
    </w:p>
    <w:p>
      <w:pPr>
        <w:pStyle w:val="112"/>
        <w:ind w:firstLine="480"/>
      </w:pPr>
      <w:r>
        <w:t>本工程</w:t>
      </w:r>
      <w:r>
        <w:rPr>
          <w:rFonts w:hint="eastAsia"/>
        </w:rPr>
        <w:t>建设</w:t>
      </w:r>
      <w:bookmarkEnd w:id="264"/>
      <w:bookmarkEnd w:id="265"/>
      <w:r>
        <w:t>普陆4集气平台</w:t>
      </w:r>
      <w:r>
        <w:rPr>
          <w:rFonts w:hint="eastAsia"/>
        </w:rPr>
        <w:t>一座</w:t>
      </w:r>
      <w:r>
        <w:t>。站场建设过程产生扬尘、机械设备噪声、施工队生活污水、混凝土搅拌废水、生活垃圾及建筑垃圾等。</w:t>
      </w:r>
    </w:p>
    <w:p>
      <w:pPr>
        <w:pStyle w:val="112"/>
        <w:ind w:firstLine="482"/>
        <w:rPr>
          <w:b/>
          <w:bCs/>
        </w:rPr>
      </w:pPr>
      <w:r>
        <w:rPr>
          <w:b/>
          <w:bCs/>
        </w:rPr>
        <w:t>（</w:t>
      </w:r>
      <w:r>
        <w:rPr>
          <w:rFonts w:hint="eastAsia"/>
          <w:b/>
          <w:bCs/>
        </w:rPr>
        <w:t>三</w:t>
      </w:r>
      <w:r>
        <w:rPr>
          <w:b/>
          <w:bCs/>
        </w:rPr>
        <w:t>）</w:t>
      </w:r>
      <w:r>
        <w:rPr>
          <w:rFonts w:hint="eastAsia"/>
          <w:b/>
          <w:bCs/>
        </w:rPr>
        <w:t>钻井</w:t>
      </w:r>
      <w:r>
        <w:rPr>
          <w:b/>
          <w:bCs/>
        </w:rPr>
        <w:t>工程</w:t>
      </w:r>
    </w:p>
    <w:p>
      <w:pPr>
        <w:pStyle w:val="551"/>
        <w:spacing w:line="360" w:lineRule="auto"/>
        <w:ind w:firstLine="480"/>
        <w:rPr>
          <w:rFonts w:ascii="Times New Roman" w:hAnsi="Times New Roman"/>
        </w:rPr>
      </w:pPr>
      <w:bookmarkStart w:id="266" w:name="OLE_LINK147"/>
      <w:bookmarkStart w:id="267" w:name="OLE_LINK148"/>
      <w:r>
        <w:rPr>
          <w:rFonts w:ascii="Times New Roman" w:hAnsi="Times New Roman"/>
        </w:rPr>
        <w:t>钻井工程主要包括钻进、钻进辅助作业、固井等过程。</w:t>
      </w:r>
      <w:bookmarkEnd w:id="266"/>
      <w:bookmarkEnd w:id="267"/>
    </w:p>
    <w:p>
      <w:pPr>
        <w:pStyle w:val="551"/>
        <w:spacing w:line="360" w:lineRule="auto"/>
        <w:ind w:firstLine="480"/>
        <w:rPr>
          <w:rFonts w:ascii="Times New Roman" w:hAnsi="Times New Roman"/>
        </w:rPr>
      </w:pPr>
      <w:r>
        <w:rPr>
          <w:rFonts w:ascii="Times New Roman" w:hAnsi="Times New Roman"/>
        </w:rPr>
        <w:t>钻进由起下钻、接单根、钻进等作业组成；钻进辅助作业由电测井、取心钻进、综合录井、中途测试等作业组成；固井由下套管和注固井液两个过程组成；完井作业采用套管完井、洗井等工艺，完井后设备搬迁。钻井过程采用网电。</w:t>
      </w:r>
    </w:p>
    <w:p>
      <w:pPr>
        <w:pStyle w:val="562"/>
        <w:numPr>
          <w:ilvl w:val="0"/>
          <w:numId w:val="0"/>
        </w:numPr>
        <w:spacing w:line="360" w:lineRule="auto"/>
        <w:ind w:left="476"/>
        <w:rPr>
          <w:rFonts w:ascii="Times New Roman" w:hAnsi="Times New Roman"/>
        </w:rPr>
      </w:pPr>
      <w:r>
        <w:rPr>
          <w:rFonts w:ascii="Times New Roman" w:hAnsi="Times New Roman"/>
        </w:rPr>
        <w:t>（1）钻井过程</w:t>
      </w:r>
    </w:p>
    <w:p>
      <w:pPr>
        <w:pStyle w:val="112"/>
        <w:ind w:firstLine="480"/>
      </w:pPr>
      <w:r>
        <w:rPr>
          <w:rFonts w:hint="eastAsia"/>
        </w:rPr>
        <w:t>钻井工程以网电为动力（备用柴油发电机），通过钻机、转盘，带动钻头切削地层，同时由泥浆泵经钻杆向井内注入高压泥浆，冲刷井底，将切削下的岩屑不断带至地面，整个过程循环进行，直至目的井深；钻井中途需要停钻，以便起下钻具更换钻头、下套管、固井、替换洗井液和检修设备；当钻井钻至目的层位后即可进入完井阶段，完井阶段采用的是衬管完井（备用裸眼），然后再进行压裂作业，以实现储层改造。钻井作业 24 小时连续作业。本项目钻井方式为泥浆钻井方式，导管及一开采用水基泥浆钻井，二开采用油基钻井液。</w:t>
      </w:r>
      <w:r>
        <w:t>钻</w:t>
      </w:r>
      <w:r>
        <w:rPr>
          <w:rFonts w:hint="eastAsia"/>
        </w:rPr>
        <w:t>井</w:t>
      </w:r>
      <w:r>
        <w:t>过程工艺流程及产污环节见图</w:t>
      </w:r>
      <w:r>
        <w:rPr>
          <w:rFonts w:hint="eastAsia"/>
        </w:rPr>
        <w:t>4.1-2。</w:t>
      </w:r>
    </w:p>
    <w:p>
      <w:pPr>
        <w:pStyle w:val="112"/>
        <w:ind w:firstLine="480"/>
      </w:pPr>
    </w:p>
    <w:p>
      <w:pPr>
        <w:pStyle w:val="112"/>
        <w:ind w:firstLine="480"/>
      </w:pPr>
    </w:p>
    <w:p>
      <w:pPr>
        <w:pStyle w:val="112"/>
        <w:ind w:firstLine="480"/>
      </w:pPr>
    </w:p>
    <w:p>
      <w:pPr>
        <w:pStyle w:val="112"/>
        <w:ind w:firstLine="480"/>
      </w:pPr>
    </w:p>
    <w:p>
      <w:pPr>
        <w:pStyle w:val="112"/>
        <w:ind w:firstLine="480"/>
      </w:pPr>
    </w:p>
    <w:p>
      <w:pPr>
        <w:pStyle w:val="112"/>
        <w:ind w:firstLine="480"/>
      </w:pPr>
    </w:p>
    <w:p>
      <w:pPr>
        <w:pStyle w:val="112"/>
        <w:ind w:firstLine="480"/>
      </w:pPr>
    </w:p>
    <w:p>
      <w:pPr>
        <w:pStyle w:val="112"/>
        <w:ind w:firstLine="480"/>
      </w:pPr>
    </w:p>
    <w:p>
      <w:pPr>
        <w:pStyle w:val="112"/>
        <w:ind w:firstLine="480"/>
      </w:pPr>
    </w:p>
    <w:p>
      <w:pPr>
        <w:pStyle w:val="112"/>
        <w:ind w:firstLine="480"/>
      </w:pPr>
    </w:p>
    <w:p>
      <w:pPr>
        <w:pStyle w:val="112"/>
        <w:ind w:firstLine="480"/>
      </w:pPr>
    </w:p>
    <w:p>
      <w:pPr>
        <w:pStyle w:val="112"/>
        <w:ind w:firstLine="480"/>
      </w:pPr>
    </w:p>
    <w:p>
      <w:pPr>
        <w:pStyle w:val="112"/>
        <w:ind w:firstLine="480"/>
      </w:pPr>
    </w:p>
    <w:p>
      <w:pPr>
        <w:pStyle w:val="112"/>
        <w:ind w:firstLine="480"/>
      </w:pPr>
    </w:p>
    <w:p>
      <w:pPr>
        <w:pStyle w:val="112"/>
        <w:ind w:firstLine="480"/>
      </w:pPr>
    </w:p>
    <w:p>
      <w:pPr>
        <w:pStyle w:val="112"/>
        <w:ind w:firstLine="480"/>
      </w:pPr>
    </w:p>
    <w:p>
      <w:pPr>
        <w:pStyle w:val="112"/>
        <w:ind w:firstLine="480"/>
      </w:pPr>
    </w:p>
    <w:p>
      <w:pPr>
        <w:pStyle w:val="112"/>
        <w:ind w:firstLine="480"/>
      </w:pPr>
    </w:p>
    <w:p>
      <w:pPr>
        <w:pStyle w:val="112"/>
        <w:ind w:firstLine="480"/>
      </w:pPr>
    </w:p>
    <w:p>
      <w:pPr>
        <w:pStyle w:val="112"/>
        <w:ind w:firstLine="480"/>
      </w:pPr>
    </w:p>
    <w:p>
      <w:pPr>
        <w:pStyle w:val="112"/>
        <w:ind w:firstLine="480"/>
      </w:pPr>
    </w:p>
    <w:p>
      <w:pPr>
        <w:pStyle w:val="112"/>
        <w:ind w:firstLine="480"/>
      </w:pPr>
    </w:p>
    <w:p>
      <w:pPr>
        <w:pStyle w:val="112"/>
        <w:ind w:firstLine="480"/>
        <w:sectPr>
          <w:headerReference r:id="rId24" w:type="default"/>
          <w:footerReference r:id="rId25" w:type="default"/>
          <w:pgSz w:w="11906" w:h="16838"/>
          <w:pgMar w:top="1440" w:right="1800" w:bottom="1440" w:left="1800" w:header="851" w:footer="992" w:gutter="0"/>
          <w:cols w:space="425" w:num="1"/>
          <w:docGrid w:type="lines" w:linePitch="312" w:charSpace="0"/>
        </w:sectPr>
      </w:pPr>
    </w:p>
    <w:p>
      <w:pPr>
        <w:pStyle w:val="112"/>
        <w:ind w:firstLine="480"/>
      </w:pPr>
      <w:r>
        <w:drawing>
          <wp:inline distT="0" distB="0" distL="0" distR="0">
            <wp:extent cx="8484870" cy="3786505"/>
            <wp:effectExtent l="19050" t="0" r="0" b="0"/>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0"/>
                    <pic:cNvPicPr>
                      <a:picLocks noChangeAspect="1" noChangeArrowheads="1"/>
                    </pic:cNvPicPr>
                  </pic:nvPicPr>
                  <pic:blipFill>
                    <a:blip r:embed="rId56" cstate="print"/>
                    <a:srcRect/>
                    <a:stretch>
                      <a:fillRect/>
                    </a:stretch>
                  </pic:blipFill>
                  <pic:spPr>
                    <a:xfrm>
                      <a:off x="0" y="0"/>
                      <a:ext cx="8494668" cy="3791340"/>
                    </a:xfrm>
                    <a:prstGeom prst="rect">
                      <a:avLst/>
                    </a:prstGeom>
                    <a:noFill/>
                    <a:ln w="9525">
                      <a:noFill/>
                      <a:miter lim="800000"/>
                      <a:headEnd/>
                      <a:tailEnd/>
                    </a:ln>
                  </pic:spPr>
                </pic:pic>
              </a:graphicData>
            </a:graphic>
          </wp:inline>
        </w:drawing>
      </w:r>
    </w:p>
    <w:p>
      <w:pPr>
        <w:pStyle w:val="112"/>
        <w:ind w:firstLine="422"/>
        <w:jc w:val="center"/>
      </w:pPr>
      <w:r>
        <w:rPr>
          <w:rFonts w:hint="eastAsia"/>
          <w:b/>
          <w:sz w:val="21"/>
          <w:szCs w:val="21"/>
        </w:rPr>
        <w:t>图</w:t>
      </w:r>
      <w:r>
        <w:rPr>
          <w:b/>
          <w:sz w:val="21"/>
          <w:szCs w:val="21"/>
        </w:rPr>
        <w:t>4</w:t>
      </w:r>
      <w:r>
        <w:rPr>
          <w:rFonts w:hint="eastAsia"/>
          <w:b/>
          <w:sz w:val="21"/>
          <w:szCs w:val="21"/>
        </w:rPr>
        <w:t>.1</w:t>
      </w:r>
      <w:r>
        <w:rPr>
          <w:b/>
          <w:sz w:val="21"/>
          <w:szCs w:val="21"/>
        </w:rPr>
        <w:t>-</w:t>
      </w:r>
      <w:r>
        <w:rPr>
          <w:rFonts w:hint="eastAsia"/>
          <w:b/>
          <w:sz w:val="21"/>
          <w:szCs w:val="21"/>
        </w:rPr>
        <w:t>2</w:t>
      </w:r>
      <w:r>
        <w:rPr>
          <w:b/>
          <w:sz w:val="21"/>
          <w:szCs w:val="21"/>
        </w:rPr>
        <w:t xml:space="preserve">  </w:t>
      </w:r>
      <w:r>
        <w:rPr>
          <w:rFonts w:hint="eastAsia"/>
          <w:b/>
          <w:sz w:val="21"/>
          <w:szCs w:val="21"/>
        </w:rPr>
        <w:t>钻井过程</w:t>
      </w:r>
      <w:r>
        <w:rPr>
          <w:b/>
          <w:sz w:val="21"/>
          <w:szCs w:val="21"/>
        </w:rPr>
        <w:t>工艺流程及产污环节图</w:t>
      </w:r>
    </w:p>
    <w:p>
      <w:pPr>
        <w:pStyle w:val="112"/>
        <w:ind w:firstLine="480"/>
      </w:pPr>
    </w:p>
    <w:p>
      <w:pPr>
        <w:pStyle w:val="112"/>
        <w:ind w:firstLine="480"/>
        <w:sectPr>
          <w:pgSz w:w="16838" w:h="11906" w:orient="landscape"/>
          <w:pgMar w:top="1797" w:right="1440" w:bottom="1797" w:left="1440" w:header="851" w:footer="992" w:gutter="0"/>
          <w:cols w:space="425" w:num="1"/>
          <w:docGrid w:type="linesAndChars" w:linePitch="312" w:charSpace="0"/>
        </w:sectPr>
      </w:pPr>
    </w:p>
    <w:p>
      <w:pPr>
        <w:pStyle w:val="112"/>
        <w:ind w:firstLine="480"/>
      </w:pPr>
      <w:r>
        <w:rPr>
          <w:rFonts w:hint="eastAsia"/>
        </w:rPr>
        <w:t>1）钻井</w:t>
      </w:r>
    </w:p>
    <w:p>
      <w:pPr>
        <w:pStyle w:val="112"/>
        <w:ind w:firstLine="480"/>
      </w:pPr>
      <w:r>
        <w:rPr>
          <w:rFonts w:hint="eastAsia"/>
        </w:rPr>
        <w:t>本工程采用常规钻井工艺，钻井工程作业正常情况下以网电为动力，停电等非正常情况下以柴油机为动力，通过钻机、转盘，带动钻杆切削地层，同时用泥浆泵经钻杆向井内注入高压泥浆，冲刷井底，将切削下的岩屑不断带至地面，整个过程循环进行，使井不断加深，直至目的井深。钻井中途会停钻，以起下钻具更换钻头、下套管、固井、替换洗井液、设备检修等。钻井工艺设备组成示意见图 4.1-3。</w:t>
      </w:r>
    </w:p>
    <w:p>
      <w:pPr>
        <w:pStyle w:val="112"/>
        <w:ind w:firstLine="0" w:firstLineChars="0"/>
        <w:jc w:val="center"/>
      </w:pPr>
      <w:r>
        <w:drawing>
          <wp:inline distT="0" distB="0" distL="0" distR="0">
            <wp:extent cx="3451860" cy="4417695"/>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7" cstate="print"/>
                    <a:srcRect/>
                    <a:stretch>
                      <a:fillRect/>
                    </a:stretch>
                  </pic:blipFill>
                  <pic:spPr>
                    <a:xfrm>
                      <a:off x="0" y="0"/>
                      <a:ext cx="3451860" cy="4417695"/>
                    </a:xfrm>
                    <a:prstGeom prst="rect">
                      <a:avLst/>
                    </a:prstGeom>
                    <a:noFill/>
                    <a:ln w="9525">
                      <a:noFill/>
                      <a:miter lim="800000"/>
                      <a:headEnd/>
                      <a:tailEnd/>
                    </a:ln>
                  </pic:spPr>
                </pic:pic>
              </a:graphicData>
            </a:graphic>
          </wp:inline>
        </w:drawing>
      </w:r>
      <w:r>
        <w:t xml:space="preserve"> </w:t>
      </w:r>
    </w:p>
    <w:p>
      <w:pPr>
        <w:pStyle w:val="112"/>
        <w:ind w:firstLine="0" w:firstLineChars="0"/>
        <w:jc w:val="center"/>
      </w:pPr>
      <w:r>
        <w:rPr>
          <w:rFonts w:hint="eastAsia"/>
          <w:b/>
          <w:sz w:val="21"/>
          <w:szCs w:val="21"/>
        </w:rPr>
        <w:t>图</w:t>
      </w:r>
      <w:r>
        <w:rPr>
          <w:b/>
          <w:sz w:val="21"/>
          <w:szCs w:val="21"/>
        </w:rPr>
        <w:t>4</w:t>
      </w:r>
      <w:r>
        <w:rPr>
          <w:rFonts w:hint="eastAsia"/>
          <w:b/>
          <w:sz w:val="21"/>
          <w:szCs w:val="21"/>
        </w:rPr>
        <w:t>.1</w:t>
      </w:r>
      <w:r>
        <w:rPr>
          <w:b/>
          <w:sz w:val="21"/>
          <w:szCs w:val="21"/>
        </w:rPr>
        <w:t>-</w:t>
      </w:r>
      <w:r>
        <w:rPr>
          <w:rFonts w:hint="eastAsia"/>
          <w:b/>
          <w:sz w:val="21"/>
          <w:szCs w:val="21"/>
        </w:rPr>
        <w:t>3</w:t>
      </w:r>
      <w:r>
        <w:rPr>
          <w:b/>
          <w:sz w:val="21"/>
          <w:szCs w:val="21"/>
        </w:rPr>
        <w:t xml:space="preserve">  </w:t>
      </w:r>
      <w:r>
        <w:rPr>
          <w:rFonts w:hint="eastAsia"/>
          <w:b/>
          <w:sz w:val="21"/>
          <w:szCs w:val="21"/>
        </w:rPr>
        <w:t>钻井工艺设备组成示意图</w:t>
      </w:r>
    </w:p>
    <w:p>
      <w:pPr>
        <w:pStyle w:val="112"/>
        <w:ind w:firstLine="480"/>
      </w:pPr>
      <w:r>
        <w:rPr>
          <w:rFonts w:hint="eastAsia"/>
        </w:rPr>
        <w:t>2）钻井液循环系统</w:t>
      </w:r>
    </w:p>
    <w:p>
      <w:pPr>
        <w:pStyle w:val="112"/>
        <w:ind w:firstLine="480"/>
      </w:pPr>
      <w:r>
        <w:rPr>
          <w:rFonts w:hint="eastAsia"/>
        </w:rPr>
        <w:t>钻井泥浆系统是钻井工程的核心部分，钻井泥浆分为可生物降解、水基、油基三种，清洁性能依次减弱。泥浆循环系统主要包括钻井液振动筛、真空除气器、除砂器、除泥器，除砂除泥一体机、液气分离器、搅拌器、砂泵、泥浆罐等石油钻井固控设备及成套泥浆循环系统，泥浆循环系统，适用于油井、水井钻探中泥浆循环作业。箱体外壳均用钢板压制成型，外形美观，强度高。</w:t>
      </w:r>
    </w:p>
    <w:p>
      <w:pPr>
        <w:pStyle w:val="112"/>
        <w:ind w:firstLine="480"/>
      </w:pPr>
      <w:r>
        <w:rPr>
          <w:rFonts w:hint="eastAsia"/>
        </w:rPr>
        <w:t>钻井泥浆泵经钻杆向井内注入高压钻井泥浆，通过钻头挤入井底，冲刷井底，将钻头切削下的岩屑不断地带至地面，通过泥浆循环系统实现泥浆与岩屑的分离，回收泥浆进入泥浆罐再利用。本项目涉及普陆4-1H井；使用水基钻井液钻井，有利于降低作业成本，减少对地层污染。钻井过程严格按照中国石油化工股份有限公司中原油田普光分公司钻井作业指导书进行，强化泥浆的循环利用率。完井后泥浆循环系统中产生的合格泥浆暂存在泥浆储备罐内，用于区域内其他井水基泥浆配置。钻井过程中产生的废弃泥浆通过现场泥浆不落地工艺进行固液分离，回收上清液用于泥浆配置，剩余废水经预处理后由罐车拉运至大湾 403污水站处理达标后管输至毛开 1 井回注站回注，不外排；水基钻井固废</w:t>
      </w:r>
      <w:r>
        <w:t>就近交给依法取得生态环境部门关于利用和处置相关工业固体废物项目环评批复、具有处理处置相应固体废物能力并配套建设有废气、废水、固废等污染物治理设施的单位</w:t>
      </w:r>
      <w:r>
        <w:rPr>
          <w:rFonts w:hint="eastAsia"/>
        </w:rPr>
        <w:t>进行资源化利用；油基钻井固废交由资质单位处置。</w:t>
      </w:r>
    </w:p>
    <w:p>
      <w:pPr>
        <w:pStyle w:val="112"/>
        <w:ind w:firstLine="480"/>
      </w:pPr>
      <w:r>
        <w:rPr>
          <w:rFonts w:hint="eastAsia"/>
        </w:rPr>
        <w:t>3）泥浆不落地系统</w:t>
      </w:r>
    </w:p>
    <w:p>
      <w:pPr>
        <w:pStyle w:val="112"/>
        <w:ind w:firstLine="480"/>
      </w:pPr>
      <w:r>
        <w:rPr>
          <w:rFonts w:hint="eastAsia"/>
        </w:rPr>
        <w:t>泥浆不落地处置工艺流程图见图4.1-4。</w:t>
      </w:r>
    </w:p>
    <w:p>
      <w:pPr>
        <w:pStyle w:val="112"/>
        <w:ind w:firstLine="199" w:firstLineChars="83"/>
        <w:jc w:val="center"/>
      </w:pPr>
      <w:r>
        <w:rPr>
          <w:rFonts w:hint="eastAsia"/>
        </w:rPr>
        <w:drawing>
          <wp:inline distT="0" distB="0" distL="0" distR="0">
            <wp:extent cx="5274310" cy="3222625"/>
            <wp:effectExtent l="19050" t="0" r="2540" b="0"/>
            <wp:docPr id="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6"/>
                    <pic:cNvPicPr>
                      <a:picLocks noChangeAspect="1" noChangeArrowheads="1"/>
                    </pic:cNvPicPr>
                  </pic:nvPicPr>
                  <pic:blipFill>
                    <a:blip r:embed="rId58" cstate="print"/>
                    <a:srcRect/>
                    <a:stretch>
                      <a:fillRect/>
                    </a:stretch>
                  </pic:blipFill>
                  <pic:spPr>
                    <a:xfrm>
                      <a:off x="0" y="0"/>
                      <a:ext cx="5274310" cy="3223245"/>
                    </a:xfrm>
                    <a:prstGeom prst="rect">
                      <a:avLst/>
                    </a:prstGeom>
                    <a:noFill/>
                    <a:ln w="9525">
                      <a:noFill/>
                      <a:miter lim="800000"/>
                      <a:headEnd/>
                      <a:tailEnd/>
                    </a:ln>
                  </pic:spPr>
                </pic:pic>
              </a:graphicData>
            </a:graphic>
          </wp:inline>
        </w:drawing>
      </w:r>
    </w:p>
    <w:p>
      <w:pPr>
        <w:pStyle w:val="112"/>
        <w:ind w:firstLine="175" w:firstLineChars="83"/>
        <w:jc w:val="center"/>
      </w:pPr>
      <w:r>
        <w:rPr>
          <w:rFonts w:hint="eastAsia"/>
          <w:b/>
          <w:sz w:val="21"/>
          <w:szCs w:val="21"/>
        </w:rPr>
        <w:t>图</w:t>
      </w:r>
      <w:r>
        <w:rPr>
          <w:b/>
          <w:sz w:val="21"/>
          <w:szCs w:val="21"/>
        </w:rPr>
        <w:t>4</w:t>
      </w:r>
      <w:r>
        <w:rPr>
          <w:rFonts w:hint="eastAsia"/>
          <w:b/>
          <w:sz w:val="21"/>
          <w:szCs w:val="21"/>
        </w:rPr>
        <w:t>.1</w:t>
      </w:r>
      <w:r>
        <w:rPr>
          <w:b/>
          <w:sz w:val="21"/>
          <w:szCs w:val="21"/>
        </w:rPr>
        <w:t>-</w:t>
      </w:r>
      <w:r>
        <w:rPr>
          <w:rFonts w:hint="eastAsia"/>
          <w:b/>
          <w:sz w:val="21"/>
          <w:szCs w:val="21"/>
        </w:rPr>
        <w:t>4</w:t>
      </w:r>
      <w:r>
        <w:rPr>
          <w:b/>
          <w:sz w:val="21"/>
          <w:szCs w:val="21"/>
        </w:rPr>
        <w:t xml:space="preserve">  </w:t>
      </w:r>
      <w:r>
        <w:rPr>
          <w:rFonts w:hint="eastAsia"/>
          <w:b/>
          <w:sz w:val="21"/>
          <w:szCs w:val="21"/>
        </w:rPr>
        <w:t>泥浆不落地处置工艺流程图</w:t>
      </w:r>
    </w:p>
    <w:p>
      <w:pPr>
        <w:pStyle w:val="112"/>
        <w:ind w:firstLine="480"/>
      </w:pPr>
      <w:r>
        <w:rPr>
          <w:rFonts w:hint="eastAsia"/>
        </w:rPr>
        <w:t>泥浆不落地处理工艺含泥浆不落地装置一套，占地面积 310m</w:t>
      </w:r>
      <w:r>
        <w:rPr>
          <w:rFonts w:hint="eastAsia"/>
          <w:vertAlign w:val="superscript"/>
        </w:rPr>
        <w:t>2</w:t>
      </w:r>
      <w:r>
        <w:rPr>
          <w:rFonts w:hint="eastAsia"/>
        </w:rPr>
        <w:t>。主要包含40m</w:t>
      </w:r>
      <w:r>
        <w:rPr>
          <w:rFonts w:hint="eastAsia"/>
          <w:vertAlign w:val="superscript"/>
        </w:rPr>
        <w:t>3</w:t>
      </w:r>
      <w:r>
        <w:rPr>
          <w:rFonts w:hint="eastAsia"/>
        </w:rPr>
        <w:t>废水罐4个；20m</w:t>
      </w:r>
      <w:r>
        <w:rPr>
          <w:rFonts w:hint="eastAsia"/>
          <w:vertAlign w:val="superscript"/>
        </w:rPr>
        <w:t>3</w:t>
      </w:r>
      <w:r>
        <w:rPr>
          <w:rFonts w:hint="eastAsia"/>
        </w:rPr>
        <w:t>岩屑固化罐4个；3m</w:t>
      </w:r>
      <w:r>
        <w:rPr>
          <w:rFonts w:hint="eastAsia"/>
          <w:vertAlign w:val="superscript"/>
        </w:rPr>
        <w:t>3</w:t>
      </w:r>
      <w:r>
        <w:rPr>
          <w:rFonts w:hint="eastAsia"/>
        </w:rPr>
        <w:t>岩屑收集罐8个；化学品存放区。</w:t>
      </w:r>
    </w:p>
    <w:p>
      <w:pPr>
        <w:pStyle w:val="112"/>
        <w:ind w:firstLine="480"/>
      </w:pPr>
      <w:r>
        <w:rPr>
          <w:rFonts w:hint="eastAsia"/>
        </w:rPr>
        <w:t>泥浆不落地处理工艺流程为：钻井循环系统振动筛、除砂除泥器产生的钻井废弃物通过滑槽及螺旋输送机收集暂存于隔油罐，随后泵入沉淀罐处理。泥饼卸料后由皮带输送机或螺旋输送机输送到设备岩屑固化罐，处置后泥饼含水率一般保持在 40%~50%的范围内。</w:t>
      </w:r>
      <w:r>
        <w:cr/>
      </w:r>
      <w:r>
        <w:rPr>
          <w:rFonts w:hint="eastAsia"/>
        </w:rPr>
        <w:t xml:space="preserve">    （</w:t>
      </w:r>
      <w:r>
        <w:t>2</w:t>
      </w:r>
      <w:r>
        <w:rPr>
          <w:rFonts w:hint="eastAsia"/>
        </w:rPr>
        <w:t>）钻井辅助作业</w:t>
      </w:r>
    </w:p>
    <w:p>
      <w:pPr>
        <w:pStyle w:val="551"/>
        <w:ind w:firstLine="480"/>
      </w:pPr>
      <w:r>
        <w:rPr>
          <w:rFonts w:hint="eastAsia"/>
        </w:rPr>
        <w:t>钻井辅助作业由测井、取心钻进、录井、中途测试等作业组成。</w:t>
      </w:r>
    </w:p>
    <w:p>
      <w:pPr>
        <w:pStyle w:val="551"/>
        <w:ind w:firstLine="480"/>
      </w:pPr>
      <w:r>
        <w:rPr>
          <w:rFonts w:hint="eastAsia"/>
        </w:rPr>
        <w:t>测井是利用电、磁、声、热、核等物理原理制造的各种测井仪器，由测井电缆下入井内，使地面电测仪可沿着井筒连续记录随深度变化的各种参数。通过表示这类参数的曲线，来识别地下的岩层，如油、气、水层、煤层、金属矿床等。目前中原</w:t>
      </w:r>
      <w:r>
        <w:t>油田普光分公司测井</w:t>
      </w:r>
      <w:r>
        <w:rPr>
          <w:rFonts w:hint="eastAsia"/>
        </w:rPr>
        <w:t>还</w:t>
      </w:r>
      <w:r>
        <w:t>未用</w:t>
      </w:r>
      <w:r>
        <w:rPr>
          <w:rFonts w:hint="eastAsia"/>
        </w:rPr>
        <w:t>核元素</w:t>
      </w:r>
      <w:r>
        <w:t>测井。</w:t>
      </w:r>
    </w:p>
    <w:p>
      <w:pPr>
        <w:pStyle w:val="551"/>
        <w:ind w:firstLine="480"/>
      </w:pPr>
      <w:r>
        <w:rPr>
          <w:rFonts w:hint="eastAsia"/>
        </w:rPr>
        <w:t>取心是在钻井过程中使用特殊的取心工具把地下岩石成块地取到地面上来，这种成块的岩石叫做岩心，通过它可以测定岩石的各种性质，直观的研究地下构造和岩石沉积环境，了解其中的流体性质等。</w:t>
      </w:r>
    </w:p>
    <w:p>
      <w:pPr>
        <w:pStyle w:val="551"/>
        <w:ind w:firstLine="480"/>
      </w:pPr>
      <w:r>
        <w:rPr>
          <w:rFonts w:hint="eastAsia"/>
        </w:rPr>
        <w:t>录井是根据测井数据、现场录井数据及综合分析化验数据进行岩性解释、归位，确定含油、气、水产状。</w:t>
      </w:r>
    </w:p>
    <w:p>
      <w:pPr>
        <w:pStyle w:val="551"/>
        <w:ind w:firstLine="480"/>
      </w:pPr>
      <w:r>
        <w:rPr>
          <w:rFonts w:hint="eastAsia"/>
        </w:rPr>
        <w:t>中途测试是在钻井过程中如果发现良好油气显示即停止钻进，对可能的油、气层进行测试求产。其方法一般有钻杆地层测试，是使用钻杆或油管把带封隔器的地层测试器下入井中进行试油的一种先进技术。它既可以在已下入套管的井中进行测试，也可在未下入套管的裸眼井中进行测试；既可在钻井完成后进行测试，又可在钻井中途进行测试。</w:t>
      </w:r>
    </w:p>
    <w:p>
      <w:pPr>
        <w:pStyle w:val="562"/>
        <w:numPr>
          <w:ilvl w:val="0"/>
          <w:numId w:val="0"/>
        </w:numPr>
        <w:ind w:left="476"/>
      </w:pPr>
      <w:bookmarkStart w:id="268" w:name="OLE_LINK163"/>
      <w:bookmarkStart w:id="269" w:name="OLE_LINK164"/>
      <w:r>
        <w:rPr>
          <w:rFonts w:hint="eastAsia"/>
        </w:rPr>
        <w:t>（</w:t>
      </w:r>
      <w:r>
        <w:rPr>
          <w:rFonts w:ascii="Times New Roman" w:hAnsi="Times New Roman"/>
        </w:rPr>
        <w:t>3</w:t>
      </w:r>
      <w:r>
        <w:rPr>
          <w:rFonts w:hint="eastAsia"/>
        </w:rPr>
        <w:t>）固井作业</w:t>
      </w:r>
      <w:bookmarkEnd w:id="268"/>
      <w:bookmarkEnd w:id="269"/>
    </w:p>
    <w:p>
      <w:pPr>
        <w:pStyle w:val="551"/>
        <w:ind w:firstLine="480"/>
      </w:pPr>
      <w:r>
        <w:rPr>
          <w:rFonts w:hint="eastAsia"/>
        </w:rPr>
        <w:t>固井是在已钻成的井眼内下入套管，再在套管与井壁之间环空内注入水泥将套管和地层固结在一起的工艺过程，以保证安全继续钻进下一段井眼或保证顺利开采生产层中的油、气。</w:t>
      </w:r>
    </w:p>
    <w:p>
      <w:pPr>
        <w:pStyle w:val="551"/>
        <w:ind w:firstLine="480"/>
      </w:pPr>
      <w:r>
        <w:rPr>
          <w:rFonts w:hint="eastAsia"/>
        </w:rPr>
        <w:t>固井作业包括下套管和注水泥两个过程。下套管就是在已经钻成的井眼中按规定深度下入一定直径、由某种或几种不同钢级及壁厚的套管组成的套管柱。注水泥就是在地面上将水泥浆通过套管柱注入到井眼与套管柱之间的环形空间中的过程。固井的主要目的是封隔疏松的易塌、易漏地层；封隔油、气、水层，防止互相窜漏。固井作业的主要设备有水泥搅拌机、下灰罐车、混合漏斗和其他附属安全放喷设备等。</w:t>
      </w:r>
    </w:p>
    <w:p>
      <w:pPr>
        <w:pStyle w:val="112"/>
        <w:ind w:firstLine="480"/>
      </w:pPr>
      <w:r>
        <w:rPr>
          <w:rFonts w:hint="eastAsia"/>
        </w:rPr>
        <w:t>固井现场施工前根据实际情况要作固井液配方及性能复核试验，若钻进中井漏严重，则应考虑采用双凝水泥浆体系固井，从而提高固井质量，防止因为井漏事故造成地下水环境污染。</w:t>
      </w:r>
    </w:p>
    <w:p>
      <w:pPr>
        <w:pStyle w:val="112"/>
        <w:ind w:firstLine="480"/>
      </w:pPr>
      <w:r>
        <w:rPr>
          <w:rFonts w:hint="eastAsia"/>
        </w:rPr>
        <w:t>（4）完井工程（采气工程）</w:t>
      </w:r>
    </w:p>
    <w:p>
      <w:pPr>
        <w:pStyle w:val="551"/>
        <w:spacing w:line="360" w:lineRule="auto"/>
        <w:ind w:firstLine="480"/>
        <w:rPr>
          <w:rFonts w:ascii="Times New Roman" w:hAnsi="Times New Roman"/>
        </w:rPr>
      </w:pPr>
      <w:r>
        <w:rPr>
          <w:rFonts w:ascii="Times New Roman"/>
        </w:rPr>
        <w:t>完井工程</w:t>
      </w:r>
      <w:r>
        <w:rPr>
          <w:rFonts w:ascii="Times New Roman" w:hAnsi="Times New Roman"/>
        </w:rPr>
        <w:t>共分为6个工艺，分别为：井筒处理、模拟通井、下完井管柱、安装采气树、射孔、压裂酸化、放喷求产。</w:t>
      </w:r>
    </w:p>
    <w:p>
      <w:pPr>
        <w:snapToGrid w:val="0"/>
        <w:ind w:firstLine="480"/>
        <w:rPr>
          <w:rFonts w:ascii="Times New Roman" w:cs="Times New Roman"/>
        </w:rPr>
      </w:pPr>
      <w:r>
        <w:rPr>
          <w:rFonts w:ascii="Times New Roman" w:cs="Times New Roman"/>
        </w:rPr>
        <w:t>（1）井筒处理</w:t>
      </w:r>
    </w:p>
    <w:p>
      <w:pPr>
        <w:snapToGrid w:val="0"/>
        <w:ind w:firstLine="480"/>
        <w:rPr>
          <w:rFonts w:ascii="Times New Roman" w:cs="Times New Roman"/>
        </w:rPr>
      </w:pPr>
      <w:r>
        <w:rPr>
          <w:rFonts w:ascii="Times New Roman" w:cs="Times New Roman"/>
        </w:rPr>
        <w:t>井筒处理包括钻塞、通井、刮削和洗井。</w:t>
      </w:r>
    </w:p>
    <w:p>
      <w:pPr>
        <w:snapToGrid w:val="0"/>
        <w:ind w:firstLine="480"/>
        <w:rPr>
          <w:rFonts w:ascii="Times New Roman" w:cs="Times New Roman"/>
        </w:rPr>
      </w:pPr>
      <w:r>
        <w:rPr>
          <w:rFonts w:ascii="Times New Roman" w:cs="Times New Roman"/>
        </w:rPr>
        <w:t>采用“钻头+螺杆钻”落实灰面并钻掉套管内水泥塞及浮箍，钻掉套管内水泥塞后，采用通井规对套管实施通井，采用刮削器对钻塞井段和合金套管段进行刮削，清理套管内壁残余水泥块，循环洗井。</w:t>
      </w:r>
    </w:p>
    <w:p>
      <w:pPr>
        <w:snapToGrid w:val="0"/>
        <w:ind w:firstLine="480"/>
        <w:rPr>
          <w:rFonts w:ascii="Times New Roman" w:cs="Times New Roman"/>
        </w:rPr>
      </w:pPr>
      <w:r>
        <w:rPr>
          <w:rFonts w:ascii="Times New Roman" w:cs="Times New Roman"/>
        </w:rPr>
        <w:t>（2）模拟通井</w:t>
      </w:r>
    </w:p>
    <w:p>
      <w:pPr>
        <w:snapToGrid w:val="0"/>
        <w:ind w:firstLine="480"/>
        <w:rPr>
          <w:rFonts w:ascii="Times New Roman" w:cs="Times New Roman"/>
        </w:rPr>
      </w:pPr>
      <w:r>
        <w:rPr>
          <w:rFonts w:ascii="Times New Roman" w:cs="Times New Roman"/>
        </w:rPr>
        <w:t>采用钻头通井、单铣柱模拟通井、双铣柱模拟通井三趟通井工艺，确保井眼光滑，为分段完井管柱下井提供顺畅的井筒条件。</w:t>
      </w:r>
    </w:p>
    <w:p>
      <w:pPr>
        <w:snapToGrid w:val="0"/>
        <w:ind w:firstLine="480"/>
        <w:rPr>
          <w:rFonts w:ascii="Times New Roman" w:cs="Times New Roman"/>
        </w:rPr>
      </w:pPr>
      <w:r>
        <w:rPr>
          <w:rFonts w:ascii="Times New Roman" w:cs="Times New Roman"/>
        </w:rPr>
        <w:t>（3）下完井管柱</w:t>
      </w:r>
    </w:p>
    <w:p>
      <w:pPr>
        <w:pStyle w:val="112"/>
        <w:ind w:firstLine="199" w:firstLineChars="83"/>
      </w:pPr>
      <w:r>
        <w:t>先采用钻杆携带悬挂封及以下分段管柱下井，完成管柱坐封，再下回接管柱完井。</w:t>
      </w:r>
    </w:p>
    <w:p>
      <w:pPr>
        <w:topLinePunct w:val="0"/>
        <w:snapToGrid w:val="0"/>
        <w:spacing w:line="331" w:lineRule="auto"/>
        <w:ind w:left="476" w:firstLine="0" w:firstLineChars="0"/>
        <w:rPr>
          <w:rFonts w:ascii="Times New Roman" w:cs="Times New Roman"/>
          <w:kern w:val="2"/>
        </w:rPr>
      </w:pPr>
      <w:r>
        <w:rPr>
          <w:rFonts w:ascii="Times New Roman" w:hAnsi="宋体" w:cs="Times New Roman"/>
          <w:kern w:val="2"/>
        </w:rPr>
        <w:t>（</w:t>
      </w:r>
      <w:r>
        <w:rPr>
          <w:rFonts w:ascii="Times New Roman" w:cs="Times New Roman"/>
          <w:kern w:val="2"/>
        </w:rPr>
        <w:t>4</w:t>
      </w:r>
      <w:r>
        <w:rPr>
          <w:rFonts w:ascii="Times New Roman" w:hAnsi="宋体" w:cs="Times New Roman"/>
          <w:kern w:val="2"/>
        </w:rPr>
        <w:t>）安装采气树</w:t>
      </w:r>
    </w:p>
    <w:p>
      <w:pPr>
        <w:topLinePunct w:val="0"/>
        <w:snapToGrid w:val="0"/>
        <w:ind w:firstLine="480"/>
        <w:rPr>
          <w:rFonts w:ascii="Times New Roman" w:cs="Times New Roman"/>
          <w:kern w:val="2"/>
        </w:rPr>
      </w:pPr>
      <w:r>
        <w:rPr>
          <w:rFonts w:hint="eastAsia" w:ascii="Times New Roman" w:cs="Times New Roman"/>
          <w:kern w:val="2"/>
        </w:rPr>
        <w:t>安装采气树并进行试压。</w:t>
      </w:r>
      <w:r>
        <w:rPr>
          <w:rFonts w:ascii="Times New Roman" w:cs="Times New Roman"/>
          <w:kern w:val="2"/>
        </w:rPr>
        <w:t>依据压裂酸化排量及地面泵压预测结果</w:t>
      </w:r>
      <w:r>
        <w:rPr>
          <w:rFonts w:hint="eastAsia" w:ascii="Times New Roman" w:cs="Times New Roman"/>
          <w:kern w:val="2"/>
        </w:rPr>
        <w:t>（最高泵压65.15MPa）、地层压力（50.9MPa）</w:t>
      </w:r>
      <w:r>
        <w:rPr>
          <w:rFonts w:ascii="Times New Roman" w:cs="Times New Roman"/>
          <w:kern w:val="2"/>
        </w:rPr>
        <w:t>，选用70MPa HH级采气井口，双翼双阀结构，单翼生产，主</w:t>
      </w:r>
      <w:r>
        <w:rPr>
          <w:rFonts w:hint="eastAsia" w:ascii="Times New Roman" w:cs="Times New Roman"/>
          <w:kern w:val="2"/>
        </w:rPr>
        <w:t>、侧</w:t>
      </w:r>
      <w:r>
        <w:rPr>
          <w:rFonts w:ascii="Times New Roman" w:cs="Times New Roman"/>
          <w:kern w:val="2"/>
        </w:rPr>
        <w:t>通径3-1/16″，油管四通70-70MPa。</w:t>
      </w:r>
    </w:p>
    <w:p>
      <w:pPr>
        <w:topLinePunct w:val="0"/>
        <w:snapToGrid w:val="0"/>
        <w:ind w:firstLine="480"/>
        <w:rPr>
          <w:rFonts w:ascii="Times New Roman" w:cs="Times New Roman"/>
          <w:kern w:val="2"/>
        </w:rPr>
      </w:pPr>
      <w:r>
        <w:rPr>
          <w:rFonts w:ascii="Times New Roman" w:hAnsi="宋体" w:cs="Times New Roman"/>
          <w:kern w:val="2"/>
        </w:rPr>
        <w:t>（</w:t>
      </w:r>
      <w:r>
        <w:rPr>
          <w:rFonts w:ascii="Times New Roman" w:cs="Times New Roman"/>
          <w:kern w:val="2"/>
        </w:rPr>
        <w:t>5</w:t>
      </w:r>
      <w:r>
        <w:rPr>
          <w:rFonts w:ascii="Times New Roman" w:hAnsi="宋体" w:cs="Times New Roman"/>
          <w:kern w:val="2"/>
        </w:rPr>
        <w:t>）压裂酸化</w:t>
      </w:r>
    </w:p>
    <w:p>
      <w:pPr>
        <w:topLinePunct w:val="0"/>
        <w:snapToGrid w:val="0"/>
        <w:ind w:firstLine="480"/>
        <w:rPr>
          <w:rFonts w:ascii="Times New Roman" w:cs="Times New Roman"/>
          <w:bCs/>
          <w:kern w:val="2"/>
        </w:rPr>
      </w:pPr>
      <w:r>
        <w:rPr>
          <w:rFonts w:ascii="Times New Roman" w:cs="Times New Roman"/>
          <w:kern w:val="2"/>
        </w:rPr>
        <w:t>本项目采用分段压裂酸化改造，以达到均匀布酸、减少前期作业对储层的污染、沟通近井地带储集空间的目标。酸液采用清洁酸，主要成分为水、盐酸和醋酸</w:t>
      </w:r>
      <w:r>
        <w:rPr>
          <w:rFonts w:ascii="Times New Roman" w:cs="Times New Roman"/>
          <w:bCs/>
          <w:kern w:val="2"/>
        </w:rPr>
        <w:t>。6</w:t>
      </w:r>
      <w:r>
        <w:rPr>
          <w:rFonts w:hint="eastAsia" w:ascii="Times New Roman" w:cs="Times New Roman"/>
          <w:bCs/>
          <w:kern w:val="2"/>
        </w:rPr>
        <w:t>口页岩气井均采用“密切割</w:t>
      </w:r>
      <w:r>
        <w:rPr>
          <w:rFonts w:ascii="Times New Roman" w:cs="Times New Roman"/>
          <w:bCs/>
          <w:kern w:val="2"/>
        </w:rPr>
        <w:t>+</w:t>
      </w:r>
      <w:r>
        <w:rPr>
          <w:rFonts w:hint="eastAsia" w:ascii="Times New Roman" w:cs="Times New Roman"/>
          <w:bCs/>
          <w:kern w:val="2"/>
        </w:rPr>
        <w:t>投球</w:t>
      </w:r>
      <w:r>
        <w:rPr>
          <w:rFonts w:ascii="Times New Roman" w:cs="Times New Roman"/>
          <w:bCs/>
          <w:kern w:val="2"/>
        </w:rPr>
        <w:t>+</w:t>
      </w:r>
      <w:r>
        <w:rPr>
          <w:rFonts w:hint="eastAsia" w:ascii="Times New Roman" w:cs="Times New Roman"/>
          <w:bCs/>
          <w:kern w:val="2"/>
        </w:rPr>
        <w:t>缝内暂堵</w:t>
      </w:r>
      <w:r>
        <w:rPr>
          <w:rFonts w:ascii="Times New Roman" w:cs="Times New Roman"/>
          <w:bCs/>
          <w:kern w:val="2"/>
        </w:rPr>
        <w:t>+</w:t>
      </w:r>
      <w:r>
        <w:rPr>
          <w:rFonts w:hint="eastAsia" w:ascii="Times New Roman" w:cs="Times New Roman"/>
          <w:bCs/>
          <w:kern w:val="2"/>
        </w:rPr>
        <w:t>多尺度裂缝强加砂</w:t>
      </w:r>
      <w:r>
        <w:rPr>
          <w:rFonts w:ascii="Times New Roman" w:cs="Times New Roman"/>
          <w:bCs/>
          <w:kern w:val="2"/>
        </w:rPr>
        <w:t>+</w:t>
      </w:r>
      <w:r>
        <w:rPr>
          <w:rFonts w:hint="eastAsia" w:ascii="Times New Roman" w:cs="Times New Roman"/>
          <w:bCs/>
          <w:kern w:val="2"/>
        </w:rPr>
        <w:t>穿层扩体”体积压裂工艺技术，每</w:t>
      </w:r>
      <w:r>
        <w:rPr>
          <w:rFonts w:ascii="Times New Roman" w:cs="Times New Roman"/>
          <w:bCs/>
          <w:kern w:val="2"/>
        </w:rPr>
        <w:t>3</w:t>
      </w:r>
      <w:r>
        <w:rPr>
          <w:rFonts w:hint="eastAsia" w:ascii="Times New Roman" w:cs="Times New Roman"/>
          <w:bCs/>
          <w:kern w:val="2"/>
        </w:rPr>
        <w:t>口井交叉拉链式压裂；套管安装双趾端滑套建立首段压裂通道，其他段采用泵送可溶桥塞</w:t>
      </w:r>
      <w:r>
        <w:rPr>
          <w:rFonts w:ascii="Times New Roman" w:cs="Times New Roman"/>
          <w:bCs/>
          <w:kern w:val="2"/>
        </w:rPr>
        <w:t>+</w:t>
      </w:r>
      <w:r>
        <w:rPr>
          <w:rFonts w:hint="eastAsia" w:ascii="Times New Roman" w:cs="Times New Roman"/>
          <w:bCs/>
          <w:kern w:val="2"/>
        </w:rPr>
        <w:t>电缆簇射孔方式分段压裂。</w:t>
      </w:r>
    </w:p>
    <w:p>
      <w:pPr>
        <w:topLinePunct w:val="0"/>
        <w:snapToGrid w:val="0"/>
        <w:ind w:firstLine="480"/>
        <w:rPr>
          <w:rFonts w:ascii="Times New Roman" w:cs="Times New Roman"/>
        </w:rPr>
      </w:pPr>
      <w:r>
        <w:rPr>
          <w:rFonts w:hint="eastAsia" w:ascii="Times New Roman" w:cs="Times New Roman"/>
        </w:rPr>
        <w:t>（6）放喷测试</w:t>
      </w:r>
    </w:p>
    <w:p>
      <w:pPr>
        <w:pStyle w:val="551"/>
        <w:spacing w:line="360" w:lineRule="auto"/>
        <w:ind w:firstLine="480"/>
        <w:rPr>
          <w:rFonts w:ascii="Times New Roman" w:hAnsi="Times New Roman"/>
        </w:rPr>
      </w:pPr>
      <w:r>
        <w:rPr>
          <w:rFonts w:hint="eastAsia" w:ascii="Times New Roman"/>
        </w:rPr>
        <w:t>选用70MPa～35MPa、EE级二级降压放喷流程，放喷排液后求产。</w:t>
      </w:r>
      <w:r>
        <w:rPr>
          <w:rFonts w:ascii="Times New Roman"/>
        </w:rPr>
        <w:t>放喷分离气体经专用管线引至放喷池燃烧，测试放喷时间一般为</w:t>
      </w:r>
      <w:r>
        <w:rPr>
          <w:rFonts w:ascii="Times New Roman" w:hAnsi="Times New Roman"/>
        </w:rPr>
        <w:t>4h</w:t>
      </w:r>
      <w:r>
        <w:rPr>
          <w:rFonts w:ascii="Times New Roman"/>
        </w:rPr>
        <w:t>～</w:t>
      </w:r>
      <w:r>
        <w:rPr>
          <w:rFonts w:ascii="Times New Roman" w:hAnsi="Times New Roman"/>
        </w:rPr>
        <w:t>6h</w:t>
      </w:r>
      <w:r>
        <w:rPr>
          <w:rFonts w:ascii="Times New Roman"/>
        </w:rPr>
        <w:t>。</w:t>
      </w:r>
    </w:p>
    <w:p>
      <w:pPr>
        <w:pStyle w:val="551"/>
        <w:ind w:firstLine="480"/>
        <w:rPr>
          <w:rFonts w:ascii="Times New Roman" w:hAnsi="Times New Roman"/>
        </w:rPr>
      </w:pPr>
      <w:r>
        <w:rPr>
          <w:rFonts w:ascii="Times New Roman"/>
        </w:rPr>
        <w:t>本项目</w:t>
      </w:r>
      <w:r>
        <w:rPr>
          <w:rFonts w:hint="eastAsia" w:ascii="Times New Roman"/>
        </w:rPr>
        <w:t>普陆4</w:t>
      </w:r>
      <w:r>
        <w:rPr>
          <w:rFonts w:ascii="Times New Roman"/>
        </w:rPr>
        <w:t>-1</w:t>
      </w:r>
      <w:r>
        <w:rPr>
          <w:rFonts w:hint="eastAsia" w:ascii="Times New Roman"/>
        </w:rPr>
        <w:t>H</w:t>
      </w:r>
      <w:r>
        <w:rPr>
          <w:rFonts w:ascii="Times New Roman"/>
        </w:rPr>
        <w:t>井压裂</w:t>
      </w:r>
      <w:r>
        <w:rPr>
          <w:rFonts w:hint="eastAsia" w:ascii="Times New Roman"/>
        </w:rPr>
        <w:t>总液量23060m</w:t>
      </w:r>
      <w:r>
        <w:rPr>
          <w:rFonts w:hint="eastAsia" w:ascii="Times New Roman"/>
          <w:vertAlign w:val="superscript"/>
        </w:rPr>
        <w:t>3</w:t>
      </w:r>
      <w:r>
        <w:rPr>
          <w:rFonts w:ascii="Times New Roman"/>
        </w:rPr>
        <w:t>，根据该区域已完钻钻井工程可知，该区域钻井工程</w:t>
      </w:r>
      <w:r>
        <w:rPr>
          <w:rFonts w:ascii="Times New Roman"/>
          <w:bCs/>
        </w:rPr>
        <w:t>压裂返排液回用率</w:t>
      </w:r>
      <w:r>
        <w:rPr>
          <w:rFonts w:hint="eastAsia" w:ascii="Times New Roman"/>
          <w:bCs/>
        </w:rPr>
        <w:t>按</w:t>
      </w:r>
      <w:r>
        <w:rPr>
          <w:rFonts w:ascii="Times New Roman"/>
          <w:bCs/>
        </w:rPr>
        <w:t>85%</w:t>
      </w:r>
      <w:r>
        <w:rPr>
          <w:rFonts w:hint="eastAsia" w:ascii="Times New Roman"/>
          <w:bCs/>
        </w:rPr>
        <w:t>计</w:t>
      </w:r>
      <w:r>
        <w:rPr>
          <w:rFonts w:ascii="Times New Roman"/>
        </w:rPr>
        <w:t>，则本项目</w:t>
      </w:r>
      <w:r>
        <w:rPr>
          <w:rFonts w:hint="eastAsia" w:ascii="Times New Roman"/>
        </w:rPr>
        <w:t>压裂</w:t>
      </w:r>
      <w:r>
        <w:rPr>
          <w:rFonts w:ascii="Times New Roman"/>
        </w:rPr>
        <w:t>废水总量为</w:t>
      </w:r>
      <w:r>
        <w:rPr>
          <w:rFonts w:hint="eastAsia" w:ascii="Times New Roman"/>
        </w:rPr>
        <w:t>3459</w:t>
      </w:r>
      <w:r>
        <w:rPr>
          <w:rFonts w:ascii="Times New Roman"/>
        </w:rPr>
        <w:t>m</w:t>
      </w:r>
      <w:r>
        <w:rPr>
          <w:rFonts w:ascii="Times New Roman"/>
          <w:vertAlign w:val="superscript"/>
        </w:rPr>
        <w:t>3</w:t>
      </w:r>
      <w:r>
        <w:rPr>
          <w:rFonts w:ascii="Times New Roman"/>
        </w:rPr>
        <w:t>，</w:t>
      </w:r>
      <w:r>
        <w:rPr>
          <w:rFonts w:ascii="Times New Roman" w:hAnsi="Times New Roman"/>
        </w:rPr>
        <w:t>压裂酸化废水</w:t>
      </w:r>
      <w:r>
        <w:rPr>
          <w:rFonts w:ascii="Times New Roman" w:hAnsi="Times New Roman"/>
          <w:spacing w:val="-8"/>
          <w:szCs w:val="21"/>
        </w:rPr>
        <w:t>暂存于现有污水池，并及时</w:t>
      </w:r>
      <w:r>
        <w:rPr>
          <w:rFonts w:ascii="Times New Roman" w:hAnsi="Times New Roman"/>
        </w:rPr>
        <w:t>由罐车运至大湾403污水站处理达标后管输至毛开1</w:t>
      </w:r>
      <w:r>
        <w:t>井回注站回注</w:t>
      </w:r>
      <w:r>
        <w:rPr>
          <w:rFonts w:hint="eastAsia" w:ascii="Times New Roman"/>
        </w:rPr>
        <w:t>。</w:t>
      </w:r>
    </w:p>
    <w:p>
      <w:pPr>
        <w:pStyle w:val="4"/>
        <w:rPr>
          <w:rFonts w:eastAsia="宋体"/>
        </w:rPr>
      </w:pPr>
      <w:bookmarkStart w:id="270" w:name="_Toc19815989"/>
      <w:bookmarkStart w:id="271" w:name="_Toc12288515"/>
      <w:bookmarkStart w:id="272" w:name="_Toc19815988"/>
      <w:bookmarkStart w:id="273" w:name="_Toc12288508"/>
      <w:r>
        <w:rPr>
          <w:rFonts w:eastAsia="宋体"/>
        </w:rPr>
        <w:t>4.1.3 生态影响及治理措施</w:t>
      </w:r>
    </w:p>
    <w:p>
      <w:pPr>
        <w:pStyle w:val="112"/>
        <w:ind w:firstLine="482"/>
        <w:rPr>
          <w:b/>
          <w:bCs/>
        </w:rPr>
      </w:pPr>
      <w:r>
        <w:rPr>
          <w:b/>
          <w:bCs/>
        </w:rPr>
        <w:t>1、工程占地分析</w:t>
      </w:r>
    </w:p>
    <w:bookmarkEnd w:id="270"/>
    <w:bookmarkEnd w:id="271"/>
    <w:p>
      <w:pPr>
        <w:pStyle w:val="6"/>
        <w:ind w:firstLine="480"/>
        <w:rPr>
          <w:rFonts w:ascii="Times New Roman" w:cs="Times New Roman"/>
        </w:rPr>
      </w:pPr>
      <w:r>
        <w:rPr>
          <w:rFonts w:ascii="Times New Roman" w:cs="Times New Roman"/>
        </w:rPr>
        <w:t>本项目建设总占地面积</w:t>
      </w:r>
      <w:r>
        <w:rPr>
          <w:rFonts w:hint="eastAsia" w:ascii="Times New Roman" w:cs="Times New Roman"/>
        </w:rPr>
        <w:t>12820</w:t>
      </w:r>
      <w:r>
        <w:rPr>
          <w:rFonts w:hint="eastAsia" w:ascii="Times New Roman" w:cs="Times New Roman"/>
          <w:bCs/>
        </w:rPr>
        <w:t>m</w:t>
      </w:r>
      <w:r>
        <w:rPr>
          <w:rFonts w:hint="eastAsia" w:ascii="Times New Roman" w:cs="Times New Roman"/>
          <w:bCs/>
          <w:vertAlign w:val="superscript"/>
        </w:rPr>
        <w:t>2</w:t>
      </w:r>
      <w:r>
        <w:rPr>
          <w:rFonts w:ascii="Times New Roman" w:cs="Times New Roman"/>
        </w:rPr>
        <w:t>（</w:t>
      </w:r>
      <w:r>
        <w:rPr>
          <w:rFonts w:hint="eastAsia" w:ascii="Times New Roman" w:cs="Times New Roman"/>
        </w:rPr>
        <w:t>项目永久占地</w:t>
      </w:r>
      <w:bookmarkStart w:id="274" w:name="OLE_LINK177"/>
      <w:bookmarkStart w:id="275" w:name="OLE_LINK170"/>
      <w:bookmarkStart w:id="276" w:name="OLE_LINK172"/>
      <w:bookmarkStart w:id="277" w:name="OLE_LINK173"/>
      <w:bookmarkStart w:id="278" w:name="OLE_LINK171"/>
      <w:r>
        <w:rPr>
          <w:rFonts w:hint="eastAsia" w:ascii="Times New Roman" w:cs="Times New Roman"/>
        </w:rPr>
        <w:t>8720</w:t>
      </w:r>
      <w:r>
        <w:rPr>
          <w:rFonts w:hint="eastAsia" w:ascii="Times New Roman" w:cs="Times New Roman"/>
          <w:bCs/>
        </w:rPr>
        <w:t>m</w:t>
      </w:r>
      <w:r>
        <w:rPr>
          <w:rFonts w:hint="eastAsia" w:ascii="Times New Roman" w:cs="Times New Roman"/>
          <w:bCs/>
          <w:vertAlign w:val="superscript"/>
        </w:rPr>
        <w:t>2</w:t>
      </w:r>
      <w:bookmarkEnd w:id="274"/>
      <w:bookmarkEnd w:id="275"/>
      <w:bookmarkEnd w:id="276"/>
      <w:bookmarkEnd w:id="277"/>
      <w:bookmarkEnd w:id="278"/>
      <w:r>
        <w:rPr>
          <w:rFonts w:hint="eastAsia" w:ascii="Times New Roman" w:cs="Times New Roman"/>
        </w:rPr>
        <w:t>，临时占地</w:t>
      </w:r>
      <w:r>
        <w:rPr>
          <w:rFonts w:hint="eastAsia" w:ascii="Times New Roman" w:cs="Times New Roman"/>
          <w:bCs/>
        </w:rPr>
        <w:t>4100</w:t>
      </w:r>
      <w:r>
        <w:rPr>
          <w:rFonts w:ascii="Times New Roman" w:cs="Times New Roman"/>
          <w:bCs/>
        </w:rPr>
        <w:t>m</w:t>
      </w:r>
      <w:r>
        <w:rPr>
          <w:rFonts w:ascii="Times New Roman" w:cs="Times New Roman"/>
          <w:bCs/>
          <w:vertAlign w:val="superscript"/>
        </w:rPr>
        <w:t>2</w:t>
      </w:r>
      <w:r>
        <w:rPr>
          <w:rFonts w:ascii="Times New Roman" w:cs="Times New Roman"/>
        </w:rPr>
        <w:t>）。</w:t>
      </w:r>
    </w:p>
    <w:p>
      <w:pPr>
        <w:pStyle w:val="6"/>
        <w:ind w:firstLine="482"/>
        <w:rPr>
          <w:rFonts w:ascii="Times New Roman" w:cs="Times New Roman"/>
          <w:b/>
          <w:bCs/>
        </w:rPr>
      </w:pPr>
      <w:bookmarkStart w:id="279" w:name="_Hlk53002324"/>
      <w:r>
        <w:rPr>
          <w:rFonts w:ascii="Times New Roman" w:cs="Times New Roman"/>
          <w:b/>
          <w:bCs/>
        </w:rPr>
        <w:t>（1）永久占地</w:t>
      </w:r>
    </w:p>
    <w:p>
      <w:pPr>
        <w:pStyle w:val="6"/>
        <w:ind w:firstLine="480"/>
        <w:rPr>
          <w:rFonts w:ascii="Times New Roman" w:cs="Times New Roman"/>
        </w:rPr>
      </w:pPr>
      <w:r>
        <w:rPr>
          <w:rFonts w:hint="eastAsia" w:hAnsi="宋体"/>
        </w:rPr>
        <w:t>①</w:t>
      </w:r>
      <w:r>
        <w:rPr>
          <w:rFonts w:ascii="Times New Roman" w:cs="Times New Roman"/>
        </w:rPr>
        <w:t>永久占地情况</w:t>
      </w:r>
    </w:p>
    <w:p>
      <w:pPr>
        <w:pStyle w:val="6"/>
        <w:ind w:firstLine="480"/>
        <w:rPr>
          <w:rFonts w:ascii="Times New Roman" w:cs="Times New Roman"/>
        </w:rPr>
      </w:pPr>
      <w:r>
        <w:rPr>
          <w:rFonts w:ascii="Times New Roman" w:cs="Times New Roman"/>
        </w:rPr>
        <w:t>本项目永久占地面积</w:t>
      </w:r>
      <w:r>
        <w:rPr>
          <w:rFonts w:hint="eastAsia" w:ascii="Times New Roman" w:cs="Times New Roman"/>
        </w:rPr>
        <w:t>8720</w:t>
      </w:r>
      <w:r>
        <w:rPr>
          <w:rFonts w:ascii="Times New Roman" w:cs="Times New Roman"/>
          <w:bCs/>
        </w:rPr>
        <w:t>m</w:t>
      </w:r>
      <w:r>
        <w:rPr>
          <w:rFonts w:ascii="Times New Roman" w:cs="Times New Roman"/>
          <w:bCs/>
          <w:vertAlign w:val="superscript"/>
        </w:rPr>
        <w:t>2</w:t>
      </w:r>
      <w:r>
        <w:rPr>
          <w:rFonts w:hint="eastAsia" w:ascii="Times New Roman" w:cs="Times New Roman"/>
        </w:rPr>
        <w:t>（依托现有井场建设，不涉及新增永久占地）</w:t>
      </w:r>
      <w:r>
        <w:rPr>
          <w:rFonts w:ascii="Times New Roman" w:cs="Times New Roman"/>
        </w:rPr>
        <w:t>。项目永久占地不占用永久基本农田，不涉及基本农田保护区，符合基本农田保护相关规范及要求。</w:t>
      </w:r>
    </w:p>
    <w:p>
      <w:pPr>
        <w:pStyle w:val="37"/>
        <w:rPr>
          <w:rFonts w:cs="Times New Roman"/>
        </w:rPr>
      </w:pPr>
      <w:bookmarkStart w:id="280" w:name="_Hlk81157643"/>
      <w:r>
        <w:rPr>
          <w:rFonts w:cs="Times New Roman"/>
        </w:rPr>
        <w:t>表4.1-</w:t>
      </w:r>
      <w:r>
        <w:rPr>
          <w:rFonts w:hint="eastAsia" w:cs="Times New Roman"/>
        </w:rPr>
        <w:t>3</w:t>
      </w:r>
      <w:r>
        <w:rPr>
          <w:rFonts w:cs="Times New Roman"/>
        </w:rPr>
        <w:t xml:space="preserve">  项目永久占地面积统计表</w:t>
      </w:r>
    </w:p>
    <w:tbl>
      <w:tblPr>
        <w:tblStyle w:val="57"/>
        <w:tblW w:w="8315" w:type="dxa"/>
        <w:jc w:val="center"/>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Layout w:type="fixed"/>
        <w:tblCellMar>
          <w:top w:w="0" w:type="dxa"/>
          <w:left w:w="108" w:type="dxa"/>
          <w:bottom w:w="0" w:type="dxa"/>
          <w:right w:w="108" w:type="dxa"/>
        </w:tblCellMar>
      </w:tblPr>
      <w:tblGrid>
        <w:gridCol w:w="1706"/>
        <w:gridCol w:w="988"/>
        <w:gridCol w:w="708"/>
        <w:gridCol w:w="1134"/>
        <w:gridCol w:w="1418"/>
        <w:gridCol w:w="850"/>
        <w:gridCol w:w="1511"/>
      </w:tblGrid>
      <w:tr>
        <w:tblPrEx>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CellMar>
            <w:top w:w="0" w:type="dxa"/>
            <w:left w:w="108" w:type="dxa"/>
            <w:bottom w:w="0" w:type="dxa"/>
            <w:right w:w="108" w:type="dxa"/>
          </w:tblCellMar>
        </w:tblPrEx>
        <w:trPr>
          <w:trHeight w:val="218" w:hRule="atLeast"/>
          <w:jc w:val="center"/>
        </w:trPr>
        <w:tc>
          <w:tcPr>
            <w:tcW w:w="1706" w:type="dxa"/>
            <w:vMerge w:val="restart"/>
            <w:vAlign w:val="center"/>
          </w:tcPr>
          <w:p>
            <w:pPr>
              <w:pStyle w:val="95"/>
              <w:rPr>
                <w:b/>
                <w:bCs/>
              </w:rPr>
            </w:pPr>
            <w:r>
              <w:rPr>
                <w:b/>
                <w:bCs/>
              </w:rPr>
              <w:t>项目组成</w:t>
            </w:r>
          </w:p>
        </w:tc>
        <w:tc>
          <w:tcPr>
            <w:tcW w:w="4248" w:type="dxa"/>
            <w:gridSpan w:val="4"/>
            <w:vAlign w:val="center"/>
          </w:tcPr>
          <w:p>
            <w:pPr>
              <w:pStyle w:val="95"/>
              <w:rPr>
                <w:b/>
                <w:bCs/>
              </w:rPr>
            </w:pPr>
            <w:r>
              <w:rPr>
                <w:b/>
                <w:bCs/>
              </w:rPr>
              <w:t>占地类型（</w:t>
            </w:r>
            <w:r>
              <w:rPr>
                <w:rFonts w:hint="eastAsia"/>
                <w:b/>
                <w:bCs/>
              </w:rPr>
              <w:t>m</w:t>
            </w:r>
            <w:r>
              <w:rPr>
                <w:rFonts w:hint="eastAsia"/>
                <w:b/>
                <w:bCs/>
                <w:vertAlign w:val="superscript"/>
              </w:rPr>
              <w:t>2</w:t>
            </w:r>
            <w:r>
              <w:rPr>
                <w:b/>
                <w:bCs/>
              </w:rPr>
              <w:t>）</w:t>
            </w:r>
          </w:p>
        </w:tc>
        <w:tc>
          <w:tcPr>
            <w:tcW w:w="850" w:type="dxa"/>
            <w:vMerge w:val="restart"/>
            <w:vAlign w:val="center"/>
          </w:tcPr>
          <w:p>
            <w:pPr>
              <w:pStyle w:val="95"/>
              <w:rPr>
                <w:b/>
                <w:bCs/>
              </w:rPr>
            </w:pPr>
            <w:r>
              <w:rPr>
                <w:b/>
                <w:bCs/>
              </w:rPr>
              <w:t>合计</w:t>
            </w:r>
          </w:p>
        </w:tc>
        <w:tc>
          <w:tcPr>
            <w:tcW w:w="1511" w:type="dxa"/>
            <w:vMerge w:val="restart"/>
            <w:vAlign w:val="center"/>
          </w:tcPr>
          <w:p>
            <w:pPr>
              <w:pStyle w:val="95"/>
              <w:rPr>
                <w:b/>
                <w:bCs/>
              </w:rPr>
            </w:pPr>
            <w:r>
              <w:rPr>
                <w:b/>
                <w:bCs/>
              </w:rPr>
              <w:t>占地性质</w:t>
            </w: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CellMar>
            <w:top w:w="0" w:type="dxa"/>
            <w:left w:w="108" w:type="dxa"/>
            <w:bottom w:w="0" w:type="dxa"/>
            <w:right w:w="108" w:type="dxa"/>
          </w:tblCellMar>
        </w:tblPrEx>
        <w:trPr>
          <w:trHeight w:val="90" w:hRule="atLeast"/>
          <w:jc w:val="center"/>
        </w:trPr>
        <w:tc>
          <w:tcPr>
            <w:tcW w:w="1706" w:type="dxa"/>
            <w:vMerge w:val="continue"/>
            <w:vAlign w:val="center"/>
          </w:tcPr>
          <w:p>
            <w:pPr>
              <w:pStyle w:val="95"/>
              <w:rPr>
                <w:b/>
                <w:bCs/>
              </w:rPr>
            </w:pPr>
          </w:p>
        </w:tc>
        <w:tc>
          <w:tcPr>
            <w:tcW w:w="988" w:type="dxa"/>
            <w:vAlign w:val="center"/>
          </w:tcPr>
          <w:p>
            <w:pPr>
              <w:pStyle w:val="95"/>
              <w:rPr>
                <w:b/>
                <w:bCs/>
              </w:rPr>
            </w:pPr>
            <w:r>
              <w:rPr>
                <w:b/>
                <w:bCs/>
              </w:rPr>
              <w:t>耕地</w:t>
            </w:r>
          </w:p>
        </w:tc>
        <w:tc>
          <w:tcPr>
            <w:tcW w:w="708" w:type="dxa"/>
            <w:vAlign w:val="center"/>
          </w:tcPr>
          <w:p>
            <w:pPr>
              <w:pStyle w:val="95"/>
              <w:rPr>
                <w:b/>
                <w:bCs/>
              </w:rPr>
            </w:pPr>
            <w:r>
              <w:rPr>
                <w:rFonts w:hint="eastAsia"/>
                <w:b/>
                <w:bCs/>
              </w:rPr>
              <w:t>一般</w:t>
            </w:r>
            <w:r>
              <w:rPr>
                <w:b/>
                <w:bCs/>
              </w:rPr>
              <w:t>林地</w:t>
            </w:r>
          </w:p>
        </w:tc>
        <w:tc>
          <w:tcPr>
            <w:tcW w:w="1134" w:type="dxa"/>
            <w:vAlign w:val="center"/>
          </w:tcPr>
          <w:p>
            <w:pPr>
              <w:pStyle w:val="95"/>
              <w:rPr>
                <w:b/>
                <w:bCs/>
              </w:rPr>
            </w:pPr>
            <w:r>
              <w:rPr>
                <w:b/>
                <w:bCs/>
              </w:rPr>
              <w:t>草地</w:t>
            </w:r>
          </w:p>
        </w:tc>
        <w:tc>
          <w:tcPr>
            <w:tcW w:w="1418" w:type="dxa"/>
            <w:vAlign w:val="center"/>
          </w:tcPr>
          <w:p>
            <w:pPr>
              <w:pStyle w:val="95"/>
              <w:rPr>
                <w:b/>
                <w:bCs/>
              </w:rPr>
            </w:pPr>
            <w:r>
              <w:rPr>
                <w:b/>
                <w:bCs/>
              </w:rPr>
              <w:t>其他土地</w:t>
            </w:r>
          </w:p>
        </w:tc>
        <w:tc>
          <w:tcPr>
            <w:tcW w:w="850" w:type="dxa"/>
            <w:vMerge w:val="continue"/>
            <w:vAlign w:val="center"/>
          </w:tcPr>
          <w:p>
            <w:pPr>
              <w:pStyle w:val="95"/>
              <w:rPr>
                <w:b/>
                <w:bCs/>
              </w:rPr>
            </w:pPr>
          </w:p>
        </w:tc>
        <w:tc>
          <w:tcPr>
            <w:tcW w:w="1511" w:type="dxa"/>
            <w:vMerge w:val="continue"/>
            <w:vAlign w:val="center"/>
          </w:tcPr>
          <w:p>
            <w:pPr>
              <w:pStyle w:val="95"/>
              <w:rPr>
                <w:b/>
                <w:bCs/>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CellMar>
            <w:top w:w="0" w:type="dxa"/>
            <w:left w:w="108" w:type="dxa"/>
            <w:bottom w:w="0" w:type="dxa"/>
            <w:right w:w="108" w:type="dxa"/>
          </w:tblCellMar>
        </w:tblPrEx>
        <w:trPr>
          <w:trHeight w:val="63" w:hRule="atLeast"/>
          <w:jc w:val="center"/>
        </w:trPr>
        <w:tc>
          <w:tcPr>
            <w:tcW w:w="1706" w:type="dxa"/>
            <w:vAlign w:val="center"/>
          </w:tcPr>
          <w:p>
            <w:pPr>
              <w:pStyle w:val="95"/>
            </w:pPr>
            <w:r>
              <w:rPr>
                <w:rFonts w:hint="eastAsia"/>
              </w:rPr>
              <w:t>集气站</w:t>
            </w:r>
          </w:p>
        </w:tc>
        <w:tc>
          <w:tcPr>
            <w:tcW w:w="988" w:type="dxa"/>
            <w:vAlign w:val="center"/>
          </w:tcPr>
          <w:p>
            <w:pPr>
              <w:pStyle w:val="95"/>
            </w:pPr>
            <w:r>
              <w:rPr>
                <w:rFonts w:hint="eastAsia"/>
              </w:rPr>
              <w:t>/</w:t>
            </w:r>
          </w:p>
        </w:tc>
        <w:tc>
          <w:tcPr>
            <w:tcW w:w="708" w:type="dxa"/>
            <w:vAlign w:val="center"/>
          </w:tcPr>
          <w:p>
            <w:pPr>
              <w:pStyle w:val="95"/>
            </w:pPr>
            <w:r>
              <w:rPr>
                <w:rFonts w:hint="eastAsia"/>
              </w:rPr>
              <w:t>/</w:t>
            </w:r>
          </w:p>
        </w:tc>
        <w:tc>
          <w:tcPr>
            <w:tcW w:w="1134" w:type="dxa"/>
            <w:vAlign w:val="center"/>
          </w:tcPr>
          <w:p>
            <w:pPr>
              <w:pStyle w:val="95"/>
            </w:pPr>
            <w:r>
              <w:rPr>
                <w:rFonts w:hint="eastAsia"/>
              </w:rPr>
              <w:t>/</w:t>
            </w:r>
          </w:p>
        </w:tc>
        <w:tc>
          <w:tcPr>
            <w:tcW w:w="1418" w:type="dxa"/>
            <w:vAlign w:val="center"/>
          </w:tcPr>
          <w:p>
            <w:pPr>
              <w:pStyle w:val="95"/>
            </w:pPr>
            <w:r>
              <w:rPr>
                <w:rFonts w:hint="eastAsia"/>
              </w:rPr>
              <w:t>8720</w:t>
            </w:r>
          </w:p>
        </w:tc>
        <w:tc>
          <w:tcPr>
            <w:tcW w:w="850" w:type="dxa"/>
            <w:vAlign w:val="center"/>
          </w:tcPr>
          <w:p>
            <w:pPr>
              <w:pStyle w:val="95"/>
            </w:pPr>
            <w:r>
              <w:rPr>
                <w:rFonts w:hint="eastAsia"/>
              </w:rPr>
              <w:t>8720</w:t>
            </w:r>
          </w:p>
        </w:tc>
        <w:tc>
          <w:tcPr>
            <w:tcW w:w="1511" w:type="dxa"/>
            <w:tcBorders>
              <w:top w:val="single" w:color="auto" w:sz="4" w:space="0"/>
            </w:tcBorders>
            <w:vAlign w:val="center"/>
          </w:tcPr>
          <w:p>
            <w:pPr>
              <w:pStyle w:val="95"/>
            </w:pPr>
            <w:r>
              <w:t>永久占地</w:t>
            </w:r>
          </w:p>
        </w:tc>
      </w:tr>
      <w:bookmarkEnd w:id="280"/>
    </w:tbl>
    <w:p>
      <w:pPr>
        <w:pStyle w:val="6"/>
        <w:ind w:firstLine="480"/>
        <w:rPr>
          <w:rFonts w:ascii="Times New Roman" w:cs="Times New Roman"/>
          <w:bCs/>
        </w:rPr>
      </w:pPr>
      <w:bookmarkStart w:id="281" w:name="_Toc12288517"/>
      <w:r>
        <w:rPr>
          <w:rFonts w:hint="eastAsia" w:hAnsi="宋体"/>
          <w:bCs/>
        </w:rPr>
        <w:t>②</w:t>
      </w:r>
      <w:r>
        <w:rPr>
          <w:rFonts w:ascii="Times New Roman" w:cs="Times New Roman"/>
          <w:bCs/>
        </w:rPr>
        <w:t>占地影响分析</w:t>
      </w:r>
    </w:p>
    <w:p>
      <w:pPr>
        <w:pStyle w:val="6"/>
        <w:ind w:firstLine="480"/>
        <w:rPr>
          <w:rFonts w:ascii="Times New Roman" w:cs="Times New Roman"/>
          <w:bCs/>
        </w:rPr>
      </w:pPr>
      <w:r>
        <w:rPr>
          <w:rFonts w:ascii="Times New Roman" w:cs="Times New Roman"/>
          <w:bCs/>
        </w:rPr>
        <w:t>由于本项目</w:t>
      </w:r>
      <w:r>
        <w:rPr>
          <w:rFonts w:hint="eastAsia" w:ascii="Times New Roman" w:cs="Times New Roman"/>
        </w:rPr>
        <w:t>依托现有井场建设，不涉及新增永久占地</w:t>
      </w:r>
      <w:r>
        <w:rPr>
          <w:rFonts w:ascii="Times New Roman" w:cs="Times New Roman"/>
          <w:bCs/>
        </w:rPr>
        <w:t>，不会对当地土地利用产生影响。项目永久占地</w:t>
      </w:r>
      <w:r>
        <w:rPr>
          <w:rFonts w:ascii="Times New Roman" w:cs="Times New Roman"/>
        </w:rPr>
        <w:t>不占用永久基本农田，不涉及基本农田保护区</w:t>
      </w:r>
      <w:r>
        <w:rPr>
          <w:rFonts w:ascii="Times New Roman" w:cs="Times New Roman"/>
          <w:bCs/>
        </w:rPr>
        <w:t>。</w:t>
      </w:r>
    </w:p>
    <w:bookmarkEnd w:id="281"/>
    <w:p>
      <w:pPr>
        <w:pStyle w:val="6"/>
        <w:ind w:firstLine="482"/>
        <w:rPr>
          <w:rFonts w:ascii="Times New Roman" w:cs="Times New Roman"/>
          <w:b/>
          <w:bCs/>
        </w:rPr>
      </w:pPr>
      <w:r>
        <w:rPr>
          <w:rFonts w:ascii="Times New Roman" w:cs="Times New Roman"/>
          <w:b/>
          <w:bCs/>
        </w:rPr>
        <w:t>（2）临时占地</w:t>
      </w:r>
    </w:p>
    <w:p>
      <w:pPr>
        <w:pStyle w:val="6"/>
        <w:ind w:firstLine="482"/>
        <w:rPr>
          <w:rFonts w:ascii="Times New Roman" w:cs="Times New Roman"/>
          <w:b/>
          <w:bCs/>
        </w:rPr>
      </w:pPr>
      <w:r>
        <w:rPr>
          <w:rFonts w:hint="eastAsia" w:hAnsi="宋体"/>
          <w:b/>
          <w:bCs/>
        </w:rPr>
        <w:t>①</w:t>
      </w:r>
      <w:r>
        <w:rPr>
          <w:rFonts w:ascii="Times New Roman" w:cs="Times New Roman"/>
          <w:b/>
          <w:bCs/>
        </w:rPr>
        <w:t>占地情况</w:t>
      </w:r>
    </w:p>
    <w:p>
      <w:pPr>
        <w:pStyle w:val="6"/>
        <w:ind w:firstLine="480"/>
        <w:rPr>
          <w:rFonts w:ascii="Times New Roman" w:cs="Times New Roman"/>
          <w:bCs/>
        </w:rPr>
      </w:pPr>
      <w:r>
        <w:rPr>
          <w:rFonts w:ascii="Times New Roman" w:cs="Times New Roman"/>
        </w:rPr>
        <w:t>本项目</w:t>
      </w:r>
      <w:r>
        <w:rPr>
          <w:rFonts w:ascii="Times New Roman" w:cs="Times New Roman"/>
          <w:bCs/>
        </w:rPr>
        <w:t>临时占地</w:t>
      </w:r>
      <w:r>
        <w:rPr>
          <w:rFonts w:hint="eastAsia" w:ascii="Times New Roman" w:cs="Times New Roman"/>
        </w:rPr>
        <w:t>410</w:t>
      </w:r>
      <w:r>
        <w:rPr>
          <w:rFonts w:ascii="Times New Roman" w:cs="Times New Roman"/>
        </w:rPr>
        <w:t>0</w:t>
      </w:r>
      <w:r>
        <w:rPr>
          <w:rFonts w:ascii="Times New Roman" w:cs="Times New Roman"/>
          <w:bCs/>
        </w:rPr>
        <w:t>m</w:t>
      </w:r>
      <w:r>
        <w:rPr>
          <w:rFonts w:ascii="Times New Roman" w:cs="Times New Roman"/>
          <w:bCs/>
          <w:vertAlign w:val="superscript"/>
        </w:rPr>
        <w:t>2</w:t>
      </w:r>
      <w:r>
        <w:rPr>
          <w:rFonts w:ascii="Times New Roman" w:cs="Times New Roman"/>
        </w:rPr>
        <w:t>，</w:t>
      </w:r>
      <w:r>
        <w:rPr>
          <w:rFonts w:ascii="Times New Roman" w:cs="Times New Roman"/>
          <w:color w:val="0000FF"/>
        </w:rPr>
        <w:t>其中管道作业带临时占地</w:t>
      </w:r>
      <w:r>
        <w:rPr>
          <w:rFonts w:hint="eastAsia" w:ascii="Times New Roman" w:cs="Times New Roman"/>
          <w:color w:val="0000FF"/>
        </w:rPr>
        <w:t>2800</w:t>
      </w:r>
      <w:r>
        <w:rPr>
          <w:rFonts w:ascii="Times New Roman" w:cs="Times New Roman"/>
          <w:bCs/>
          <w:color w:val="0000FF"/>
        </w:rPr>
        <w:t>m</w:t>
      </w:r>
      <w:r>
        <w:rPr>
          <w:rFonts w:ascii="Times New Roman" w:cs="Times New Roman"/>
          <w:bCs/>
          <w:color w:val="0000FF"/>
          <w:vertAlign w:val="superscript"/>
        </w:rPr>
        <w:t>2</w:t>
      </w:r>
      <w:r>
        <w:rPr>
          <w:rFonts w:ascii="Times New Roman" w:cs="Times New Roman"/>
          <w:color w:val="0000FF"/>
        </w:rPr>
        <w:t>，</w:t>
      </w:r>
      <w:r>
        <w:rPr>
          <w:rFonts w:ascii="Times New Roman" w:cs="Times New Roman"/>
        </w:rPr>
        <w:t>管道工程区堆管点临时占地</w:t>
      </w:r>
      <w:r>
        <w:rPr>
          <w:rFonts w:hint="eastAsia" w:ascii="Times New Roman" w:cs="Times New Roman"/>
        </w:rPr>
        <w:t>5</w:t>
      </w:r>
      <w:r>
        <w:rPr>
          <w:rFonts w:ascii="Times New Roman" w:cs="Times New Roman"/>
        </w:rPr>
        <w:t>00</w:t>
      </w:r>
      <w:r>
        <w:rPr>
          <w:rFonts w:ascii="Times New Roman" w:cs="Times New Roman"/>
          <w:bCs/>
        </w:rPr>
        <w:t>m</w:t>
      </w:r>
      <w:r>
        <w:rPr>
          <w:rFonts w:ascii="Times New Roman" w:cs="Times New Roman"/>
          <w:bCs/>
          <w:vertAlign w:val="superscript"/>
        </w:rPr>
        <w:t>2</w:t>
      </w:r>
      <w:r>
        <w:rPr>
          <w:rFonts w:ascii="Times New Roman" w:cs="Times New Roman"/>
        </w:rPr>
        <w:t>，施工便道区临时占地</w:t>
      </w:r>
      <w:r>
        <w:rPr>
          <w:rFonts w:hint="eastAsia" w:ascii="Times New Roman" w:cs="Times New Roman"/>
        </w:rPr>
        <w:t>8</w:t>
      </w:r>
      <w:r>
        <w:rPr>
          <w:rFonts w:ascii="Times New Roman" w:cs="Times New Roman"/>
        </w:rPr>
        <w:t>00</w:t>
      </w:r>
      <w:bookmarkStart w:id="282" w:name="OLE_LINK182"/>
      <w:bookmarkStart w:id="283" w:name="OLE_LINK181"/>
      <w:r>
        <w:rPr>
          <w:rFonts w:ascii="Times New Roman" w:cs="Times New Roman"/>
          <w:bCs/>
        </w:rPr>
        <w:t>m</w:t>
      </w:r>
      <w:r>
        <w:rPr>
          <w:rFonts w:ascii="Times New Roman" w:cs="Times New Roman"/>
          <w:bCs/>
          <w:vertAlign w:val="superscript"/>
        </w:rPr>
        <w:t>2</w:t>
      </w:r>
      <w:bookmarkEnd w:id="282"/>
      <w:bookmarkEnd w:id="283"/>
      <w:r>
        <w:rPr>
          <w:rFonts w:ascii="Times New Roman" w:cs="Times New Roman"/>
          <w:bCs/>
        </w:rPr>
        <w:t>。</w:t>
      </w:r>
      <w:r>
        <w:rPr>
          <w:rFonts w:hint="eastAsia"/>
          <w:bCs/>
          <w:color w:val="FF0000"/>
        </w:rPr>
        <w:t>项目管线临时占地涉及永久基本农田，占地面积约</w:t>
      </w:r>
      <w:r>
        <w:rPr>
          <w:rFonts w:ascii="Times New Roman" w:cs="Times New Roman"/>
          <w:bCs/>
          <w:color w:val="FF0000"/>
        </w:rPr>
        <w:t>1200m</w:t>
      </w:r>
      <w:r>
        <w:rPr>
          <w:rFonts w:ascii="Times New Roman" w:cs="Times New Roman"/>
          <w:bCs/>
          <w:color w:val="FF0000"/>
          <w:vertAlign w:val="superscript"/>
        </w:rPr>
        <w:t>2</w:t>
      </w:r>
      <w:r>
        <w:rPr>
          <w:rFonts w:hint="eastAsia"/>
          <w:bCs/>
          <w:color w:val="FF0000"/>
        </w:rPr>
        <w:t>，建设单位将依法办理相关用地手续，新增临时占地施工结束后进行复垦，</w:t>
      </w:r>
      <w:r>
        <w:rPr>
          <w:bCs/>
          <w:color w:val="FF0000"/>
        </w:rPr>
        <w:t>同时项目不涉及生态保护红线和城镇开发边界控制线</w:t>
      </w:r>
      <w:r>
        <w:rPr>
          <w:rFonts w:ascii="Times New Roman" w:cs="Times New Roman"/>
        </w:rPr>
        <w:t>，符合基本农田保护相关规范及要求。</w:t>
      </w:r>
    </w:p>
    <w:p>
      <w:pPr>
        <w:pStyle w:val="37"/>
        <w:rPr>
          <w:rFonts w:cs="Times New Roman"/>
        </w:rPr>
      </w:pPr>
      <w:bookmarkStart w:id="284" w:name="_Hlk81157639"/>
      <w:r>
        <w:rPr>
          <w:rFonts w:cs="Times New Roman"/>
        </w:rPr>
        <w:t>表4.1-</w:t>
      </w:r>
      <w:r>
        <w:rPr>
          <w:rFonts w:hint="eastAsia" w:cs="Times New Roman"/>
        </w:rPr>
        <w:t>4</w:t>
      </w:r>
      <w:r>
        <w:rPr>
          <w:rFonts w:cs="Times New Roman"/>
        </w:rPr>
        <w:t xml:space="preserve">  项目</w:t>
      </w:r>
      <w:r>
        <w:rPr>
          <w:rFonts w:hint="eastAsia" w:cs="Times New Roman"/>
        </w:rPr>
        <w:t>临时</w:t>
      </w:r>
      <w:r>
        <w:rPr>
          <w:rFonts w:cs="Times New Roman"/>
        </w:rPr>
        <w:t>占地面积统计表</w:t>
      </w:r>
    </w:p>
    <w:tbl>
      <w:tblPr>
        <w:tblStyle w:val="57"/>
        <w:tblW w:w="8865" w:type="dxa"/>
        <w:jc w:val="center"/>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Layout w:type="fixed"/>
        <w:tblCellMar>
          <w:top w:w="0" w:type="dxa"/>
          <w:left w:w="108" w:type="dxa"/>
          <w:bottom w:w="0" w:type="dxa"/>
          <w:right w:w="108" w:type="dxa"/>
        </w:tblCellMar>
      </w:tblPr>
      <w:tblGrid>
        <w:gridCol w:w="1663"/>
        <w:gridCol w:w="906"/>
        <w:gridCol w:w="907"/>
        <w:gridCol w:w="1199"/>
        <w:gridCol w:w="1417"/>
        <w:gridCol w:w="1276"/>
        <w:gridCol w:w="794"/>
        <w:gridCol w:w="703"/>
      </w:tblGrid>
      <w:tr>
        <w:tblPrEx>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CellMar>
            <w:top w:w="0" w:type="dxa"/>
            <w:left w:w="108" w:type="dxa"/>
            <w:bottom w:w="0" w:type="dxa"/>
            <w:right w:w="108" w:type="dxa"/>
          </w:tblCellMar>
        </w:tblPrEx>
        <w:trPr>
          <w:trHeight w:val="174" w:hRule="atLeast"/>
          <w:jc w:val="center"/>
        </w:trPr>
        <w:tc>
          <w:tcPr>
            <w:tcW w:w="1663" w:type="dxa"/>
            <w:vMerge w:val="restart"/>
            <w:vAlign w:val="center"/>
          </w:tcPr>
          <w:p>
            <w:pPr>
              <w:pStyle w:val="95"/>
              <w:rPr>
                <w:b/>
                <w:bCs/>
              </w:rPr>
            </w:pPr>
            <w:r>
              <w:rPr>
                <w:b/>
                <w:bCs/>
              </w:rPr>
              <w:t>项目组成</w:t>
            </w:r>
          </w:p>
        </w:tc>
        <w:tc>
          <w:tcPr>
            <w:tcW w:w="5705" w:type="dxa"/>
            <w:gridSpan w:val="5"/>
            <w:vAlign w:val="center"/>
          </w:tcPr>
          <w:p>
            <w:pPr>
              <w:pStyle w:val="95"/>
              <w:rPr>
                <w:b/>
                <w:bCs/>
              </w:rPr>
            </w:pPr>
            <w:r>
              <w:rPr>
                <w:b/>
                <w:bCs/>
              </w:rPr>
              <w:t>占地类型（m</w:t>
            </w:r>
            <w:r>
              <w:rPr>
                <w:b/>
                <w:bCs/>
                <w:vertAlign w:val="superscript"/>
              </w:rPr>
              <w:t>2</w:t>
            </w:r>
            <w:r>
              <w:rPr>
                <w:b/>
                <w:bCs/>
              </w:rPr>
              <w:t>）</w:t>
            </w:r>
          </w:p>
        </w:tc>
        <w:tc>
          <w:tcPr>
            <w:tcW w:w="794" w:type="dxa"/>
            <w:vMerge w:val="restart"/>
            <w:vAlign w:val="center"/>
          </w:tcPr>
          <w:p>
            <w:pPr>
              <w:pStyle w:val="95"/>
              <w:rPr>
                <w:b/>
                <w:bCs/>
              </w:rPr>
            </w:pPr>
            <w:r>
              <w:rPr>
                <w:b/>
                <w:bCs/>
              </w:rPr>
              <w:t>合计</w:t>
            </w:r>
          </w:p>
        </w:tc>
        <w:tc>
          <w:tcPr>
            <w:tcW w:w="703" w:type="dxa"/>
            <w:vMerge w:val="restart"/>
            <w:vAlign w:val="center"/>
          </w:tcPr>
          <w:p>
            <w:pPr>
              <w:pStyle w:val="95"/>
              <w:rPr>
                <w:b/>
                <w:bCs/>
              </w:rPr>
            </w:pPr>
            <w:r>
              <w:rPr>
                <w:b/>
                <w:bCs/>
              </w:rPr>
              <w:t>占地性质</w:t>
            </w: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CellMar>
            <w:top w:w="0" w:type="dxa"/>
            <w:left w:w="108" w:type="dxa"/>
            <w:bottom w:w="0" w:type="dxa"/>
            <w:right w:w="108" w:type="dxa"/>
          </w:tblCellMar>
        </w:tblPrEx>
        <w:trPr>
          <w:trHeight w:val="50" w:hRule="atLeast"/>
          <w:jc w:val="center"/>
        </w:trPr>
        <w:tc>
          <w:tcPr>
            <w:tcW w:w="1663" w:type="dxa"/>
            <w:vMerge w:val="continue"/>
            <w:vAlign w:val="center"/>
          </w:tcPr>
          <w:p>
            <w:pPr>
              <w:pStyle w:val="95"/>
              <w:rPr>
                <w:b/>
                <w:bCs/>
              </w:rPr>
            </w:pPr>
          </w:p>
        </w:tc>
        <w:tc>
          <w:tcPr>
            <w:tcW w:w="906" w:type="dxa"/>
            <w:vAlign w:val="center"/>
          </w:tcPr>
          <w:p>
            <w:pPr>
              <w:pStyle w:val="95"/>
              <w:rPr>
                <w:b/>
                <w:bCs/>
              </w:rPr>
            </w:pPr>
            <w:r>
              <w:rPr>
                <w:b/>
                <w:bCs/>
              </w:rPr>
              <w:t>耕地</w:t>
            </w:r>
          </w:p>
        </w:tc>
        <w:tc>
          <w:tcPr>
            <w:tcW w:w="907" w:type="dxa"/>
            <w:vAlign w:val="center"/>
          </w:tcPr>
          <w:p>
            <w:pPr>
              <w:pStyle w:val="95"/>
              <w:rPr>
                <w:b/>
                <w:bCs/>
              </w:rPr>
            </w:pPr>
            <w:r>
              <w:rPr>
                <w:b/>
                <w:bCs/>
              </w:rPr>
              <w:t>水田</w:t>
            </w:r>
          </w:p>
        </w:tc>
        <w:tc>
          <w:tcPr>
            <w:tcW w:w="1199" w:type="dxa"/>
            <w:vAlign w:val="center"/>
          </w:tcPr>
          <w:p>
            <w:pPr>
              <w:pStyle w:val="95"/>
              <w:rPr>
                <w:b/>
                <w:bCs/>
              </w:rPr>
            </w:pPr>
            <w:r>
              <w:rPr>
                <w:rFonts w:hint="eastAsia"/>
                <w:b/>
                <w:bCs/>
              </w:rPr>
              <w:t>一般</w:t>
            </w:r>
            <w:r>
              <w:rPr>
                <w:b/>
                <w:bCs/>
              </w:rPr>
              <w:t>林地</w:t>
            </w:r>
          </w:p>
        </w:tc>
        <w:tc>
          <w:tcPr>
            <w:tcW w:w="1417" w:type="dxa"/>
            <w:tcBorders>
              <w:left w:val="single" w:color="auto" w:sz="2" w:space="0"/>
            </w:tcBorders>
            <w:vAlign w:val="center"/>
          </w:tcPr>
          <w:p>
            <w:pPr>
              <w:pStyle w:val="95"/>
              <w:rPr>
                <w:b/>
                <w:bCs/>
              </w:rPr>
            </w:pPr>
            <w:r>
              <w:rPr>
                <w:b/>
                <w:bCs/>
              </w:rPr>
              <w:t>草地</w:t>
            </w:r>
          </w:p>
        </w:tc>
        <w:tc>
          <w:tcPr>
            <w:tcW w:w="1276" w:type="dxa"/>
            <w:tcBorders>
              <w:left w:val="single" w:color="auto" w:sz="2" w:space="0"/>
            </w:tcBorders>
            <w:vAlign w:val="center"/>
          </w:tcPr>
          <w:p>
            <w:pPr>
              <w:pStyle w:val="95"/>
              <w:rPr>
                <w:b/>
                <w:bCs/>
              </w:rPr>
            </w:pPr>
            <w:r>
              <w:rPr>
                <w:b/>
                <w:bCs/>
              </w:rPr>
              <w:t>其他土地</w:t>
            </w:r>
          </w:p>
        </w:tc>
        <w:tc>
          <w:tcPr>
            <w:tcW w:w="794" w:type="dxa"/>
            <w:vMerge w:val="continue"/>
            <w:vAlign w:val="center"/>
          </w:tcPr>
          <w:p>
            <w:pPr>
              <w:pStyle w:val="95"/>
              <w:rPr>
                <w:b/>
                <w:bCs/>
              </w:rPr>
            </w:pPr>
          </w:p>
        </w:tc>
        <w:tc>
          <w:tcPr>
            <w:tcW w:w="703" w:type="dxa"/>
            <w:vMerge w:val="continue"/>
            <w:vAlign w:val="center"/>
          </w:tcPr>
          <w:p>
            <w:pPr>
              <w:pStyle w:val="95"/>
              <w:rPr>
                <w:b/>
                <w:bCs/>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CellMar>
            <w:top w:w="0" w:type="dxa"/>
            <w:left w:w="108" w:type="dxa"/>
            <w:bottom w:w="0" w:type="dxa"/>
            <w:right w:w="108" w:type="dxa"/>
          </w:tblCellMar>
        </w:tblPrEx>
        <w:trPr>
          <w:trHeight w:val="152" w:hRule="atLeast"/>
          <w:jc w:val="center"/>
        </w:trPr>
        <w:tc>
          <w:tcPr>
            <w:tcW w:w="1663" w:type="dxa"/>
            <w:vAlign w:val="center"/>
          </w:tcPr>
          <w:p>
            <w:pPr>
              <w:pStyle w:val="95"/>
              <w:rPr>
                <w:bCs/>
              </w:rPr>
            </w:pPr>
            <w:r>
              <w:rPr>
                <w:bCs/>
              </w:rPr>
              <w:t>管道作业带</w:t>
            </w:r>
          </w:p>
        </w:tc>
        <w:tc>
          <w:tcPr>
            <w:tcW w:w="906" w:type="dxa"/>
            <w:vAlign w:val="center"/>
          </w:tcPr>
          <w:p>
            <w:pPr>
              <w:pStyle w:val="95"/>
              <w:rPr>
                <w:bCs/>
              </w:rPr>
            </w:pPr>
            <w:r>
              <w:rPr>
                <w:rFonts w:hint="eastAsia"/>
                <w:bCs/>
              </w:rPr>
              <w:t>1000</w:t>
            </w:r>
          </w:p>
        </w:tc>
        <w:tc>
          <w:tcPr>
            <w:tcW w:w="907" w:type="dxa"/>
            <w:vAlign w:val="center"/>
          </w:tcPr>
          <w:p>
            <w:pPr>
              <w:pStyle w:val="95"/>
              <w:rPr>
                <w:bCs/>
              </w:rPr>
            </w:pPr>
            <w:r>
              <w:rPr>
                <w:rFonts w:hint="eastAsia"/>
                <w:bCs/>
              </w:rPr>
              <w:t>500</w:t>
            </w:r>
          </w:p>
        </w:tc>
        <w:tc>
          <w:tcPr>
            <w:tcW w:w="1199" w:type="dxa"/>
            <w:vAlign w:val="center"/>
          </w:tcPr>
          <w:p>
            <w:pPr>
              <w:pStyle w:val="95"/>
              <w:rPr>
                <w:bCs/>
              </w:rPr>
            </w:pPr>
            <w:r>
              <w:rPr>
                <w:rFonts w:hint="eastAsia"/>
                <w:bCs/>
              </w:rPr>
              <w:t>/</w:t>
            </w:r>
          </w:p>
        </w:tc>
        <w:tc>
          <w:tcPr>
            <w:tcW w:w="1417" w:type="dxa"/>
            <w:tcBorders>
              <w:left w:val="single" w:color="auto" w:sz="2" w:space="0"/>
            </w:tcBorders>
            <w:vAlign w:val="center"/>
          </w:tcPr>
          <w:p>
            <w:pPr>
              <w:pStyle w:val="95"/>
              <w:rPr>
                <w:bCs/>
              </w:rPr>
            </w:pPr>
            <w:r>
              <w:rPr>
                <w:rFonts w:hint="eastAsia"/>
                <w:bCs/>
              </w:rPr>
              <w:t>1300</w:t>
            </w:r>
          </w:p>
        </w:tc>
        <w:tc>
          <w:tcPr>
            <w:tcW w:w="1276" w:type="dxa"/>
            <w:tcBorders>
              <w:left w:val="single" w:color="auto" w:sz="2" w:space="0"/>
            </w:tcBorders>
            <w:vAlign w:val="center"/>
          </w:tcPr>
          <w:p>
            <w:pPr>
              <w:pStyle w:val="95"/>
              <w:rPr>
                <w:bCs/>
              </w:rPr>
            </w:pPr>
            <w:r>
              <w:rPr>
                <w:rFonts w:hint="eastAsia"/>
                <w:bCs/>
              </w:rPr>
              <w:t>/</w:t>
            </w:r>
          </w:p>
        </w:tc>
        <w:tc>
          <w:tcPr>
            <w:tcW w:w="794" w:type="dxa"/>
            <w:vAlign w:val="center"/>
          </w:tcPr>
          <w:p>
            <w:pPr>
              <w:pStyle w:val="95"/>
              <w:rPr>
                <w:bCs/>
              </w:rPr>
            </w:pPr>
            <w:r>
              <w:rPr>
                <w:rFonts w:hint="eastAsia"/>
              </w:rPr>
              <w:t>280</w:t>
            </w:r>
            <w:r>
              <w:t>0</w:t>
            </w:r>
          </w:p>
        </w:tc>
        <w:tc>
          <w:tcPr>
            <w:tcW w:w="703" w:type="dxa"/>
            <w:vMerge w:val="restart"/>
            <w:vAlign w:val="center"/>
          </w:tcPr>
          <w:p>
            <w:pPr>
              <w:pStyle w:val="95"/>
              <w:rPr>
                <w:bCs/>
              </w:rPr>
            </w:pPr>
            <w:r>
              <w:rPr>
                <w:bCs/>
              </w:rPr>
              <w:t>临时占地</w:t>
            </w: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CellMar>
            <w:top w:w="0" w:type="dxa"/>
            <w:left w:w="108" w:type="dxa"/>
            <w:bottom w:w="0" w:type="dxa"/>
            <w:right w:w="108" w:type="dxa"/>
          </w:tblCellMar>
        </w:tblPrEx>
        <w:trPr>
          <w:trHeight w:val="50" w:hRule="atLeast"/>
          <w:jc w:val="center"/>
        </w:trPr>
        <w:tc>
          <w:tcPr>
            <w:tcW w:w="1663" w:type="dxa"/>
            <w:vAlign w:val="center"/>
          </w:tcPr>
          <w:p>
            <w:pPr>
              <w:pStyle w:val="95"/>
              <w:rPr>
                <w:bCs/>
              </w:rPr>
            </w:pPr>
            <w:r>
              <w:rPr>
                <w:bCs/>
              </w:rPr>
              <w:t>堆管点</w:t>
            </w:r>
          </w:p>
        </w:tc>
        <w:tc>
          <w:tcPr>
            <w:tcW w:w="906" w:type="dxa"/>
            <w:vAlign w:val="center"/>
          </w:tcPr>
          <w:p>
            <w:pPr>
              <w:pStyle w:val="95"/>
              <w:rPr>
                <w:bCs/>
              </w:rPr>
            </w:pPr>
            <w:r>
              <w:rPr>
                <w:rFonts w:hint="eastAsia"/>
                <w:bCs/>
              </w:rPr>
              <w:t>/</w:t>
            </w:r>
          </w:p>
        </w:tc>
        <w:tc>
          <w:tcPr>
            <w:tcW w:w="907" w:type="dxa"/>
            <w:vAlign w:val="center"/>
          </w:tcPr>
          <w:p>
            <w:pPr>
              <w:pStyle w:val="95"/>
              <w:rPr>
                <w:bCs/>
              </w:rPr>
            </w:pPr>
            <w:r>
              <w:rPr>
                <w:rFonts w:hint="eastAsia"/>
                <w:bCs/>
              </w:rPr>
              <w:t>/</w:t>
            </w:r>
          </w:p>
        </w:tc>
        <w:tc>
          <w:tcPr>
            <w:tcW w:w="1199" w:type="dxa"/>
            <w:vAlign w:val="center"/>
          </w:tcPr>
          <w:p>
            <w:pPr>
              <w:pStyle w:val="95"/>
              <w:rPr>
                <w:bCs/>
              </w:rPr>
            </w:pPr>
            <w:r>
              <w:rPr>
                <w:rFonts w:hint="eastAsia"/>
                <w:bCs/>
              </w:rPr>
              <w:t>/</w:t>
            </w:r>
          </w:p>
        </w:tc>
        <w:tc>
          <w:tcPr>
            <w:tcW w:w="1417" w:type="dxa"/>
            <w:tcBorders>
              <w:left w:val="single" w:color="auto" w:sz="2" w:space="0"/>
            </w:tcBorders>
            <w:vAlign w:val="center"/>
          </w:tcPr>
          <w:p>
            <w:pPr>
              <w:pStyle w:val="95"/>
              <w:rPr>
                <w:bCs/>
              </w:rPr>
            </w:pPr>
            <w:r>
              <w:rPr>
                <w:rFonts w:hint="eastAsia"/>
                <w:bCs/>
              </w:rPr>
              <w:t>200</w:t>
            </w:r>
          </w:p>
        </w:tc>
        <w:tc>
          <w:tcPr>
            <w:tcW w:w="1276" w:type="dxa"/>
            <w:tcBorders>
              <w:left w:val="single" w:color="auto" w:sz="2" w:space="0"/>
            </w:tcBorders>
            <w:vAlign w:val="center"/>
          </w:tcPr>
          <w:p>
            <w:pPr>
              <w:pStyle w:val="95"/>
              <w:rPr>
                <w:bCs/>
              </w:rPr>
            </w:pPr>
            <w:r>
              <w:rPr>
                <w:rFonts w:hint="eastAsia"/>
                <w:bCs/>
              </w:rPr>
              <w:t>300</w:t>
            </w:r>
          </w:p>
        </w:tc>
        <w:tc>
          <w:tcPr>
            <w:tcW w:w="794" w:type="dxa"/>
            <w:vAlign w:val="center"/>
          </w:tcPr>
          <w:p>
            <w:pPr>
              <w:pStyle w:val="95"/>
              <w:rPr>
                <w:bCs/>
              </w:rPr>
            </w:pPr>
            <w:r>
              <w:rPr>
                <w:rFonts w:hint="eastAsia"/>
                <w:bCs/>
              </w:rPr>
              <w:t>500</w:t>
            </w:r>
          </w:p>
        </w:tc>
        <w:tc>
          <w:tcPr>
            <w:tcW w:w="703" w:type="dxa"/>
            <w:vMerge w:val="continue"/>
            <w:vAlign w:val="center"/>
          </w:tcPr>
          <w:p>
            <w:pPr>
              <w:pStyle w:val="95"/>
              <w:rPr>
                <w:bCs/>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CellMar>
            <w:top w:w="0" w:type="dxa"/>
            <w:left w:w="108" w:type="dxa"/>
            <w:bottom w:w="0" w:type="dxa"/>
            <w:right w:w="108" w:type="dxa"/>
          </w:tblCellMar>
        </w:tblPrEx>
        <w:trPr>
          <w:trHeight w:val="50" w:hRule="atLeast"/>
          <w:jc w:val="center"/>
        </w:trPr>
        <w:tc>
          <w:tcPr>
            <w:tcW w:w="1663" w:type="dxa"/>
            <w:vAlign w:val="center"/>
          </w:tcPr>
          <w:p>
            <w:pPr>
              <w:pStyle w:val="95"/>
              <w:rPr>
                <w:bCs/>
              </w:rPr>
            </w:pPr>
            <w:r>
              <w:rPr>
                <w:bCs/>
              </w:rPr>
              <w:t>施工便道</w:t>
            </w:r>
          </w:p>
        </w:tc>
        <w:tc>
          <w:tcPr>
            <w:tcW w:w="906" w:type="dxa"/>
            <w:vAlign w:val="center"/>
          </w:tcPr>
          <w:p>
            <w:pPr>
              <w:pStyle w:val="95"/>
              <w:rPr>
                <w:bCs/>
              </w:rPr>
            </w:pPr>
            <w:r>
              <w:rPr>
                <w:rFonts w:hint="eastAsia"/>
                <w:bCs/>
              </w:rPr>
              <w:t>400</w:t>
            </w:r>
          </w:p>
        </w:tc>
        <w:tc>
          <w:tcPr>
            <w:tcW w:w="907" w:type="dxa"/>
            <w:vAlign w:val="center"/>
          </w:tcPr>
          <w:p>
            <w:pPr>
              <w:pStyle w:val="95"/>
              <w:rPr>
                <w:bCs/>
              </w:rPr>
            </w:pPr>
            <w:r>
              <w:rPr>
                <w:rFonts w:hint="eastAsia"/>
                <w:bCs/>
              </w:rPr>
              <w:t>/</w:t>
            </w:r>
          </w:p>
        </w:tc>
        <w:tc>
          <w:tcPr>
            <w:tcW w:w="1199" w:type="dxa"/>
            <w:vAlign w:val="center"/>
          </w:tcPr>
          <w:p>
            <w:pPr>
              <w:pStyle w:val="95"/>
              <w:rPr>
                <w:bCs/>
              </w:rPr>
            </w:pPr>
            <w:r>
              <w:rPr>
                <w:rFonts w:hint="eastAsia"/>
                <w:bCs/>
              </w:rPr>
              <w:t>/</w:t>
            </w:r>
          </w:p>
        </w:tc>
        <w:tc>
          <w:tcPr>
            <w:tcW w:w="1417" w:type="dxa"/>
            <w:tcBorders>
              <w:left w:val="single" w:color="auto" w:sz="2" w:space="0"/>
            </w:tcBorders>
            <w:vAlign w:val="center"/>
          </w:tcPr>
          <w:p>
            <w:pPr>
              <w:pStyle w:val="95"/>
              <w:rPr>
                <w:bCs/>
              </w:rPr>
            </w:pPr>
            <w:r>
              <w:rPr>
                <w:rFonts w:hint="eastAsia"/>
                <w:bCs/>
              </w:rPr>
              <w:t>300</w:t>
            </w:r>
          </w:p>
        </w:tc>
        <w:tc>
          <w:tcPr>
            <w:tcW w:w="1276" w:type="dxa"/>
            <w:tcBorders>
              <w:left w:val="single" w:color="auto" w:sz="2" w:space="0"/>
            </w:tcBorders>
            <w:vAlign w:val="center"/>
          </w:tcPr>
          <w:p>
            <w:pPr>
              <w:pStyle w:val="95"/>
              <w:rPr>
                <w:bCs/>
              </w:rPr>
            </w:pPr>
            <w:r>
              <w:rPr>
                <w:rFonts w:hint="eastAsia"/>
                <w:bCs/>
              </w:rPr>
              <w:t>100</w:t>
            </w:r>
          </w:p>
        </w:tc>
        <w:tc>
          <w:tcPr>
            <w:tcW w:w="794" w:type="dxa"/>
            <w:vAlign w:val="center"/>
          </w:tcPr>
          <w:p>
            <w:pPr>
              <w:pStyle w:val="95"/>
              <w:rPr>
                <w:bCs/>
              </w:rPr>
            </w:pPr>
            <w:r>
              <w:rPr>
                <w:rFonts w:hint="eastAsia"/>
                <w:bCs/>
              </w:rPr>
              <w:t>800</w:t>
            </w:r>
          </w:p>
        </w:tc>
        <w:tc>
          <w:tcPr>
            <w:tcW w:w="703" w:type="dxa"/>
            <w:vMerge w:val="continue"/>
            <w:vAlign w:val="center"/>
          </w:tcPr>
          <w:p>
            <w:pPr>
              <w:pStyle w:val="95"/>
              <w:rPr>
                <w:bCs/>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CellMar>
            <w:top w:w="0" w:type="dxa"/>
            <w:left w:w="108" w:type="dxa"/>
            <w:bottom w:w="0" w:type="dxa"/>
            <w:right w:w="108" w:type="dxa"/>
          </w:tblCellMar>
        </w:tblPrEx>
        <w:trPr>
          <w:trHeight w:val="50" w:hRule="atLeast"/>
          <w:jc w:val="center"/>
        </w:trPr>
        <w:tc>
          <w:tcPr>
            <w:tcW w:w="1663" w:type="dxa"/>
            <w:vAlign w:val="center"/>
          </w:tcPr>
          <w:p>
            <w:pPr>
              <w:pStyle w:val="95"/>
              <w:rPr>
                <w:bCs/>
              </w:rPr>
            </w:pPr>
            <w:r>
              <w:rPr>
                <w:bCs/>
              </w:rPr>
              <w:t>合计</w:t>
            </w:r>
          </w:p>
        </w:tc>
        <w:tc>
          <w:tcPr>
            <w:tcW w:w="906" w:type="dxa"/>
            <w:vAlign w:val="center"/>
          </w:tcPr>
          <w:p>
            <w:pPr>
              <w:pStyle w:val="95"/>
              <w:rPr>
                <w:bCs/>
              </w:rPr>
            </w:pPr>
            <w:r>
              <w:rPr>
                <w:rFonts w:hint="eastAsia"/>
                <w:bCs/>
              </w:rPr>
              <w:t>1400</w:t>
            </w:r>
          </w:p>
        </w:tc>
        <w:tc>
          <w:tcPr>
            <w:tcW w:w="907" w:type="dxa"/>
            <w:vAlign w:val="center"/>
          </w:tcPr>
          <w:p>
            <w:pPr>
              <w:pStyle w:val="95"/>
              <w:rPr>
                <w:bCs/>
              </w:rPr>
            </w:pPr>
            <w:r>
              <w:rPr>
                <w:rFonts w:hint="eastAsia"/>
                <w:bCs/>
              </w:rPr>
              <w:t>500</w:t>
            </w:r>
          </w:p>
        </w:tc>
        <w:tc>
          <w:tcPr>
            <w:tcW w:w="1199" w:type="dxa"/>
            <w:vAlign w:val="center"/>
          </w:tcPr>
          <w:p>
            <w:pPr>
              <w:pStyle w:val="95"/>
              <w:rPr>
                <w:bCs/>
              </w:rPr>
            </w:pPr>
            <w:r>
              <w:rPr>
                <w:rFonts w:hint="eastAsia"/>
                <w:bCs/>
              </w:rPr>
              <w:t>/</w:t>
            </w:r>
          </w:p>
        </w:tc>
        <w:tc>
          <w:tcPr>
            <w:tcW w:w="1417" w:type="dxa"/>
            <w:tcBorders>
              <w:left w:val="single" w:color="auto" w:sz="2" w:space="0"/>
            </w:tcBorders>
            <w:vAlign w:val="center"/>
          </w:tcPr>
          <w:p>
            <w:pPr>
              <w:pStyle w:val="95"/>
              <w:rPr>
                <w:bCs/>
              </w:rPr>
            </w:pPr>
            <w:r>
              <w:rPr>
                <w:rFonts w:hint="eastAsia"/>
                <w:bCs/>
              </w:rPr>
              <w:t>1800</w:t>
            </w:r>
          </w:p>
        </w:tc>
        <w:tc>
          <w:tcPr>
            <w:tcW w:w="1276" w:type="dxa"/>
            <w:tcBorders>
              <w:left w:val="single" w:color="auto" w:sz="2" w:space="0"/>
            </w:tcBorders>
            <w:vAlign w:val="center"/>
          </w:tcPr>
          <w:p>
            <w:pPr>
              <w:pStyle w:val="95"/>
              <w:rPr>
                <w:bCs/>
              </w:rPr>
            </w:pPr>
            <w:r>
              <w:rPr>
                <w:rFonts w:hint="eastAsia"/>
                <w:bCs/>
              </w:rPr>
              <w:t>400</w:t>
            </w:r>
          </w:p>
        </w:tc>
        <w:tc>
          <w:tcPr>
            <w:tcW w:w="794" w:type="dxa"/>
            <w:vAlign w:val="center"/>
          </w:tcPr>
          <w:p>
            <w:pPr>
              <w:pStyle w:val="95"/>
              <w:rPr>
                <w:bCs/>
              </w:rPr>
            </w:pPr>
            <w:r>
              <w:rPr>
                <w:rFonts w:hint="eastAsia"/>
                <w:bCs/>
              </w:rPr>
              <w:t>4100</w:t>
            </w:r>
          </w:p>
        </w:tc>
        <w:tc>
          <w:tcPr>
            <w:tcW w:w="703" w:type="dxa"/>
            <w:vAlign w:val="center"/>
          </w:tcPr>
          <w:p>
            <w:pPr>
              <w:pStyle w:val="95"/>
              <w:rPr>
                <w:bCs/>
              </w:rPr>
            </w:pPr>
          </w:p>
        </w:tc>
      </w:tr>
      <w:bookmarkEnd w:id="279"/>
      <w:bookmarkEnd w:id="284"/>
    </w:tbl>
    <w:p>
      <w:pPr>
        <w:pStyle w:val="6"/>
        <w:ind w:firstLine="482"/>
        <w:rPr>
          <w:rFonts w:ascii="Times New Roman" w:cs="Times New Roman"/>
          <w:b/>
        </w:rPr>
      </w:pPr>
      <w:r>
        <w:rPr>
          <w:rFonts w:hint="eastAsia" w:hAnsi="宋体"/>
          <w:b/>
        </w:rPr>
        <w:t>②</w:t>
      </w:r>
      <w:r>
        <w:rPr>
          <w:rFonts w:ascii="Times New Roman" w:cs="Times New Roman"/>
          <w:b/>
        </w:rPr>
        <w:t>占地影响</w:t>
      </w:r>
    </w:p>
    <w:p>
      <w:pPr>
        <w:pStyle w:val="112"/>
        <w:ind w:firstLine="480"/>
      </w:pPr>
      <w:r>
        <w:t>项目的临时占地主要在施工期。在管线及站场施工过程中，施工作业带、施工便道等均为临时占用土地，一般仅在施工阶段造成沿线土地利用的暂时改变，大部分用地在施工结束后短期内（1年～2年）能恢复原有的利用功能。</w:t>
      </w:r>
    </w:p>
    <w:p>
      <w:pPr>
        <w:pStyle w:val="112"/>
        <w:ind w:firstLine="480"/>
      </w:pPr>
      <w:r>
        <w:t>A.管道施工作业带占地</w:t>
      </w:r>
    </w:p>
    <w:p>
      <w:pPr>
        <w:pStyle w:val="112"/>
        <w:ind w:firstLine="480"/>
      </w:pPr>
      <w:r>
        <w:t>管道工程大部分临时占地是在管道开挖埋设施工过程中，由于管道施工分段进行，施工时间较短，每段管线从施工到重新覆土约为三个月的时间，施工完毕后，管道敷设完成，该地段土地利用大部分可恢复为原利用状态。</w:t>
      </w:r>
    </w:p>
    <w:p>
      <w:pPr>
        <w:pStyle w:val="112"/>
        <w:ind w:firstLine="480"/>
      </w:pPr>
      <w:r>
        <w:t>施工完成后，管道两侧5m范围内不能再种植深根植物，一般情况下，该地段可以种植根系不发达的草本植物，以改善景观、防止水土流失。因此从用地类型看对</w:t>
      </w:r>
      <w:r>
        <w:rPr>
          <w:rFonts w:hint="eastAsia"/>
        </w:rPr>
        <w:t>一般</w:t>
      </w:r>
      <w:r>
        <w:t>林地、灌丛等用地有一定的影响。</w:t>
      </w:r>
    </w:p>
    <w:p>
      <w:pPr>
        <w:pStyle w:val="112"/>
        <w:ind w:firstLine="480"/>
      </w:pPr>
      <w:r>
        <w:t>从宏观整体区域看，施工作业带为线性施工，相较于所占地类型面积比例极小，施工临时区域不会影响该区域的土地利用结构。管道施工完毕，管线两侧5m范围外可以重新种植深根作物，对土地利用的影响也将逐渐消失。</w:t>
      </w:r>
    </w:p>
    <w:p>
      <w:pPr>
        <w:pStyle w:val="112"/>
        <w:ind w:firstLine="480"/>
      </w:pPr>
      <w:r>
        <w:t>B.施工便道占地</w:t>
      </w:r>
    </w:p>
    <w:p>
      <w:pPr>
        <w:pStyle w:val="112"/>
        <w:ind w:firstLine="480"/>
      </w:pPr>
      <w:r>
        <w:t>管线施工便道属于临时性工程占地，施工结束后大部分即可恢复原有用地使用性质，一部分的施工便道将作为农村道路或者为了管道维护的方便而保持下来，虽然改变了其原有的用地性质，但由于保留的施工便道比较少，不会对区域土地利用产生较大影响。</w:t>
      </w:r>
    </w:p>
    <w:p>
      <w:pPr>
        <w:pStyle w:val="112"/>
        <w:ind w:firstLine="480"/>
      </w:pPr>
      <w:r>
        <w:t>施工便道多按具体的施工工段设置，各工段占地一般为30天～45天，施工便道以依托现有县乡道路为主，新建道路基本是在管道两侧</w:t>
      </w:r>
      <w:r>
        <w:rPr>
          <w:rFonts w:hint="eastAsia"/>
        </w:rPr>
        <w:t>8</w:t>
      </w:r>
      <w:r>
        <w:t>m内。施工期，施工范围内的农作物将被清除铲掉，施工便道需压实；施工结束后，施工便道占用的耕地可恢复原有种植。施工期施工便道对沿线生态环境的影响主要有：</w:t>
      </w:r>
    </w:p>
    <w:p>
      <w:pPr>
        <w:pStyle w:val="112"/>
        <w:ind w:firstLine="480"/>
      </w:pPr>
      <w:r>
        <w:t>a、临时占地将破坏地表原有植被作物，其中对农作物而言将减少一季收成；</w:t>
      </w:r>
    </w:p>
    <w:p>
      <w:pPr>
        <w:pStyle w:val="112"/>
        <w:ind w:firstLine="480"/>
      </w:pPr>
      <w:r>
        <w:t>b、施工过程中车辆碾压使占地范围内的土壤紧实度增加，对土地复耕后作物根系发育和生长不利；</w:t>
      </w:r>
    </w:p>
    <w:p>
      <w:pPr>
        <w:pStyle w:val="112"/>
        <w:ind w:firstLine="480"/>
      </w:pPr>
      <w:r>
        <w:t>c、在干燥天气下，车辆行驶扬尘，使便道两侧作物叶面覆盖降尘，光合作用弱，影响作物生长；降雨天气，施工车辆进出施工场地，施工便道上的泥土将影响到公路路面的清洁，干燥后会产生扬尘污染。</w:t>
      </w:r>
    </w:p>
    <w:p>
      <w:pPr>
        <w:pStyle w:val="112"/>
        <w:ind w:firstLine="480"/>
      </w:pPr>
      <w:r>
        <w:t>总之，临时性工程占地短期内将影响沿线土地的利用状况，施工结束后，随着生态补偿或生态恢复措施的实施，这一影响将逐渐小或消失。</w:t>
      </w:r>
    </w:p>
    <w:bookmarkEnd w:id="272"/>
    <w:bookmarkEnd w:id="273"/>
    <w:p>
      <w:pPr>
        <w:pStyle w:val="6"/>
        <w:ind w:firstLine="482"/>
        <w:rPr>
          <w:rFonts w:ascii="Times New Roman" w:cs="Times New Roman"/>
          <w:b/>
          <w:bCs/>
        </w:rPr>
      </w:pPr>
      <w:r>
        <w:rPr>
          <w:rFonts w:ascii="Times New Roman" w:cs="Times New Roman"/>
          <w:b/>
          <w:bCs/>
        </w:rPr>
        <w:t>2、生态环境影响分析</w:t>
      </w:r>
    </w:p>
    <w:p>
      <w:pPr>
        <w:pStyle w:val="6"/>
        <w:ind w:firstLine="482"/>
        <w:rPr>
          <w:rFonts w:ascii="Times New Roman" w:cs="Times New Roman"/>
          <w:b/>
        </w:rPr>
      </w:pPr>
      <w:r>
        <w:rPr>
          <w:rFonts w:ascii="Times New Roman" w:cs="Times New Roman"/>
          <w:b/>
        </w:rPr>
        <w:t>（1）生态影响分析</w:t>
      </w:r>
    </w:p>
    <w:p>
      <w:pPr>
        <w:pStyle w:val="6"/>
        <w:ind w:firstLine="480"/>
        <w:rPr>
          <w:rFonts w:ascii="Times New Roman" w:cs="Times New Roman"/>
        </w:rPr>
      </w:pPr>
      <w:r>
        <w:rPr>
          <w:rFonts w:hint="eastAsia" w:hAnsi="宋体"/>
        </w:rPr>
        <w:t>①</w:t>
      </w:r>
      <w:r>
        <w:rPr>
          <w:rFonts w:ascii="Times New Roman" w:cs="Times New Roman"/>
        </w:rPr>
        <w:t>在工程施工前期准备阶段，路线方案的选择、施工场地的准备，施工便道的修建，对土地利用产生明显的影响。</w:t>
      </w:r>
    </w:p>
    <w:p>
      <w:pPr>
        <w:pStyle w:val="6"/>
        <w:ind w:firstLine="480"/>
        <w:rPr>
          <w:rFonts w:ascii="Times New Roman" w:cs="Times New Roman"/>
        </w:rPr>
      </w:pPr>
      <w:r>
        <w:rPr>
          <w:rFonts w:hint="eastAsia" w:hAnsi="宋体"/>
        </w:rPr>
        <w:t>②</w:t>
      </w:r>
      <w:r>
        <w:rPr>
          <w:rFonts w:ascii="Times New Roman" w:cs="Times New Roman"/>
        </w:rPr>
        <w:t>施工期间土石方工程的开挖引起自然地貌的改变和地表自然及人工植被的破坏，生物量和生产力的变化，由此引发的区域生态环境的破坏。</w:t>
      </w:r>
    </w:p>
    <w:p>
      <w:pPr>
        <w:pStyle w:val="6"/>
        <w:ind w:firstLine="480"/>
        <w:rPr>
          <w:rFonts w:ascii="Times New Roman" w:cs="Times New Roman"/>
        </w:rPr>
      </w:pPr>
      <w:r>
        <w:rPr>
          <w:rFonts w:hint="eastAsia" w:hAnsi="宋体"/>
        </w:rPr>
        <w:t>③</w:t>
      </w:r>
      <w:r>
        <w:rPr>
          <w:rFonts w:ascii="Times New Roman" w:cs="Times New Roman"/>
        </w:rPr>
        <w:t>施工中临时道路、施工工场、管线敷设导致农业生态系统发生较大变化。</w:t>
      </w:r>
    </w:p>
    <w:p>
      <w:pPr>
        <w:pStyle w:val="6"/>
        <w:ind w:firstLine="482"/>
        <w:rPr>
          <w:rFonts w:ascii="Times New Roman" w:cs="Times New Roman"/>
          <w:b/>
        </w:rPr>
      </w:pPr>
      <w:bookmarkStart w:id="285" w:name="_Toc12288510"/>
      <w:r>
        <w:rPr>
          <w:rFonts w:ascii="Times New Roman" w:cs="Times New Roman"/>
          <w:b/>
        </w:rPr>
        <w:t>（2）拟采取的生态保护措施</w:t>
      </w:r>
      <w:bookmarkEnd w:id="285"/>
    </w:p>
    <w:p>
      <w:pPr>
        <w:pStyle w:val="6"/>
        <w:ind w:firstLine="480"/>
        <w:rPr>
          <w:rFonts w:ascii="Times New Roman" w:cs="Times New Roman"/>
        </w:rPr>
      </w:pPr>
      <w:r>
        <w:rPr>
          <w:rFonts w:hint="eastAsia" w:hAnsi="宋体"/>
        </w:rPr>
        <w:t>①</w:t>
      </w:r>
      <w:r>
        <w:rPr>
          <w:rFonts w:ascii="Times New Roman" w:cs="Times New Roman"/>
        </w:rPr>
        <w:t>线路方案选择过程中，在确定线路走向时，充分考虑对生态环境的保护，在满足线路走向和工艺要求的同时，线路尽量避开或减少了通过林区地段；在无法避免的</w:t>
      </w:r>
      <w:r>
        <w:rPr>
          <w:rFonts w:hint="eastAsia" w:ascii="Times New Roman" w:cs="Times New Roman"/>
        </w:rPr>
        <w:t>一般</w:t>
      </w:r>
      <w:r>
        <w:rPr>
          <w:rFonts w:ascii="Times New Roman" w:cs="Times New Roman"/>
        </w:rPr>
        <w:t>林地段施工时，严格控制作业带宽度，采用人工开挖的方式，减少对</w:t>
      </w:r>
      <w:r>
        <w:rPr>
          <w:rFonts w:hint="eastAsia" w:ascii="Times New Roman" w:cs="Times New Roman"/>
        </w:rPr>
        <w:t>一般</w:t>
      </w:r>
      <w:r>
        <w:rPr>
          <w:rFonts w:ascii="Times New Roman" w:cs="Times New Roman"/>
        </w:rPr>
        <w:t>林地的</w:t>
      </w:r>
      <w:r>
        <w:rPr>
          <w:rFonts w:hint="eastAsia" w:ascii="Times New Roman" w:cs="Times New Roman"/>
        </w:rPr>
        <w:t>影响</w:t>
      </w:r>
      <w:r>
        <w:rPr>
          <w:rFonts w:ascii="Times New Roman" w:cs="Times New Roman"/>
        </w:rPr>
        <w:t>。</w:t>
      </w:r>
    </w:p>
    <w:p>
      <w:pPr>
        <w:pStyle w:val="6"/>
        <w:ind w:firstLine="480"/>
        <w:rPr>
          <w:rFonts w:ascii="Times New Roman" w:cs="Times New Roman"/>
        </w:rPr>
      </w:pPr>
      <w:r>
        <w:rPr>
          <w:rFonts w:hint="eastAsia" w:hAnsi="宋体"/>
        </w:rPr>
        <w:t>②</w:t>
      </w:r>
      <w:r>
        <w:rPr>
          <w:rFonts w:ascii="Times New Roman" w:cs="Times New Roman"/>
        </w:rPr>
        <w:t>通过农业区时，管道保持足够埋深（国家强制规范要求埋深，车行道下不低于0.9m，非车行道下0.6m，绿化带内0.3m。田内应该参考管顶0.6m埋深执行），不影响耕作。表土开挖采取分层堆放，分层回填，对熟土的保护做到措施到位，尽量不造成熟土养分流失，减少营运期内对农作物生长造成的经济损失。</w:t>
      </w:r>
    </w:p>
    <w:p>
      <w:pPr>
        <w:pStyle w:val="6"/>
        <w:ind w:firstLine="480"/>
        <w:rPr>
          <w:rFonts w:ascii="Times New Roman" w:cs="Times New Roman"/>
        </w:rPr>
      </w:pPr>
      <w:r>
        <w:rPr>
          <w:rFonts w:hint="eastAsia" w:hAnsi="宋体"/>
        </w:rPr>
        <w:t>③</w:t>
      </w:r>
      <w:r>
        <w:rPr>
          <w:rFonts w:ascii="Times New Roman" w:cs="Times New Roman"/>
        </w:rPr>
        <w:t>线路尽量避开滑坡、崩塌地带。施工中控制施工作业带范围，施工作业带以外不得破坏树木植被。</w:t>
      </w:r>
      <w:r>
        <w:rPr>
          <w:rFonts w:hint="eastAsia" w:ascii="Times New Roman" w:cs="Times New Roman"/>
        </w:rPr>
        <w:t>一般</w:t>
      </w:r>
      <w:r>
        <w:rPr>
          <w:rFonts w:ascii="Times New Roman" w:cs="Times New Roman"/>
        </w:rPr>
        <w:t>林地做好还林、补林和林木移栽工作措施。</w:t>
      </w:r>
    </w:p>
    <w:p>
      <w:pPr>
        <w:pStyle w:val="6"/>
        <w:ind w:firstLine="480"/>
        <w:rPr>
          <w:rFonts w:ascii="Times New Roman" w:cs="Times New Roman"/>
        </w:rPr>
      </w:pPr>
      <w:r>
        <w:rPr>
          <w:rFonts w:hint="eastAsia" w:hAnsi="宋体"/>
        </w:rPr>
        <w:t>④</w:t>
      </w:r>
      <w:r>
        <w:rPr>
          <w:rFonts w:ascii="Times New Roman" w:cs="Times New Roman"/>
        </w:rPr>
        <w:t>管沟开挖产生的多余土石方不随意丢弃，并采取相应的拦挡措施，防止水土流失。管道经过深沟、陡坎地段，做好护坡、堡坎和排泄水设施。</w:t>
      </w:r>
    </w:p>
    <w:p>
      <w:pPr>
        <w:pStyle w:val="6"/>
        <w:ind w:firstLine="480"/>
        <w:rPr>
          <w:rFonts w:ascii="Times New Roman" w:cs="Times New Roman"/>
        </w:rPr>
      </w:pPr>
      <w:r>
        <w:rPr>
          <w:rFonts w:hint="eastAsia" w:hAnsi="宋体"/>
        </w:rPr>
        <w:t>⑤</w:t>
      </w:r>
      <w:r>
        <w:rPr>
          <w:rFonts w:ascii="Times New Roman" w:cs="Times New Roman"/>
        </w:rPr>
        <w:t>施工作业应避开暴雨季节，减少降雨引发的水土流失机率。应尽量避开农作物生长季节，减少农业生产的损失。</w:t>
      </w:r>
    </w:p>
    <w:p>
      <w:pPr>
        <w:pStyle w:val="6"/>
        <w:ind w:firstLine="480"/>
        <w:rPr>
          <w:rFonts w:ascii="Times New Roman" w:cs="Times New Roman"/>
        </w:rPr>
      </w:pPr>
      <w:r>
        <w:rPr>
          <w:rFonts w:hint="eastAsia" w:hAnsi="宋体"/>
        </w:rPr>
        <w:t>⑥</w:t>
      </w:r>
      <w:r>
        <w:rPr>
          <w:rFonts w:ascii="Times New Roman" w:cs="Times New Roman"/>
        </w:rPr>
        <w:t>妥善处理施工期产生的各类污染物，防止其对生态环境造成污染，特别是对河流和土壤的影响。施工回填时，应尽量按原有土壤层次进行回填，以恢复土壤的生产能力。回填后多余的土应平铺在田间或作为田埂等，不得随意丢弃。回填完成后，应立即开展复耕、复植工作，完善相应的水土保持工程。</w:t>
      </w:r>
    </w:p>
    <w:p>
      <w:pPr>
        <w:pStyle w:val="6"/>
        <w:ind w:firstLine="480"/>
        <w:rPr>
          <w:rFonts w:ascii="Times New Roman" w:cs="Times New Roman"/>
        </w:rPr>
      </w:pPr>
      <w:r>
        <w:rPr>
          <w:rFonts w:hint="eastAsia" w:hAnsi="宋体"/>
        </w:rPr>
        <w:t>⑦</w:t>
      </w:r>
      <w:r>
        <w:rPr>
          <w:rFonts w:hint="eastAsia" w:ascii="Times New Roman" w:cs="Times New Roman"/>
        </w:rPr>
        <w:t>妥善处理施工期产生的各类污染物，防止其对生态环境造成污染，特别是对河流和土壤的影响。施工回填时，应尽量按原有土壤层次进行回填，以恢复土壤的生产能力。回填后多余的土应平铺在田间或作为田埂等，不得随意丢弃。回填完成后，应立即开展复耕、复植工作，完善相应的水土保持工程</w:t>
      </w:r>
      <w:r>
        <w:rPr>
          <w:rFonts w:ascii="Times New Roman" w:cs="Times New Roman"/>
        </w:rPr>
        <w:t>。</w:t>
      </w:r>
    </w:p>
    <w:p>
      <w:pPr>
        <w:pStyle w:val="6"/>
        <w:ind w:firstLine="480"/>
        <w:rPr>
          <w:rFonts w:ascii="Times New Roman" w:cs="Times New Roman"/>
        </w:rPr>
      </w:pPr>
      <w:r>
        <w:rPr>
          <w:rFonts w:hint="eastAsia" w:hAnsi="宋体"/>
        </w:rPr>
        <w:t>⑧</w:t>
      </w:r>
      <w:r>
        <w:rPr>
          <w:rFonts w:ascii="Times New Roman" w:cs="Times New Roman"/>
        </w:rPr>
        <w:t>加大对作业带有机肥料的投入，增加土壤有机质含量，恢复土壤团粒结构，减轻对土壤的压实效应。</w:t>
      </w:r>
    </w:p>
    <w:p>
      <w:pPr>
        <w:pStyle w:val="4"/>
        <w:rPr>
          <w:rStyle w:val="64"/>
          <w:b/>
          <w:bCs/>
        </w:rPr>
      </w:pPr>
      <w:bookmarkStart w:id="286" w:name="_Toc12288511"/>
      <w:r>
        <w:rPr>
          <w:rStyle w:val="64"/>
          <w:b/>
          <w:bCs/>
        </w:rPr>
        <w:t>4.1.</w:t>
      </w:r>
      <w:bookmarkEnd w:id="286"/>
      <w:r>
        <w:rPr>
          <w:rStyle w:val="64"/>
          <w:b/>
          <w:bCs/>
        </w:rPr>
        <w:t>4 废气产生情况及治理措施</w:t>
      </w:r>
    </w:p>
    <w:p>
      <w:pPr>
        <w:pStyle w:val="6"/>
        <w:ind w:firstLine="480"/>
        <w:rPr>
          <w:rFonts w:ascii="Times New Roman" w:cs="Times New Roman"/>
        </w:rPr>
      </w:pPr>
      <w:r>
        <w:rPr>
          <w:rFonts w:ascii="Times New Roman" w:cs="Times New Roman"/>
        </w:rPr>
        <w:t>本工程施工大气污染源包括管沟土石方开挖产生的扬尘、裸露地面扬尘、施工运输车辆扬尘、施工机械及运输车辆燃油废气、焊接</w:t>
      </w:r>
      <w:r>
        <w:rPr>
          <w:rFonts w:hint="eastAsia" w:ascii="Times New Roman" w:cs="Times New Roman"/>
        </w:rPr>
        <w:t>烟尘、</w:t>
      </w:r>
      <w:r>
        <w:rPr>
          <w:rFonts w:ascii="Times New Roman"/>
        </w:rPr>
        <w:t>气体钻粉尘</w:t>
      </w:r>
      <w:r>
        <w:rPr>
          <w:rFonts w:hint="eastAsia" w:ascii="Times New Roman"/>
        </w:rPr>
        <w:t>、</w:t>
      </w:r>
      <w:r>
        <w:rPr>
          <w:rFonts w:hint="eastAsia"/>
        </w:rPr>
        <w:t>测试放喷废气</w:t>
      </w:r>
      <w:r>
        <w:rPr>
          <w:rFonts w:ascii="Times New Roman" w:cs="Times New Roman"/>
        </w:rPr>
        <w:t>。</w:t>
      </w:r>
    </w:p>
    <w:p>
      <w:pPr>
        <w:pStyle w:val="112"/>
        <w:ind w:firstLine="482"/>
        <w:rPr>
          <w:b/>
          <w:bCs/>
        </w:rPr>
      </w:pPr>
      <w:r>
        <w:rPr>
          <w:b/>
          <w:bCs/>
        </w:rPr>
        <w:t>1、污染源分析</w:t>
      </w:r>
    </w:p>
    <w:p>
      <w:pPr>
        <w:pStyle w:val="112"/>
        <w:ind w:firstLine="482"/>
        <w:rPr>
          <w:b/>
          <w:bCs/>
        </w:rPr>
      </w:pPr>
      <w:bookmarkStart w:id="287" w:name="_Hlk52895135"/>
      <w:r>
        <w:rPr>
          <w:b/>
          <w:bCs/>
        </w:rPr>
        <w:t>（1）施工扬尘</w:t>
      </w:r>
    </w:p>
    <w:p>
      <w:pPr>
        <w:pStyle w:val="112"/>
        <w:ind w:firstLine="480"/>
        <w:rPr>
          <w:highlight w:val="yellow"/>
        </w:rPr>
      </w:pPr>
      <w:r>
        <w:t>裸露地表在工程扰动或风力扰动的情况下会产生一定的扬尘，扬尘的产生量及产生浓度与扰动的严重程度有关，但在去除外界扰动的</w:t>
      </w:r>
      <w:r>
        <w:rPr>
          <w:rFonts w:hint="eastAsia"/>
          <w:lang w:eastAsia="zh-CN"/>
        </w:rPr>
        <w:t>情况</w:t>
      </w:r>
      <w:r>
        <w:t>下扬尘会随自身重力降至地面。同时，根据相关经验表明，裸露地表在扰动的</w:t>
      </w:r>
      <w:r>
        <w:rPr>
          <w:rFonts w:hint="eastAsia"/>
          <w:lang w:eastAsia="zh-CN"/>
        </w:rPr>
        <w:t>情况</w:t>
      </w:r>
      <w:r>
        <w:t>下所产生的扬尘量及浓度还与地表土壤的湿润程度有很大的联系，地表土壤所含水分越多，越不容易产生扬尘、放空废气。</w:t>
      </w:r>
    </w:p>
    <w:p>
      <w:pPr>
        <w:pStyle w:val="112"/>
        <w:ind w:firstLine="482"/>
        <w:rPr>
          <w:b/>
          <w:bCs/>
        </w:rPr>
      </w:pPr>
      <w:r>
        <w:rPr>
          <w:b/>
          <w:bCs/>
        </w:rPr>
        <w:t>（2）堆场所产生的扬尘</w:t>
      </w:r>
    </w:p>
    <w:p>
      <w:pPr>
        <w:pStyle w:val="112"/>
        <w:ind w:firstLine="480"/>
      </w:pPr>
      <w:r>
        <w:t>管线施工阶段扬尘的另一个来源是临时堆场和裸露场地的风力扬尘。在气候干燥的情况下会产生少量扬尘</w:t>
      </w:r>
      <w:r>
        <w:rPr>
          <w:rFonts w:hint="eastAsia"/>
        </w:rPr>
        <w:t>。</w:t>
      </w:r>
    </w:p>
    <w:p>
      <w:pPr>
        <w:pStyle w:val="112"/>
        <w:ind w:firstLine="480"/>
      </w:pPr>
      <w:r>
        <w:t>尘粒在空气中的传播扩散情况与风速等气象条件有关，也与尘粒本身的沉降速度有关。不同粒径的尘粒的沉降速度见表4.1-</w:t>
      </w:r>
      <w:r>
        <w:rPr>
          <w:rFonts w:hint="eastAsia"/>
        </w:rPr>
        <w:t>5</w:t>
      </w:r>
      <w:r>
        <w:t>。</w:t>
      </w:r>
    </w:p>
    <w:p>
      <w:pPr>
        <w:pStyle w:val="37"/>
        <w:rPr>
          <w:rFonts w:cs="Times New Roman"/>
        </w:rPr>
      </w:pPr>
      <w:r>
        <w:rPr>
          <w:rFonts w:cs="Times New Roman"/>
        </w:rPr>
        <w:t>表4.1-</w:t>
      </w:r>
      <w:r>
        <w:rPr>
          <w:rFonts w:hint="eastAsia" w:cs="Times New Roman"/>
        </w:rPr>
        <w:t>5</w:t>
      </w:r>
      <w:r>
        <w:rPr>
          <w:rFonts w:cs="Times New Roman"/>
        </w:rPr>
        <w:t xml:space="preserve">  不同粒径尘粒的沉降速度</w:t>
      </w:r>
    </w:p>
    <w:tbl>
      <w:tblPr>
        <w:tblStyle w:val="57"/>
        <w:tblW w:w="8703" w:type="dxa"/>
        <w:jc w:val="center"/>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127"/>
        <w:gridCol w:w="850"/>
        <w:gridCol w:w="851"/>
        <w:gridCol w:w="992"/>
        <w:gridCol w:w="850"/>
        <w:gridCol w:w="1076"/>
        <w:gridCol w:w="926"/>
        <w:gridCol w:w="1031"/>
      </w:tblGrid>
      <w:tr>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2" w:hRule="atLeast"/>
          <w:jc w:val="center"/>
        </w:trPr>
        <w:tc>
          <w:tcPr>
            <w:tcW w:w="2127" w:type="dxa"/>
            <w:vAlign w:val="center"/>
          </w:tcPr>
          <w:p>
            <w:pPr>
              <w:pStyle w:val="132"/>
            </w:pPr>
            <w:r>
              <w:t>粉尘粒径（</w:t>
            </w:r>
            <w:r>
              <w:rPr>
                <w:kern w:val="0"/>
              </w:rPr>
              <w:t>μm</w:t>
            </w:r>
            <w:r>
              <w:t>）</w:t>
            </w:r>
          </w:p>
        </w:tc>
        <w:tc>
          <w:tcPr>
            <w:tcW w:w="850" w:type="dxa"/>
            <w:vAlign w:val="center"/>
          </w:tcPr>
          <w:p>
            <w:pPr>
              <w:pStyle w:val="132"/>
            </w:pPr>
            <w:r>
              <w:t>10</w:t>
            </w:r>
          </w:p>
        </w:tc>
        <w:tc>
          <w:tcPr>
            <w:tcW w:w="851" w:type="dxa"/>
            <w:vAlign w:val="center"/>
          </w:tcPr>
          <w:p>
            <w:pPr>
              <w:pStyle w:val="132"/>
            </w:pPr>
            <w:r>
              <w:t>20</w:t>
            </w:r>
          </w:p>
        </w:tc>
        <w:tc>
          <w:tcPr>
            <w:tcW w:w="992" w:type="dxa"/>
            <w:vAlign w:val="center"/>
          </w:tcPr>
          <w:p>
            <w:pPr>
              <w:pStyle w:val="132"/>
            </w:pPr>
            <w:r>
              <w:t>30</w:t>
            </w:r>
          </w:p>
        </w:tc>
        <w:tc>
          <w:tcPr>
            <w:tcW w:w="850" w:type="dxa"/>
            <w:vAlign w:val="center"/>
          </w:tcPr>
          <w:p>
            <w:pPr>
              <w:pStyle w:val="132"/>
            </w:pPr>
            <w:r>
              <w:t>40</w:t>
            </w:r>
          </w:p>
        </w:tc>
        <w:tc>
          <w:tcPr>
            <w:tcW w:w="1076" w:type="dxa"/>
            <w:vAlign w:val="center"/>
          </w:tcPr>
          <w:p>
            <w:pPr>
              <w:pStyle w:val="132"/>
            </w:pPr>
            <w:r>
              <w:t>50</w:t>
            </w:r>
          </w:p>
        </w:tc>
        <w:tc>
          <w:tcPr>
            <w:tcW w:w="926" w:type="dxa"/>
            <w:vAlign w:val="center"/>
          </w:tcPr>
          <w:p>
            <w:pPr>
              <w:pStyle w:val="132"/>
            </w:pPr>
            <w:r>
              <w:t>60</w:t>
            </w:r>
          </w:p>
        </w:tc>
        <w:tc>
          <w:tcPr>
            <w:tcW w:w="1031" w:type="dxa"/>
            <w:vAlign w:val="center"/>
          </w:tcPr>
          <w:p>
            <w:pPr>
              <w:pStyle w:val="132"/>
            </w:pPr>
            <w:r>
              <w:t>70</w:t>
            </w:r>
          </w:p>
        </w:tc>
      </w:tr>
      <w:tr>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2127" w:type="dxa"/>
            <w:vAlign w:val="center"/>
          </w:tcPr>
          <w:p>
            <w:pPr>
              <w:pStyle w:val="132"/>
            </w:pPr>
            <w:r>
              <w:t>沉降速度（m/s）</w:t>
            </w:r>
          </w:p>
        </w:tc>
        <w:tc>
          <w:tcPr>
            <w:tcW w:w="850" w:type="dxa"/>
            <w:vAlign w:val="center"/>
          </w:tcPr>
          <w:p>
            <w:pPr>
              <w:pStyle w:val="132"/>
            </w:pPr>
            <w:r>
              <w:t>0.003</w:t>
            </w:r>
          </w:p>
        </w:tc>
        <w:tc>
          <w:tcPr>
            <w:tcW w:w="851" w:type="dxa"/>
            <w:vAlign w:val="center"/>
          </w:tcPr>
          <w:p>
            <w:pPr>
              <w:pStyle w:val="132"/>
            </w:pPr>
            <w:r>
              <w:t>0.012</w:t>
            </w:r>
          </w:p>
        </w:tc>
        <w:tc>
          <w:tcPr>
            <w:tcW w:w="992" w:type="dxa"/>
            <w:vAlign w:val="center"/>
          </w:tcPr>
          <w:p>
            <w:pPr>
              <w:pStyle w:val="132"/>
            </w:pPr>
            <w:r>
              <w:t>0.027</w:t>
            </w:r>
          </w:p>
        </w:tc>
        <w:tc>
          <w:tcPr>
            <w:tcW w:w="850" w:type="dxa"/>
            <w:vAlign w:val="center"/>
          </w:tcPr>
          <w:p>
            <w:pPr>
              <w:pStyle w:val="132"/>
            </w:pPr>
            <w:r>
              <w:t>0.048</w:t>
            </w:r>
          </w:p>
        </w:tc>
        <w:tc>
          <w:tcPr>
            <w:tcW w:w="1076" w:type="dxa"/>
            <w:vAlign w:val="center"/>
          </w:tcPr>
          <w:p>
            <w:pPr>
              <w:pStyle w:val="132"/>
            </w:pPr>
            <w:r>
              <w:t>0.075</w:t>
            </w:r>
          </w:p>
        </w:tc>
        <w:tc>
          <w:tcPr>
            <w:tcW w:w="926" w:type="dxa"/>
            <w:vAlign w:val="center"/>
          </w:tcPr>
          <w:p>
            <w:pPr>
              <w:pStyle w:val="132"/>
            </w:pPr>
            <w:r>
              <w:t>0.108</w:t>
            </w:r>
          </w:p>
        </w:tc>
        <w:tc>
          <w:tcPr>
            <w:tcW w:w="1031" w:type="dxa"/>
            <w:vAlign w:val="center"/>
          </w:tcPr>
          <w:p>
            <w:pPr>
              <w:pStyle w:val="132"/>
            </w:pPr>
            <w:r>
              <w:t>0.147</w:t>
            </w:r>
          </w:p>
        </w:tc>
      </w:tr>
      <w:tr>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2127" w:type="dxa"/>
            <w:vAlign w:val="center"/>
          </w:tcPr>
          <w:p>
            <w:pPr>
              <w:pStyle w:val="132"/>
            </w:pPr>
            <w:r>
              <w:t>粉尘粒径（</w:t>
            </w:r>
            <w:r>
              <w:rPr>
                <w:kern w:val="0"/>
              </w:rPr>
              <w:t>μm</w:t>
            </w:r>
            <w:r>
              <w:t>）</w:t>
            </w:r>
          </w:p>
        </w:tc>
        <w:tc>
          <w:tcPr>
            <w:tcW w:w="850" w:type="dxa"/>
            <w:vAlign w:val="center"/>
          </w:tcPr>
          <w:p>
            <w:pPr>
              <w:pStyle w:val="132"/>
            </w:pPr>
            <w:r>
              <w:t>80</w:t>
            </w:r>
          </w:p>
        </w:tc>
        <w:tc>
          <w:tcPr>
            <w:tcW w:w="851" w:type="dxa"/>
            <w:vAlign w:val="center"/>
          </w:tcPr>
          <w:p>
            <w:pPr>
              <w:pStyle w:val="132"/>
            </w:pPr>
            <w:r>
              <w:t>90</w:t>
            </w:r>
          </w:p>
        </w:tc>
        <w:tc>
          <w:tcPr>
            <w:tcW w:w="992" w:type="dxa"/>
            <w:vAlign w:val="center"/>
          </w:tcPr>
          <w:p>
            <w:pPr>
              <w:pStyle w:val="132"/>
            </w:pPr>
            <w:r>
              <w:t>100</w:t>
            </w:r>
          </w:p>
        </w:tc>
        <w:tc>
          <w:tcPr>
            <w:tcW w:w="850" w:type="dxa"/>
            <w:vAlign w:val="center"/>
          </w:tcPr>
          <w:p>
            <w:pPr>
              <w:pStyle w:val="132"/>
            </w:pPr>
            <w:r>
              <w:t>150</w:t>
            </w:r>
          </w:p>
        </w:tc>
        <w:tc>
          <w:tcPr>
            <w:tcW w:w="1076" w:type="dxa"/>
            <w:vAlign w:val="center"/>
          </w:tcPr>
          <w:p>
            <w:pPr>
              <w:pStyle w:val="132"/>
            </w:pPr>
            <w:r>
              <w:t>200</w:t>
            </w:r>
          </w:p>
        </w:tc>
        <w:tc>
          <w:tcPr>
            <w:tcW w:w="926" w:type="dxa"/>
            <w:vAlign w:val="center"/>
          </w:tcPr>
          <w:p>
            <w:pPr>
              <w:pStyle w:val="132"/>
            </w:pPr>
            <w:r>
              <w:t>250</w:t>
            </w:r>
          </w:p>
        </w:tc>
        <w:tc>
          <w:tcPr>
            <w:tcW w:w="1031" w:type="dxa"/>
            <w:vAlign w:val="center"/>
          </w:tcPr>
          <w:p>
            <w:pPr>
              <w:pStyle w:val="132"/>
            </w:pPr>
            <w:r>
              <w:t>350</w:t>
            </w:r>
          </w:p>
        </w:tc>
      </w:tr>
      <w:tr>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2127" w:type="dxa"/>
            <w:vAlign w:val="center"/>
          </w:tcPr>
          <w:p>
            <w:pPr>
              <w:pStyle w:val="132"/>
            </w:pPr>
            <w:r>
              <w:t>沉降速度（m/s）</w:t>
            </w:r>
          </w:p>
        </w:tc>
        <w:tc>
          <w:tcPr>
            <w:tcW w:w="850" w:type="dxa"/>
            <w:vAlign w:val="center"/>
          </w:tcPr>
          <w:p>
            <w:pPr>
              <w:pStyle w:val="132"/>
            </w:pPr>
            <w:r>
              <w:t>0.158</w:t>
            </w:r>
          </w:p>
        </w:tc>
        <w:tc>
          <w:tcPr>
            <w:tcW w:w="851" w:type="dxa"/>
            <w:vAlign w:val="center"/>
          </w:tcPr>
          <w:p>
            <w:pPr>
              <w:pStyle w:val="132"/>
            </w:pPr>
            <w:r>
              <w:t>0.170</w:t>
            </w:r>
          </w:p>
        </w:tc>
        <w:tc>
          <w:tcPr>
            <w:tcW w:w="992" w:type="dxa"/>
            <w:vAlign w:val="center"/>
          </w:tcPr>
          <w:p>
            <w:pPr>
              <w:pStyle w:val="132"/>
            </w:pPr>
            <w:r>
              <w:t>0.182</w:t>
            </w:r>
          </w:p>
        </w:tc>
        <w:tc>
          <w:tcPr>
            <w:tcW w:w="850" w:type="dxa"/>
            <w:vAlign w:val="center"/>
          </w:tcPr>
          <w:p>
            <w:pPr>
              <w:pStyle w:val="132"/>
            </w:pPr>
            <w:r>
              <w:t>0.239</w:t>
            </w:r>
          </w:p>
        </w:tc>
        <w:tc>
          <w:tcPr>
            <w:tcW w:w="1076" w:type="dxa"/>
            <w:vAlign w:val="center"/>
          </w:tcPr>
          <w:p>
            <w:pPr>
              <w:pStyle w:val="132"/>
            </w:pPr>
            <w:r>
              <w:t>0.804</w:t>
            </w:r>
          </w:p>
        </w:tc>
        <w:tc>
          <w:tcPr>
            <w:tcW w:w="926" w:type="dxa"/>
            <w:vAlign w:val="center"/>
          </w:tcPr>
          <w:p>
            <w:pPr>
              <w:pStyle w:val="132"/>
            </w:pPr>
            <w:r>
              <w:t>1.005</w:t>
            </w:r>
          </w:p>
        </w:tc>
        <w:tc>
          <w:tcPr>
            <w:tcW w:w="1031" w:type="dxa"/>
            <w:vAlign w:val="center"/>
          </w:tcPr>
          <w:p>
            <w:pPr>
              <w:pStyle w:val="132"/>
            </w:pPr>
            <w:r>
              <w:t>1.829</w:t>
            </w:r>
          </w:p>
        </w:tc>
      </w:tr>
      <w:tr>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2127" w:type="dxa"/>
            <w:vAlign w:val="center"/>
          </w:tcPr>
          <w:p>
            <w:pPr>
              <w:pStyle w:val="132"/>
            </w:pPr>
            <w:r>
              <w:t>粉尘粒径（</w:t>
            </w:r>
            <w:r>
              <w:rPr>
                <w:kern w:val="0"/>
              </w:rPr>
              <w:t>μm</w:t>
            </w:r>
            <w:r>
              <w:t>）</w:t>
            </w:r>
          </w:p>
        </w:tc>
        <w:tc>
          <w:tcPr>
            <w:tcW w:w="850" w:type="dxa"/>
            <w:vAlign w:val="center"/>
          </w:tcPr>
          <w:p>
            <w:pPr>
              <w:pStyle w:val="132"/>
            </w:pPr>
            <w:r>
              <w:t>450</w:t>
            </w:r>
          </w:p>
        </w:tc>
        <w:tc>
          <w:tcPr>
            <w:tcW w:w="851" w:type="dxa"/>
            <w:vAlign w:val="center"/>
          </w:tcPr>
          <w:p>
            <w:pPr>
              <w:pStyle w:val="132"/>
            </w:pPr>
            <w:r>
              <w:t>550</w:t>
            </w:r>
          </w:p>
        </w:tc>
        <w:tc>
          <w:tcPr>
            <w:tcW w:w="992" w:type="dxa"/>
            <w:vAlign w:val="center"/>
          </w:tcPr>
          <w:p>
            <w:pPr>
              <w:pStyle w:val="132"/>
            </w:pPr>
            <w:r>
              <w:t>650</w:t>
            </w:r>
          </w:p>
        </w:tc>
        <w:tc>
          <w:tcPr>
            <w:tcW w:w="850" w:type="dxa"/>
            <w:vAlign w:val="center"/>
          </w:tcPr>
          <w:p>
            <w:pPr>
              <w:pStyle w:val="132"/>
            </w:pPr>
            <w:r>
              <w:t>750</w:t>
            </w:r>
          </w:p>
        </w:tc>
        <w:tc>
          <w:tcPr>
            <w:tcW w:w="1076" w:type="dxa"/>
            <w:vAlign w:val="center"/>
          </w:tcPr>
          <w:p>
            <w:pPr>
              <w:pStyle w:val="132"/>
            </w:pPr>
            <w:r>
              <w:t>850</w:t>
            </w:r>
          </w:p>
        </w:tc>
        <w:tc>
          <w:tcPr>
            <w:tcW w:w="926" w:type="dxa"/>
            <w:vAlign w:val="center"/>
          </w:tcPr>
          <w:p>
            <w:pPr>
              <w:pStyle w:val="132"/>
            </w:pPr>
            <w:r>
              <w:t>950</w:t>
            </w:r>
          </w:p>
        </w:tc>
        <w:tc>
          <w:tcPr>
            <w:tcW w:w="1031" w:type="dxa"/>
            <w:vAlign w:val="center"/>
          </w:tcPr>
          <w:p>
            <w:pPr>
              <w:pStyle w:val="132"/>
            </w:pPr>
            <w:r>
              <w:t>1050</w:t>
            </w:r>
          </w:p>
        </w:tc>
      </w:tr>
      <w:tr>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2127" w:type="dxa"/>
            <w:vAlign w:val="center"/>
          </w:tcPr>
          <w:p>
            <w:pPr>
              <w:pStyle w:val="132"/>
            </w:pPr>
            <w:r>
              <w:t>沉降速度（m/s）</w:t>
            </w:r>
          </w:p>
        </w:tc>
        <w:tc>
          <w:tcPr>
            <w:tcW w:w="850" w:type="dxa"/>
            <w:vAlign w:val="center"/>
          </w:tcPr>
          <w:p>
            <w:pPr>
              <w:pStyle w:val="132"/>
            </w:pPr>
            <w:r>
              <w:t>2.211</w:t>
            </w:r>
          </w:p>
        </w:tc>
        <w:tc>
          <w:tcPr>
            <w:tcW w:w="851" w:type="dxa"/>
            <w:vAlign w:val="center"/>
          </w:tcPr>
          <w:p>
            <w:pPr>
              <w:pStyle w:val="132"/>
            </w:pPr>
            <w:r>
              <w:t>2.514</w:t>
            </w:r>
          </w:p>
        </w:tc>
        <w:tc>
          <w:tcPr>
            <w:tcW w:w="992" w:type="dxa"/>
            <w:vAlign w:val="center"/>
          </w:tcPr>
          <w:p>
            <w:pPr>
              <w:pStyle w:val="132"/>
            </w:pPr>
            <w:r>
              <w:t>3.016</w:t>
            </w:r>
          </w:p>
        </w:tc>
        <w:tc>
          <w:tcPr>
            <w:tcW w:w="850" w:type="dxa"/>
            <w:vAlign w:val="center"/>
          </w:tcPr>
          <w:p>
            <w:pPr>
              <w:pStyle w:val="132"/>
            </w:pPr>
            <w:r>
              <w:t>3.458</w:t>
            </w:r>
          </w:p>
        </w:tc>
        <w:tc>
          <w:tcPr>
            <w:tcW w:w="1076" w:type="dxa"/>
            <w:vAlign w:val="center"/>
          </w:tcPr>
          <w:p>
            <w:pPr>
              <w:pStyle w:val="132"/>
            </w:pPr>
            <w:r>
              <w:t>3.820</w:t>
            </w:r>
          </w:p>
        </w:tc>
        <w:tc>
          <w:tcPr>
            <w:tcW w:w="926" w:type="dxa"/>
            <w:vAlign w:val="center"/>
          </w:tcPr>
          <w:p>
            <w:pPr>
              <w:pStyle w:val="132"/>
            </w:pPr>
            <w:r>
              <w:t>4.222</w:t>
            </w:r>
          </w:p>
        </w:tc>
        <w:tc>
          <w:tcPr>
            <w:tcW w:w="1031" w:type="dxa"/>
            <w:vAlign w:val="center"/>
          </w:tcPr>
          <w:p>
            <w:pPr>
              <w:pStyle w:val="132"/>
            </w:pPr>
            <w:r>
              <w:t>4.624</w:t>
            </w:r>
          </w:p>
        </w:tc>
      </w:tr>
    </w:tbl>
    <w:p>
      <w:pPr>
        <w:pStyle w:val="532"/>
        <w:spacing w:line="360" w:lineRule="auto"/>
        <w:ind w:firstLine="480"/>
        <w:rPr>
          <w:rFonts w:ascii="Times New Roman" w:hAnsi="Times New Roman"/>
        </w:rPr>
      </w:pPr>
      <w:r>
        <w:rPr>
          <w:rFonts w:ascii="Times New Roman" w:hAnsi="Times New Roman"/>
        </w:rPr>
        <w:t>由此表可知，粉尘的沉降速度随粒径的增大而迅速增大。当粒径为250μm时，沉降速度1.005m/s，因此可认为当尘粒大于250μm时，主要影响范围在扬尘点下风向近距离范围内，而真正对外环境产生影响的是一些微小粒径的粉尘。根据现场的气候情况不同，其影响也有所不同。</w:t>
      </w:r>
    </w:p>
    <w:p>
      <w:pPr>
        <w:pStyle w:val="532"/>
        <w:spacing w:line="360" w:lineRule="auto"/>
        <w:ind w:firstLine="482"/>
        <w:rPr>
          <w:rFonts w:ascii="Times New Roman" w:hAnsi="Times New Roman"/>
          <w:b/>
          <w:bCs/>
        </w:rPr>
      </w:pPr>
      <w:r>
        <w:rPr>
          <w:rFonts w:ascii="Times New Roman" w:hAnsi="Times New Roman"/>
          <w:b/>
          <w:bCs/>
        </w:rPr>
        <w:t>（3）运输扬尘</w:t>
      </w:r>
    </w:p>
    <w:p>
      <w:pPr>
        <w:pStyle w:val="532"/>
        <w:spacing w:line="360" w:lineRule="auto"/>
        <w:ind w:firstLine="480"/>
        <w:rPr>
          <w:rFonts w:ascii="Times New Roman" w:hAnsi="Times New Roman"/>
        </w:rPr>
      </w:pPr>
      <w:r>
        <w:rPr>
          <w:rFonts w:ascii="Times New Roman" w:hAnsi="Times New Roman"/>
        </w:rPr>
        <w:t>在对大气环境的影响中，运输车辆引起的扬尘影响最大、时间较长，其影响程度因施工场地内路面破坏、泥土裸露而加重，一般扬尘量与汽车速度、汽车重量、道路表面积尘量成比例关系，据有关方面的研究，当汽车运送土方时，行车道路两侧的扬尘短期浓度可达8~10mg/m</w:t>
      </w:r>
      <w:r>
        <w:rPr>
          <w:rFonts w:ascii="Times New Roman" w:hAnsi="Times New Roman"/>
          <w:vertAlign w:val="superscript"/>
        </w:rPr>
        <w:t>3</w:t>
      </w:r>
      <w:r>
        <w:rPr>
          <w:rFonts w:ascii="Times New Roman" w:hAnsi="Times New Roman"/>
        </w:rPr>
        <w:t>。但是，道路扬尘浓度随距离增加迅速下降，扬尘下风向200米处的浓度几乎接近上风向对照点的浓度。据对同类工程的比较分析，车辆运输产生的二次扬尘对项目周边运输路线二侧居民会造成一定影响。</w:t>
      </w:r>
    </w:p>
    <w:p>
      <w:pPr>
        <w:pStyle w:val="532"/>
        <w:spacing w:line="360" w:lineRule="auto"/>
        <w:ind w:firstLine="482"/>
        <w:rPr>
          <w:rFonts w:ascii="Times New Roman" w:hAnsi="Times New Roman"/>
          <w:b/>
          <w:bCs/>
        </w:rPr>
      </w:pPr>
      <w:r>
        <w:rPr>
          <w:rFonts w:ascii="Times New Roman" w:hAnsi="Times New Roman"/>
          <w:b/>
          <w:bCs/>
        </w:rPr>
        <w:t>（4）运输车辆和施工机械运行过程中排放的尾气</w:t>
      </w:r>
    </w:p>
    <w:p>
      <w:pPr>
        <w:pStyle w:val="532"/>
        <w:spacing w:line="360" w:lineRule="auto"/>
        <w:ind w:firstLine="480"/>
        <w:rPr>
          <w:rFonts w:ascii="Times New Roman" w:hAnsi="Times New Roman"/>
        </w:rPr>
      </w:pPr>
      <w:r>
        <w:rPr>
          <w:rFonts w:ascii="Times New Roman" w:hAnsi="Times New Roman"/>
        </w:rPr>
        <w:t>其主要污染物是未完全燃烧的CmHn和CO、NOx等，其特点是产生量较小，属间歇式、分散式排放。本项目工程量小，施工机械、车辆少，施工车辆尾气很少，本次评价不定量分析。</w:t>
      </w:r>
    </w:p>
    <w:p>
      <w:pPr>
        <w:ind w:firstLine="482"/>
        <w:rPr>
          <w:rFonts w:ascii="Times New Roman" w:cs="Times New Roman"/>
          <w:b/>
          <w:bCs/>
        </w:rPr>
      </w:pPr>
      <w:bookmarkStart w:id="288" w:name="OLE_LINK185"/>
      <w:bookmarkStart w:id="289" w:name="OLE_LINK186"/>
      <w:r>
        <w:rPr>
          <w:rFonts w:ascii="Times New Roman" w:cs="Times New Roman"/>
          <w:b/>
          <w:bCs/>
        </w:rPr>
        <w:t>（5）焊接烟尘</w:t>
      </w:r>
    </w:p>
    <w:p>
      <w:pPr>
        <w:ind w:firstLine="480"/>
        <w:rPr>
          <w:rFonts w:ascii="Times New Roman" w:cs="Times New Roman"/>
        </w:rPr>
      </w:pPr>
      <w:r>
        <w:rPr>
          <w:rFonts w:ascii="Times New Roman" w:cs="Times New Roman"/>
        </w:rPr>
        <w:t>本工</w:t>
      </w:r>
      <w:bookmarkEnd w:id="288"/>
      <w:bookmarkEnd w:id="289"/>
      <w:r>
        <w:rPr>
          <w:rFonts w:ascii="Times New Roman" w:cs="Times New Roman"/>
        </w:rPr>
        <w:t>程管道采用</w:t>
      </w:r>
      <w:r>
        <w:rPr>
          <w:rFonts w:ascii="Times New Roman" w:cs="Times New Roman"/>
          <w:bCs/>
        </w:rPr>
        <w:t>氩弧焊打底，手工电弧焊接盖面。</w:t>
      </w:r>
      <w:r>
        <w:rPr>
          <w:rFonts w:ascii="Times New Roman" w:cs="Times New Roman"/>
        </w:rPr>
        <w:t>每公里消耗约400kg的焊条，根据类比资料分析，每公斤焊条产生的焊烟约30g，则焊接烟尘产生量约为12kg/km，</w:t>
      </w:r>
      <w:r>
        <w:rPr>
          <w:rFonts w:ascii="Times New Roman" w:cs="Times New Roman"/>
          <w:color w:val="0000FF"/>
        </w:rPr>
        <w:t>本工程</w:t>
      </w:r>
      <w:r>
        <w:rPr>
          <w:rFonts w:hint="eastAsia" w:ascii="Times New Roman" w:cs="Times New Roman"/>
          <w:color w:val="0000FF"/>
        </w:rPr>
        <w:t>集气管道</w:t>
      </w:r>
      <w:r>
        <w:rPr>
          <w:rFonts w:ascii="Times New Roman" w:cs="Times New Roman"/>
          <w:color w:val="0000FF"/>
        </w:rPr>
        <w:t>长度为</w:t>
      </w:r>
      <w:r>
        <w:rPr>
          <w:rFonts w:hint="eastAsia" w:ascii="Times New Roman" w:cs="Times New Roman"/>
          <w:color w:val="0000FF"/>
        </w:rPr>
        <w:t>350</w:t>
      </w:r>
      <w:r>
        <w:rPr>
          <w:rFonts w:ascii="Times New Roman" w:cs="Times New Roman"/>
          <w:color w:val="0000FF"/>
        </w:rPr>
        <w:t>m</w:t>
      </w:r>
      <w:r>
        <w:rPr>
          <w:rFonts w:ascii="Times New Roman" w:cs="Times New Roman"/>
        </w:rPr>
        <w:t>，则焊接烟尘产生量约为</w:t>
      </w:r>
      <w:r>
        <w:rPr>
          <w:rFonts w:hint="eastAsia" w:ascii="Times New Roman" w:cs="Times New Roman"/>
        </w:rPr>
        <w:t>4.2</w:t>
      </w:r>
      <w:r>
        <w:rPr>
          <w:rFonts w:ascii="Times New Roman" w:cs="Times New Roman"/>
        </w:rPr>
        <w:t>kg。由于焊接烟尘的排放具有分散、间断排放和排放量小的特点，故焊接烟尘对周围空气质量影响较小。</w:t>
      </w:r>
    </w:p>
    <w:bookmarkEnd w:id="287"/>
    <w:p>
      <w:pPr>
        <w:pStyle w:val="112"/>
        <w:ind w:firstLine="482"/>
        <w:rPr>
          <w:b/>
          <w:bCs/>
        </w:rPr>
      </w:pPr>
      <w:r>
        <w:rPr>
          <w:b/>
          <w:bCs/>
        </w:rPr>
        <w:t>2、防治措施</w:t>
      </w:r>
    </w:p>
    <w:p>
      <w:pPr>
        <w:pStyle w:val="112"/>
        <w:ind w:firstLine="480"/>
      </w:pPr>
      <w:r>
        <w:t>本项目在施工建设中应严格按照《四川省〈中华人民共和国大气污染防治法〉实施办法》等相关扬尘防治管理规定进行施工建设，最大程度减少大气污染物产生的环境污染。针对本项目特点和区域特征，本项目施工期的具体大气污染物治理措施如下：</w:t>
      </w:r>
    </w:p>
    <w:p>
      <w:pPr>
        <w:pStyle w:val="112"/>
        <w:ind w:firstLine="480"/>
      </w:pPr>
      <w:r>
        <w:rPr>
          <w:rFonts w:hint="eastAsia" w:ascii="宋体" w:hAnsi="宋体" w:cs="宋体"/>
        </w:rPr>
        <w:t>①</w:t>
      </w:r>
      <w:r>
        <w:t>施工期间，大风天禁止施工作业；</w:t>
      </w:r>
    </w:p>
    <w:p>
      <w:pPr>
        <w:pStyle w:val="112"/>
        <w:ind w:firstLine="480"/>
      </w:pPr>
      <w:r>
        <w:rPr>
          <w:rFonts w:hint="eastAsia" w:ascii="宋体" w:hAnsi="宋体" w:cs="宋体"/>
        </w:rPr>
        <w:t>②</w:t>
      </w:r>
      <w:r>
        <w:t>散体材料装卸必须采取防风遮挡等降尘措施；</w:t>
      </w:r>
    </w:p>
    <w:p>
      <w:pPr>
        <w:pStyle w:val="112"/>
        <w:ind w:firstLine="480"/>
      </w:pPr>
      <w:r>
        <w:rPr>
          <w:rFonts w:hint="eastAsia" w:ascii="宋体" w:hAnsi="宋体" w:cs="宋体"/>
        </w:rPr>
        <w:t>③</w:t>
      </w:r>
      <w:r>
        <w:t>定期对作业面和土堆洒水，使其保持一定湿度，降低施工期的粉尘散发量；</w:t>
      </w:r>
    </w:p>
    <w:p>
      <w:pPr>
        <w:pStyle w:val="112"/>
        <w:ind w:firstLine="480"/>
      </w:pPr>
      <w:r>
        <w:rPr>
          <w:rFonts w:hint="eastAsia" w:ascii="宋体" w:hAnsi="宋体" w:cs="宋体"/>
        </w:rPr>
        <w:t>④</w:t>
      </w:r>
      <w:r>
        <w:t>对施工临时堆放的土方，应采取防护措施，如加盖防尘网、喷淋保湿等，防止扬尘污染；</w:t>
      </w:r>
    </w:p>
    <w:p>
      <w:pPr>
        <w:pStyle w:val="112"/>
        <w:ind w:firstLine="480"/>
      </w:pPr>
      <w:r>
        <w:rPr>
          <w:rFonts w:hint="eastAsia" w:ascii="宋体" w:hAnsi="宋体" w:cs="宋体"/>
        </w:rPr>
        <w:t>⑤</w:t>
      </w:r>
      <w:r>
        <w:t>对施工便道进行定期养护、清扫，确保路况良好，保持运输车辆完好，不超高超载，采取遮盖、密闭措施，减少沿程抛洒，及时清扫散落在路面上的泥土和建筑材料，冲洗轮胎，定时洒水压尘，减少运输过程中的扬尘；</w:t>
      </w:r>
    </w:p>
    <w:p>
      <w:pPr>
        <w:pStyle w:val="112"/>
        <w:ind w:firstLine="480"/>
      </w:pPr>
      <w:r>
        <w:rPr>
          <w:rFonts w:hint="eastAsia" w:ascii="宋体" w:hAnsi="宋体" w:cs="宋体"/>
        </w:rPr>
        <w:t>⑥</w:t>
      </w:r>
      <w:r>
        <w:t>施工场地进行打围和封闭</w:t>
      </w:r>
      <w:r>
        <w:rPr>
          <w:rFonts w:hint="eastAsia"/>
        </w:rPr>
        <w:t>，</w:t>
      </w:r>
      <w:r>
        <w:t>采取边坡防护等措施</w:t>
      </w:r>
      <w:r>
        <w:rPr>
          <w:rFonts w:hint="eastAsia"/>
        </w:rPr>
        <w:t>。</w:t>
      </w:r>
    </w:p>
    <w:p>
      <w:pPr>
        <w:pStyle w:val="112"/>
        <w:ind w:firstLine="480"/>
      </w:pPr>
      <w:r>
        <w:rPr>
          <w:rFonts w:hint="eastAsia" w:ascii="宋体" w:hAnsi="宋体" w:cs="宋体"/>
        </w:rPr>
        <w:t>⑦</w:t>
      </w:r>
      <w:r>
        <w:t>施工单位应严格落实本环评提出各项降尘措施。</w:t>
      </w:r>
    </w:p>
    <w:p>
      <w:pPr>
        <w:pStyle w:val="112"/>
        <w:ind w:firstLine="480"/>
      </w:pPr>
      <w:r>
        <w:t>通过采取以上措施后，可有效减少施工扬尘、燃油尾气及放空废气对周围环境的影响。</w:t>
      </w:r>
    </w:p>
    <w:p>
      <w:pPr>
        <w:ind w:firstLine="482"/>
        <w:rPr>
          <w:rFonts w:ascii="Times New Roman" w:cs="Times New Roman"/>
          <w:b/>
          <w:bCs/>
        </w:rPr>
      </w:pPr>
      <w:bookmarkStart w:id="290" w:name="OLE_LINK189"/>
      <w:r>
        <w:rPr>
          <w:rFonts w:ascii="Times New Roman" w:cs="Times New Roman"/>
          <w:b/>
          <w:bCs/>
        </w:rPr>
        <w:t>（</w:t>
      </w:r>
      <w:r>
        <w:rPr>
          <w:rFonts w:hint="eastAsia" w:ascii="Times New Roman" w:cs="Times New Roman"/>
          <w:b/>
          <w:bCs/>
        </w:rPr>
        <w:t>6</w:t>
      </w:r>
      <w:r>
        <w:rPr>
          <w:rFonts w:ascii="Times New Roman" w:cs="Times New Roman"/>
          <w:b/>
          <w:bCs/>
        </w:rPr>
        <w:t>）</w:t>
      </w:r>
      <w:bookmarkStart w:id="291" w:name="OLE_LINK268"/>
      <w:bookmarkStart w:id="292" w:name="OLE_LINK267"/>
      <w:r>
        <w:rPr>
          <w:rFonts w:hint="eastAsia" w:ascii="Times New Roman" w:cs="Times New Roman"/>
          <w:b/>
          <w:bCs/>
        </w:rPr>
        <w:t>气体钻粉尘</w:t>
      </w:r>
      <w:bookmarkEnd w:id="291"/>
      <w:bookmarkEnd w:id="292"/>
    </w:p>
    <w:p>
      <w:pPr>
        <w:pStyle w:val="112"/>
        <w:ind w:firstLine="480"/>
      </w:pPr>
      <w:r>
        <w:rPr>
          <w:rFonts w:hint="eastAsia"/>
        </w:rPr>
        <w:t>钻井过程</w:t>
      </w:r>
      <w:bookmarkEnd w:id="290"/>
      <w:r>
        <w:rPr>
          <w:rFonts w:hint="eastAsia"/>
        </w:rPr>
        <w:t>中，使用气体钻时会返出一定量的粉尘，从而导致周围空气粉尘量增加。本项目在气体钻的排屑管处喷淋降尘，同时产生的污水及泥砂进入污水及清洁化操作平台。由于产生的粉尘量小，因此对周围环境影响较小。</w:t>
      </w:r>
    </w:p>
    <w:p>
      <w:pPr>
        <w:ind w:firstLine="482"/>
        <w:rPr>
          <w:rFonts w:ascii="Times New Roman" w:cs="Times New Roman"/>
          <w:b/>
          <w:bCs/>
        </w:rPr>
      </w:pPr>
      <w:r>
        <w:rPr>
          <w:rFonts w:ascii="Times New Roman" w:cs="Times New Roman"/>
          <w:b/>
          <w:bCs/>
        </w:rPr>
        <w:t>（</w:t>
      </w:r>
      <w:r>
        <w:rPr>
          <w:rFonts w:hint="eastAsia" w:ascii="Times New Roman" w:cs="Times New Roman"/>
          <w:b/>
          <w:bCs/>
        </w:rPr>
        <w:t>7</w:t>
      </w:r>
      <w:r>
        <w:rPr>
          <w:rFonts w:ascii="Times New Roman" w:cs="Times New Roman"/>
          <w:b/>
          <w:bCs/>
        </w:rPr>
        <w:t>）</w:t>
      </w:r>
      <w:r>
        <w:rPr>
          <w:rFonts w:hint="eastAsia" w:ascii="Times New Roman" w:cs="Times New Roman"/>
          <w:b/>
          <w:bCs/>
        </w:rPr>
        <w:t>测试放喷废气</w:t>
      </w:r>
    </w:p>
    <w:p>
      <w:pPr>
        <w:pStyle w:val="112"/>
        <w:ind w:firstLine="480"/>
      </w:pPr>
      <w:r>
        <w:rPr>
          <w:rFonts w:hint="eastAsia"/>
        </w:rPr>
        <w:t>测试放喷的天然气经专用放喷管线引至放喷池后点火燃烧，单井测试放喷时间约</w:t>
      </w:r>
      <w:r>
        <w:t>1d</w:t>
      </w:r>
      <w:r>
        <w:rPr>
          <w:rFonts w:hint="eastAsia"/>
        </w:rPr>
        <w:t>～</w:t>
      </w:r>
      <w:r>
        <w:t>2d</w:t>
      </w:r>
      <w:r>
        <w:rPr>
          <w:rFonts w:hint="eastAsia"/>
        </w:rPr>
        <w:t>，依据测试气量，间歇放喷，每次持续放喷时间约</w:t>
      </w:r>
      <w:r>
        <w:t>4h</w:t>
      </w:r>
      <w:r>
        <w:rPr>
          <w:rFonts w:hint="eastAsia"/>
        </w:rPr>
        <w:t>～</w:t>
      </w:r>
      <w:r>
        <w:t>6h</w:t>
      </w:r>
      <w:r>
        <w:rPr>
          <w:rFonts w:hint="eastAsia"/>
        </w:rPr>
        <w:t>，废气排放属不连续排放。测试放喷的天然气经点火燃烧，其主要污染物为C</w:t>
      </w:r>
      <w:r>
        <w:t>O</w:t>
      </w:r>
      <w:r>
        <w:rPr>
          <w:vertAlign w:val="subscript"/>
        </w:rPr>
        <w:t>2</w:t>
      </w:r>
      <w:r>
        <w:rPr>
          <w:rFonts w:hint="eastAsia"/>
        </w:rPr>
        <w:t>。根据企业提供的资料，预计本项目可能放喷的最大天然气流量为5.27</w:t>
      </w:r>
      <w:r>
        <w:rPr>
          <w:bCs/>
        </w:rPr>
        <w:t>×10</w:t>
      </w:r>
      <w:r>
        <w:rPr>
          <w:bCs/>
          <w:vertAlign w:val="superscript"/>
        </w:rPr>
        <w:t>4</w:t>
      </w:r>
      <w:r>
        <w:rPr>
          <w:bCs/>
        </w:rPr>
        <w:t>m</w:t>
      </w:r>
      <w:r>
        <w:rPr>
          <w:bCs/>
          <w:vertAlign w:val="superscript"/>
        </w:rPr>
        <w:t>3</w:t>
      </w:r>
      <w:r>
        <w:rPr>
          <w:bCs/>
        </w:rPr>
        <w:t>/d</w:t>
      </w:r>
      <w:r>
        <w:rPr>
          <w:rFonts w:hint="eastAsia"/>
        </w:rPr>
        <w:t>，天然气经放喷管线外输至放喷池点燃。</w:t>
      </w:r>
    </w:p>
    <w:p>
      <w:pPr>
        <w:pStyle w:val="112"/>
        <w:ind w:firstLine="480"/>
      </w:pPr>
      <w:r>
        <w:rPr>
          <w:rFonts w:hint="eastAsia"/>
        </w:rPr>
        <w:t>本项目在放喷前，建设单位会对距离井口500m范围内的居民临时撤离，并建立警戒点进行24小时警戒，严禁居民靠近，以减轻放喷废气对这些居民的影响。同时由于测试放喷属短期排放，不会形成长期环境影响，短期影响也可控制在周边居民健康安全限值以下，污染物排放随测试放喷的结束而停止，不会长期存在，不会影响区域环境空气功能区划。</w:t>
      </w:r>
    </w:p>
    <w:p>
      <w:pPr>
        <w:pStyle w:val="112"/>
        <w:ind w:firstLine="480"/>
      </w:pPr>
      <w:r>
        <w:rPr>
          <w:rFonts w:hint="eastAsia"/>
        </w:rPr>
        <w:t>本项目测试放喷在昼间进行，且时间较短，天然气燃烧后主要污染物为CO</w:t>
      </w:r>
      <w:r>
        <w:rPr>
          <w:rFonts w:hint="eastAsia"/>
          <w:vertAlign w:val="subscript"/>
        </w:rPr>
        <w:t>2</w:t>
      </w:r>
      <w:r>
        <w:rPr>
          <w:rFonts w:hint="eastAsia"/>
        </w:rPr>
        <w:t>，污染物产生量较小，并将随测试放喷的结束而消除，对周边大气环境影响较小。</w:t>
      </w:r>
    </w:p>
    <w:p>
      <w:pPr>
        <w:pStyle w:val="4"/>
        <w:rPr>
          <w:rFonts w:eastAsia="宋体"/>
        </w:rPr>
      </w:pPr>
      <w:bookmarkStart w:id="293" w:name="_Toc12288512"/>
      <w:r>
        <w:rPr>
          <w:rFonts w:eastAsia="宋体"/>
        </w:rPr>
        <w:t>4.1.5 废水</w:t>
      </w:r>
      <w:bookmarkEnd w:id="293"/>
      <w:r>
        <w:rPr>
          <w:rFonts w:eastAsia="宋体"/>
        </w:rPr>
        <w:t>产生情况及治理措施</w:t>
      </w:r>
    </w:p>
    <w:p>
      <w:pPr>
        <w:pStyle w:val="112"/>
        <w:ind w:firstLine="480"/>
      </w:pPr>
      <w:bookmarkStart w:id="294" w:name="OLE_LINK197"/>
      <w:bookmarkStart w:id="295" w:name="OLE_LINK196"/>
      <w:r>
        <w:t>管道</w:t>
      </w:r>
      <w:bookmarkEnd w:id="294"/>
      <w:bookmarkEnd w:id="295"/>
      <w:r>
        <w:t>施工</w:t>
      </w:r>
      <w:bookmarkStart w:id="296" w:name="OLE_LINK195"/>
      <w:bookmarkStart w:id="297" w:name="OLE_LINK194"/>
      <w:r>
        <w:rPr>
          <w:rFonts w:hint="eastAsia"/>
        </w:rPr>
        <w:t>、</w:t>
      </w:r>
      <w:bookmarkStart w:id="298" w:name="OLE_LINK198"/>
      <w:bookmarkStart w:id="299" w:name="OLE_LINK199"/>
      <w:r>
        <w:rPr>
          <w:rFonts w:hint="eastAsia"/>
        </w:rPr>
        <w:t>钻井</w:t>
      </w:r>
      <w:bookmarkEnd w:id="296"/>
      <w:bookmarkEnd w:id="297"/>
      <w:r>
        <w:rPr>
          <w:rFonts w:hint="eastAsia"/>
        </w:rPr>
        <w:t>施工</w:t>
      </w:r>
      <w:bookmarkEnd w:id="298"/>
      <w:bookmarkEnd w:id="299"/>
      <w:r>
        <w:t>废水主要来自施工人员在施工作业中产生的生活污水、管道安装完后清管试压排放的废水</w:t>
      </w:r>
      <w:r>
        <w:rPr>
          <w:rFonts w:hint="eastAsia"/>
        </w:rPr>
        <w:t>、井场施工废水、初期雨水、钻井废水、压裂、洗井废水</w:t>
      </w:r>
      <w:r>
        <w:t>。</w:t>
      </w:r>
    </w:p>
    <w:p>
      <w:pPr>
        <w:pStyle w:val="112"/>
        <w:ind w:firstLine="482"/>
        <w:rPr>
          <w:b/>
          <w:bCs/>
        </w:rPr>
      </w:pPr>
      <w:r>
        <w:rPr>
          <w:b/>
          <w:bCs/>
        </w:rPr>
        <w:t>1、人员生活污水</w:t>
      </w:r>
    </w:p>
    <w:p>
      <w:pPr>
        <w:pStyle w:val="112"/>
        <w:ind w:firstLine="480"/>
      </w:pPr>
      <w:r>
        <w:rPr>
          <w:rFonts w:hint="eastAsia"/>
        </w:rPr>
        <w:t>站场、管道</w:t>
      </w:r>
      <w:r>
        <w:t>施工</w:t>
      </w:r>
      <w:r>
        <w:rPr>
          <w:rFonts w:hint="eastAsia"/>
        </w:rPr>
        <w:t>和钻井施工</w:t>
      </w:r>
      <w:r>
        <w:t>时，施工人员生活污水的主要污染物主要为pH、SS、COD和BOD</w:t>
      </w:r>
      <w:r>
        <w:rPr>
          <w:vertAlign w:val="subscript"/>
        </w:rPr>
        <w:t>5</w:t>
      </w:r>
      <w:r>
        <w:t>等，施工期生活污水量按以下公式计算：</w:t>
      </w:r>
    </w:p>
    <w:p>
      <w:pPr>
        <w:pStyle w:val="112"/>
        <w:ind w:firstLine="0" w:firstLineChars="0"/>
        <w:jc w:val="center"/>
      </w:pPr>
      <w:r>
        <w:t>Qs=（k•q1）/1000</w:t>
      </w:r>
    </w:p>
    <w:p>
      <w:pPr>
        <w:pStyle w:val="112"/>
        <w:ind w:firstLine="480"/>
      </w:pPr>
      <w:r>
        <w:t>式中：</w:t>
      </w:r>
    </w:p>
    <w:p>
      <w:pPr>
        <w:pStyle w:val="112"/>
        <w:ind w:firstLine="480"/>
      </w:pPr>
      <w:r>
        <w:t>Qs—每人每天生活污水排放量（t/人·d）；</w:t>
      </w:r>
    </w:p>
    <w:p>
      <w:pPr>
        <w:pStyle w:val="112"/>
        <w:ind w:firstLine="480"/>
      </w:pPr>
      <w:r>
        <w:t>k—生活污水排放系数，一般为0.6～0.9，取k=0.9；</w:t>
      </w:r>
    </w:p>
    <w:p>
      <w:pPr>
        <w:pStyle w:val="112"/>
        <w:ind w:firstLine="480"/>
      </w:pPr>
      <w:r>
        <w:t>q1—每人每天生活用水量定额，L/（人·d），取q1=80L/（人·d）。</w:t>
      </w:r>
    </w:p>
    <w:p>
      <w:pPr>
        <w:pStyle w:val="112"/>
        <w:ind w:firstLine="480"/>
      </w:pPr>
      <w:r>
        <w:t>项目施工人员主要为当地劳动力，</w:t>
      </w:r>
      <w:r>
        <w:rPr>
          <w:rFonts w:hint="eastAsia"/>
        </w:rPr>
        <w:t>站场、管道</w:t>
      </w:r>
      <w:r>
        <w:t>施工人员数量</w:t>
      </w:r>
      <w:bookmarkStart w:id="300" w:name="OLE_LINK200"/>
      <w:r>
        <w:t>按20人</w:t>
      </w:r>
      <w:bookmarkEnd w:id="300"/>
      <w:r>
        <w:t>计，</w:t>
      </w:r>
      <w:bookmarkStart w:id="301" w:name="OLE_LINK202"/>
      <w:bookmarkStart w:id="302" w:name="OLE_LINK203"/>
      <w:r>
        <w:t>则</w:t>
      </w:r>
      <w:bookmarkStart w:id="303" w:name="OLE_LINK201"/>
      <w:r>
        <w:rPr>
          <w:rFonts w:hint="eastAsia"/>
        </w:rPr>
        <w:t>管道</w:t>
      </w:r>
      <w:bookmarkEnd w:id="303"/>
      <w:r>
        <w:rPr>
          <w:rFonts w:hint="eastAsia"/>
        </w:rPr>
        <w:t>施工</w:t>
      </w:r>
      <w:r>
        <w:t>生活污水产生量约20×80L/（人·d）=1.6m</w:t>
      </w:r>
      <w:r>
        <w:rPr>
          <w:vertAlign w:val="superscript"/>
        </w:rPr>
        <w:t>3</w:t>
      </w:r>
      <w:r>
        <w:t>/d，</w:t>
      </w:r>
      <w:r>
        <w:rPr>
          <w:rFonts w:hint="eastAsia"/>
        </w:rPr>
        <w:t>管道</w:t>
      </w:r>
      <w:r>
        <w:rPr>
          <w:szCs w:val="24"/>
        </w:rPr>
        <w:t>施工期废水产生量约为</w:t>
      </w:r>
      <w:r>
        <w:rPr>
          <w:rFonts w:hint="eastAsia"/>
          <w:szCs w:val="24"/>
        </w:rPr>
        <w:t>96</w:t>
      </w:r>
      <w:r>
        <w:rPr>
          <w:szCs w:val="24"/>
        </w:rPr>
        <w:t>m</w:t>
      </w:r>
      <w:r>
        <w:rPr>
          <w:szCs w:val="24"/>
          <w:vertAlign w:val="superscript"/>
        </w:rPr>
        <w:t>3</w:t>
      </w:r>
      <w:bookmarkEnd w:id="301"/>
      <w:bookmarkEnd w:id="302"/>
      <w:r>
        <w:rPr>
          <w:rFonts w:hint="eastAsia"/>
          <w:szCs w:val="24"/>
        </w:rPr>
        <w:t>；</w:t>
      </w:r>
      <w:bookmarkStart w:id="304" w:name="_Hlk105534660"/>
      <w:bookmarkStart w:id="305" w:name="OLE_LINK204"/>
      <w:bookmarkStart w:id="306" w:name="OLE_LINK205"/>
      <w:bookmarkStart w:id="307" w:name="OLE_LINK206"/>
      <w:r>
        <w:rPr>
          <w:rFonts w:hint="eastAsia"/>
        </w:rPr>
        <w:t>钻井</w:t>
      </w:r>
      <w:bookmarkEnd w:id="304"/>
      <w:bookmarkEnd w:id="305"/>
      <w:r>
        <w:rPr>
          <w:rFonts w:hint="eastAsia"/>
        </w:rPr>
        <w:t>施工</w:t>
      </w:r>
      <w:bookmarkEnd w:id="306"/>
      <w:bookmarkEnd w:id="307"/>
      <w:r>
        <w:rPr>
          <w:rFonts w:hint="eastAsia"/>
        </w:rPr>
        <w:t>人数按50人计，</w:t>
      </w:r>
      <w:r>
        <w:t>则</w:t>
      </w:r>
      <w:r>
        <w:rPr>
          <w:rFonts w:hint="eastAsia"/>
        </w:rPr>
        <w:t>钻井施工</w:t>
      </w:r>
      <w:r>
        <w:t>生活污水产生量约</w:t>
      </w:r>
      <w:r>
        <w:rPr>
          <w:rFonts w:hint="eastAsia"/>
        </w:rPr>
        <w:t>5</w:t>
      </w:r>
      <w:r>
        <w:t>0×80L/（人·d）=</w:t>
      </w:r>
      <w:r>
        <w:rPr>
          <w:rFonts w:hint="eastAsia"/>
        </w:rPr>
        <w:t>4</w:t>
      </w:r>
      <w:r>
        <w:t>m</w:t>
      </w:r>
      <w:r>
        <w:rPr>
          <w:vertAlign w:val="superscript"/>
        </w:rPr>
        <w:t>3</w:t>
      </w:r>
      <w:r>
        <w:t>/d，</w:t>
      </w:r>
      <w:r>
        <w:rPr>
          <w:rFonts w:hint="eastAsia"/>
        </w:rPr>
        <w:t>钻井</w:t>
      </w:r>
      <w:r>
        <w:rPr>
          <w:szCs w:val="24"/>
        </w:rPr>
        <w:t>施工期</w:t>
      </w:r>
      <w:r>
        <w:rPr>
          <w:rFonts w:hint="eastAsia"/>
          <w:szCs w:val="24"/>
        </w:rPr>
        <w:t>生活</w:t>
      </w:r>
      <w:r>
        <w:rPr>
          <w:szCs w:val="24"/>
        </w:rPr>
        <w:t>废水产生量约为</w:t>
      </w:r>
      <w:bookmarkStart w:id="308" w:name="OLE_LINK277"/>
      <w:bookmarkStart w:id="309" w:name="OLE_LINK278"/>
      <w:r>
        <w:rPr>
          <w:rFonts w:hint="eastAsia"/>
          <w:szCs w:val="24"/>
        </w:rPr>
        <w:t>180</w:t>
      </w:r>
      <w:r>
        <w:rPr>
          <w:szCs w:val="24"/>
        </w:rPr>
        <w:t>m</w:t>
      </w:r>
      <w:r>
        <w:rPr>
          <w:szCs w:val="24"/>
          <w:vertAlign w:val="superscript"/>
        </w:rPr>
        <w:t>3</w:t>
      </w:r>
      <w:bookmarkEnd w:id="308"/>
      <w:bookmarkEnd w:id="309"/>
      <w:r>
        <w:rPr>
          <w:rFonts w:hint="eastAsia"/>
        </w:rPr>
        <w:t>，施工期生活污水共计276m</w:t>
      </w:r>
      <w:r>
        <w:rPr>
          <w:rFonts w:hint="eastAsia"/>
          <w:vertAlign w:val="superscript"/>
        </w:rPr>
        <w:t>3</w:t>
      </w:r>
      <w:r>
        <w:rPr>
          <w:rFonts w:hint="eastAsia"/>
        </w:rPr>
        <w:t>。</w:t>
      </w:r>
    </w:p>
    <w:p>
      <w:pPr>
        <w:pStyle w:val="112"/>
        <w:ind w:firstLine="480"/>
      </w:pPr>
      <w:r>
        <w:t>施工期生活污水的水质指标浓度见下表所示：</w:t>
      </w:r>
    </w:p>
    <w:p>
      <w:pPr>
        <w:pStyle w:val="37"/>
        <w:rPr>
          <w:rFonts w:cs="Times New Roman"/>
        </w:rPr>
      </w:pPr>
      <w:r>
        <w:rPr>
          <w:rFonts w:cs="Times New Roman"/>
        </w:rPr>
        <w:t>表4.1-</w:t>
      </w:r>
      <w:r>
        <w:rPr>
          <w:rFonts w:hint="eastAsia" w:cs="Times New Roman"/>
        </w:rPr>
        <w:t>6</w:t>
      </w:r>
      <w:r>
        <w:rPr>
          <w:rFonts w:cs="Times New Roman"/>
        </w:rPr>
        <w:t xml:space="preserve">  施工期生活污水成分及浓度表   单位：mg/L</w:t>
      </w:r>
    </w:p>
    <w:tbl>
      <w:tblPr>
        <w:tblStyle w:val="57"/>
        <w:tblW w:w="8388" w:type="dxa"/>
        <w:jc w:val="center"/>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517"/>
        <w:gridCol w:w="1087"/>
        <w:gridCol w:w="1012"/>
        <w:gridCol w:w="1302"/>
        <w:gridCol w:w="1173"/>
        <w:gridCol w:w="963"/>
        <w:gridCol w:w="1334"/>
      </w:tblGrid>
      <w:tr>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jc w:val="center"/>
        </w:trPr>
        <w:tc>
          <w:tcPr>
            <w:tcW w:w="1517" w:type="dxa"/>
            <w:vAlign w:val="center"/>
          </w:tcPr>
          <w:p>
            <w:pPr>
              <w:pStyle w:val="132"/>
              <w:rPr>
                <w:b/>
                <w:bCs/>
              </w:rPr>
            </w:pPr>
            <w:r>
              <w:rPr>
                <w:b/>
                <w:bCs/>
              </w:rPr>
              <w:t>污染物</w:t>
            </w:r>
          </w:p>
        </w:tc>
        <w:tc>
          <w:tcPr>
            <w:tcW w:w="1087" w:type="dxa"/>
            <w:vAlign w:val="center"/>
          </w:tcPr>
          <w:p>
            <w:pPr>
              <w:pStyle w:val="132"/>
              <w:rPr>
                <w:b/>
                <w:bCs/>
              </w:rPr>
            </w:pPr>
            <w:r>
              <w:rPr>
                <w:b/>
                <w:bCs/>
              </w:rPr>
              <w:t>COD</w:t>
            </w:r>
          </w:p>
        </w:tc>
        <w:tc>
          <w:tcPr>
            <w:tcW w:w="1012" w:type="dxa"/>
            <w:vAlign w:val="center"/>
          </w:tcPr>
          <w:p>
            <w:pPr>
              <w:pStyle w:val="132"/>
              <w:rPr>
                <w:b/>
                <w:bCs/>
              </w:rPr>
            </w:pPr>
            <w:r>
              <w:rPr>
                <w:b/>
                <w:bCs/>
              </w:rPr>
              <w:t>BOD</w:t>
            </w:r>
            <w:r>
              <w:rPr>
                <w:b/>
                <w:bCs/>
                <w:vertAlign w:val="subscript"/>
              </w:rPr>
              <w:t>5</w:t>
            </w:r>
          </w:p>
        </w:tc>
        <w:tc>
          <w:tcPr>
            <w:tcW w:w="1302" w:type="dxa"/>
            <w:vAlign w:val="center"/>
          </w:tcPr>
          <w:p>
            <w:pPr>
              <w:pStyle w:val="132"/>
              <w:rPr>
                <w:b/>
                <w:bCs/>
              </w:rPr>
            </w:pPr>
            <w:r>
              <w:rPr>
                <w:b/>
                <w:bCs/>
              </w:rPr>
              <w:t>氨氮</w:t>
            </w:r>
          </w:p>
        </w:tc>
        <w:tc>
          <w:tcPr>
            <w:tcW w:w="1173" w:type="dxa"/>
            <w:vAlign w:val="center"/>
          </w:tcPr>
          <w:p>
            <w:pPr>
              <w:pStyle w:val="132"/>
              <w:rPr>
                <w:b/>
                <w:bCs/>
              </w:rPr>
            </w:pPr>
            <w:r>
              <w:rPr>
                <w:b/>
                <w:bCs/>
              </w:rPr>
              <w:t>SS</w:t>
            </w:r>
          </w:p>
        </w:tc>
        <w:tc>
          <w:tcPr>
            <w:tcW w:w="963" w:type="dxa"/>
            <w:vAlign w:val="center"/>
          </w:tcPr>
          <w:p>
            <w:pPr>
              <w:pStyle w:val="132"/>
              <w:rPr>
                <w:b/>
                <w:bCs/>
              </w:rPr>
            </w:pPr>
            <w:r>
              <w:rPr>
                <w:b/>
                <w:bCs/>
              </w:rPr>
              <w:t>石油类</w:t>
            </w:r>
          </w:p>
        </w:tc>
        <w:tc>
          <w:tcPr>
            <w:tcW w:w="1334" w:type="dxa"/>
            <w:vAlign w:val="center"/>
          </w:tcPr>
          <w:p>
            <w:pPr>
              <w:pStyle w:val="132"/>
              <w:rPr>
                <w:b/>
                <w:bCs/>
              </w:rPr>
            </w:pPr>
            <w:r>
              <w:rPr>
                <w:b/>
                <w:bCs/>
              </w:rPr>
              <w:t>动植物油</w:t>
            </w:r>
          </w:p>
        </w:tc>
      </w:tr>
      <w:tr>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74" w:hRule="atLeast"/>
          <w:jc w:val="center"/>
        </w:trPr>
        <w:tc>
          <w:tcPr>
            <w:tcW w:w="1517" w:type="dxa"/>
            <w:vAlign w:val="center"/>
          </w:tcPr>
          <w:p>
            <w:pPr>
              <w:pStyle w:val="132"/>
            </w:pPr>
            <w:r>
              <w:t>浓度（mg/L）</w:t>
            </w:r>
          </w:p>
        </w:tc>
        <w:tc>
          <w:tcPr>
            <w:tcW w:w="1087" w:type="dxa"/>
            <w:vAlign w:val="center"/>
          </w:tcPr>
          <w:p>
            <w:pPr>
              <w:pStyle w:val="132"/>
            </w:pPr>
            <w:r>
              <w:t>300</w:t>
            </w:r>
          </w:p>
        </w:tc>
        <w:tc>
          <w:tcPr>
            <w:tcW w:w="1012" w:type="dxa"/>
            <w:vAlign w:val="center"/>
          </w:tcPr>
          <w:p>
            <w:pPr>
              <w:pStyle w:val="132"/>
            </w:pPr>
            <w:r>
              <w:t>250</w:t>
            </w:r>
          </w:p>
        </w:tc>
        <w:tc>
          <w:tcPr>
            <w:tcW w:w="1302" w:type="dxa"/>
            <w:vAlign w:val="center"/>
          </w:tcPr>
          <w:p>
            <w:pPr>
              <w:pStyle w:val="132"/>
            </w:pPr>
            <w:r>
              <w:t>35</w:t>
            </w:r>
          </w:p>
        </w:tc>
        <w:tc>
          <w:tcPr>
            <w:tcW w:w="1173" w:type="dxa"/>
            <w:vAlign w:val="center"/>
          </w:tcPr>
          <w:p>
            <w:pPr>
              <w:pStyle w:val="132"/>
            </w:pPr>
            <w:r>
              <w:t>200</w:t>
            </w:r>
          </w:p>
        </w:tc>
        <w:tc>
          <w:tcPr>
            <w:tcW w:w="963" w:type="dxa"/>
            <w:vAlign w:val="center"/>
          </w:tcPr>
          <w:p>
            <w:pPr>
              <w:pStyle w:val="132"/>
            </w:pPr>
            <w:r>
              <w:t>5</w:t>
            </w:r>
          </w:p>
        </w:tc>
        <w:tc>
          <w:tcPr>
            <w:tcW w:w="1334" w:type="dxa"/>
            <w:vAlign w:val="center"/>
          </w:tcPr>
          <w:p>
            <w:pPr>
              <w:pStyle w:val="132"/>
            </w:pPr>
            <w:r>
              <w:t>30</w:t>
            </w:r>
          </w:p>
        </w:tc>
      </w:tr>
    </w:tbl>
    <w:p>
      <w:pPr>
        <w:pStyle w:val="112"/>
        <w:ind w:firstLine="480"/>
      </w:pPr>
      <w:r>
        <w:t>项目不设置施工营地，管线施工人员生活污水依托租用附近居民房收集处理，</w:t>
      </w:r>
      <w:r>
        <w:rPr>
          <w:rFonts w:hint="eastAsia"/>
        </w:rPr>
        <w:t>井场</w:t>
      </w:r>
      <w:r>
        <w:t>施工</w:t>
      </w:r>
      <w:r>
        <w:rPr>
          <w:rFonts w:hint="eastAsia"/>
        </w:rPr>
        <w:t>、钻井施工</w:t>
      </w:r>
      <w:r>
        <w:rPr>
          <w:rFonts w:hint="eastAsia"/>
          <w:lang w:eastAsia="zh-CN"/>
        </w:rPr>
        <w:t>如厕</w:t>
      </w:r>
      <w:r>
        <w:t>生活污水分别</w:t>
      </w:r>
      <w:r>
        <w:rPr>
          <w:rFonts w:hint="eastAsia"/>
        </w:rPr>
        <w:t>经</w:t>
      </w:r>
      <w:r>
        <w:t>生态环保厕所收集后</w:t>
      </w:r>
      <w:r>
        <w:rPr>
          <w:rFonts w:hint="eastAsia"/>
        </w:rPr>
        <w:t>，</w:t>
      </w:r>
      <w:r>
        <w:t>用作周边农肥，不外排</w:t>
      </w:r>
      <w:r>
        <w:rPr>
          <w:rFonts w:hint="eastAsia"/>
        </w:rPr>
        <w:t>，员工洗澡、食堂废水经单独收集后拉运至黄金镇场镇污水处理厂处理。</w:t>
      </w:r>
    </w:p>
    <w:p>
      <w:pPr>
        <w:pStyle w:val="6"/>
        <w:ind w:firstLine="482"/>
        <w:rPr>
          <w:rFonts w:ascii="Times New Roman" w:cs="Times New Roman"/>
          <w:b/>
          <w:bCs/>
        </w:rPr>
      </w:pPr>
      <w:r>
        <w:rPr>
          <w:rFonts w:ascii="Times New Roman" w:cs="Times New Roman"/>
          <w:b/>
          <w:bCs/>
        </w:rPr>
        <w:t>2、试压废水</w:t>
      </w:r>
    </w:p>
    <w:p>
      <w:pPr>
        <w:pStyle w:val="112"/>
        <w:ind w:firstLine="480"/>
      </w:pPr>
      <w:r>
        <w:rPr>
          <w:color w:val="FF0000"/>
        </w:rPr>
        <w:t>本项目管道试压使用洁净水，且采取分段试压的方式进行，管道试压废水产生量合计约为</w:t>
      </w:r>
      <w:r>
        <w:rPr>
          <w:rFonts w:hint="eastAsia"/>
          <w:color w:val="FF0000"/>
        </w:rPr>
        <w:t>1</w:t>
      </w:r>
      <w:r>
        <w:rPr>
          <w:color w:val="FF0000"/>
        </w:rPr>
        <w:t>0m</w:t>
      </w:r>
      <w:r>
        <w:rPr>
          <w:color w:val="FF0000"/>
          <w:vertAlign w:val="superscript"/>
        </w:rPr>
        <w:t>3</w:t>
      </w:r>
      <w:r>
        <w:rPr>
          <w:color w:val="FF0000"/>
        </w:rPr>
        <w:t>，</w:t>
      </w:r>
      <w:r>
        <w:t>水中的主要污染物为管线敷设时掉落的少量泥沙，由于在试压前已经过清管处理，试压废水中所含污染物主要是机械杂质、泥沙等，SS浓度较低，约为60mg/m</w:t>
      </w:r>
      <w:r>
        <w:rPr>
          <w:vertAlign w:val="superscript"/>
        </w:rPr>
        <w:t>3</w:t>
      </w:r>
      <w:r>
        <w:t>。由于污染物相对简单，这部分废水在分段</w:t>
      </w:r>
      <w:r>
        <w:rPr>
          <w:rFonts w:hint="eastAsia"/>
        </w:rPr>
        <w:t>试压</w:t>
      </w:r>
      <w:r>
        <w:t>末端处挖一沉沙池，处置方式一般是在经沉淀池沉淀后</w:t>
      </w:r>
      <w:r>
        <w:rPr>
          <w:rFonts w:hint="eastAsia"/>
        </w:rPr>
        <w:t>回用，不外</w:t>
      </w:r>
      <w:r>
        <w:t>排。</w:t>
      </w:r>
    </w:p>
    <w:p>
      <w:pPr>
        <w:pStyle w:val="112"/>
        <w:ind w:firstLine="482"/>
        <w:rPr>
          <w:b/>
        </w:rPr>
      </w:pPr>
      <w:r>
        <w:rPr>
          <w:rFonts w:hint="eastAsia"/>
          <w:b/>
        </w:rPr>
        <w:t>3、井场施工废水</w:t>
      </w:r>
    </w:p>
    <w:p>
      <w:pPr>
        <w:pStyle w:val="112"/>
        <w:ind w:firstLine="480"/>
      </w:pPr>
      <w:r>
        <w:t>井场基础建设产生的</w:t>
      </w:r>
      <w:r>
        <w:rPr>
          <w:rFonts w:hint="eastAsia"/>
        </w:rPr>
        <w:t>施工</w:t>
      </w:r>
      <w:r>
        <w:t>废水，主要来自砂石骨料加工、混凝土搅拌及养护等过程，废水经沉淀处理后循环使用，不外排。</w:t>
      </w:r>
    </w:p>
    <w:p>
      <w:pPr>
        <w:pStyle w:val="6"/>
        <w:ind w:firstLine="482"/>
        <w:rPr>
          <w:rFonts w:ascii="Times New Roman" w:cs="Times New Roman"/>
          <w:b/>
          <w:bCs/>
        </w:rPr>
      </w:pPr>
      <w:bookmarkStart w:id="310" w:name="OLE_LINK214"/>
      <w:bookmarkStart w:id="311" w:name="OLE_LINK213"/>
      <w:r>
        <w:rPr>
          <w:rFonts w:hint="eastAsia" w:ascii="Times New Roman" w:cs="Times New Roman"/>
          <w:b/>
          <w:bCs/>
        </w:rPr>
        <w:t>4</w:t>
      </w:r>
      <w:r>
        <w:rPr>
          <w:rFonts w:ascii="Times New Roman" w:cs="Times New Roman"/>
          <w:b/>
          <w:bCs/>
        </w:rPr>
        <w:t>、</w:t>
      </w:r>
      <w:r>
        <w:rPr>
          <w:rFonts w:hint="eastAsia" w:ascii="Times New Roman" w:cs="Times New Roman"/>
          <w:b/>
          <w:bCs/>
        </w:rPr>
        <w:t>初期雨水</w:t>
      </w:r>
    </w:p>
    <w:p>
      <w:pPr>
        <w:pStyle w:val="551"/>
        <w:ind w:firstLine="480"/>
        <w:rPr>
          <w:rFonts w:ascii="Times New Roman" w:hAnsi="Times New Roman"/>
        </w:rPr>
      </w:pPr>
      <w:r>
        <w:rPr>
          <w:rFonts w:ascii="Times New Roman"/>
        </w:rPr>
        <w:t>初</w:t>
      </w:r>
      <w:bookmarkEnd w:id="310"/>
      <w:bookmarkEnd w:id="311"/>
      <w:r>
        <w:rPr>
          <w:rFonts w:ascii="Times New Roman"/>
        </w:rPr>
        <w:t>期雨水量按照如下公示计算：</w:t>
      </w:r>
    </w:p>
    <w:p>
      <w:pPr>
        <w:pStyle w:val="551"/>
        <w:ind w:firstLine="480"/>
        <w:rPr>
          <w:rFonts w:ascii="Times New Roman" w:hAnsi="Times New Roman"/>
        </w:rPr>
      </w:pPr>
      <w:r>
        <w:rPr>
          <w:rFonts w:ascii="Times New Roman" w:hAnsi="Times New Roman"/>
        </w:rPr>
        <w:t>V=q×ψ×F×t×60÷1000</w:t>
      </w:r>
    </w:p>
    <w:p>
      <w:pPr>
        <w:pStyle w:val="551"/>
        <w:ind w:firstLine="480"/>
        <w:rPr>
          <w:rFonts w:ascii="Times New Roman" w:hAnsi="Times New Roman"/>
        </w:rPr>
      </w:pPr>
      <w:r>
        <w:rPr>
          <w:rFonts w:ascii="Times New Roman"/>
        </w:rPr>
        <w:t>式中：</w:t>
      </w:r>
      <w:r>
        <w:rPr>
          <w:rFonts w:ascii="Times New Roman" w:hAnsi="Times New Roman"/>
        </w:rPr>
        <w:t>V-</w:t>
      </w:r>
      <w:r>
        <w:rPr>
          <w:rFonts w:ascii="Times New Roman"/>
        </w:rPr>
        <w:t>初期雨水最大量，</w:t>
      </w:r>
      <w:r>
        <w:rPr>
          <w:rFonts w:ascii="Times New Roman" w:hAnsi="Times New Roman"/>
        </w:rPr>
        <w:t>m</w:t>
      </w:r>
      <w:r>
        <w:rPr>
          <w:rFonts w:ascii="Times New Roman" w:hAnsi="Times New Roman"/>
          <w:vertAlign w:val="superscript"/>
        </w:rPr>
        <w:t>3</w:t>
      </w:r>
      <w:r>
        <w:rPr>
          <w:rFonts w:ascii="Times New Roman"/>
        </w:rPr>
        <w:t>；</w:t>
      </w:r>
    </w:p>
    <w:p>
      <w:pPr>
        <w:pStyle w:val="551"/>
        <w:ind w:firstLine="480"/>
        <w:rPr>
          <w:rFonts w:ascii="Times New Roman" w:hAnsi="Times New Roman"/>
        </w:rPr>
      </w:pPr>
      <w:r>
        <w:rPr>
          <w:rFonts w:ascii="Times New Roman" w:hAnsi="Times New Roman"/>
        </w:rPr>
        <w:t xml:space="preserve">      t-</w:t>
      </w:r>
      <w:r>
        <w:rPr>
          <w:rFonts w:ascii="Times New Roman"/>
        </w:rPr>
        <w:t>降雨历时，</w:t>
      </w:r>
      <w:r>
        <w:rPr>
          <w:rFonts w:ascii="Times New Roman" w:hAnsi="Times New Roman"/>
        </w:rPr>
        <w:t>min</w:t>
      </w:r>
      <w:r>
        <w:rPr>
          <w:rFonts w:ascii="Times New Roman"/>
        </w:rPr>
        <w:t>；</w:t>
      </w:r>
    </w:p>
    <w:p>
      <w:pPr>
        <w:pStyle w:val="551"/>
        <w:ind w:firstLine="1200" w:firstLineChars="500"/>
        <w:rPr>
          <w:rFonts w:ascii="Times New Roman" w:hAnsi="Times New Roman"/>
        </w:rPr>
      </w:pPr>
      <w:r>
        <w:rPr>
          <w:rFonts w:ascii="Times New Roman" w:hAnsi="Times New Roman"/>
        </w:rPr>
        <w:t>ψ-</w:t>
      </w:r>
      <w:r>
        <w:rPr>
          <w:rFonts w:ascii="Times New Roman"/>
        </w:rPr>
        <w:t>径流系数，取</w:t>
      </w:r>
      <w:r>
        <w:rPr>
          <w:rFonts w:ascii="Times New Roman" w:hAnsi="Times New Roman"/>
        </w:rPr>
        <w:t>0.85</w:t>
      </w:r>
      <w:r>
        <w:rPr>
          <w:rFonts w:ascii="Times New Roman"/>
        </w:rPr>
        <w:t>；</w:t>
      </w:r>
    </w:p>
    <w:p>
      <w:pPr>
        <w:pStyle w:val="551"/>
        <w:ind w:firstLine="1200" w:firstLineChars="500"/>
        <w:rPr>
          <w:rFonts w:ascii="Times New Roman" w:hAnsi="Times New Roman"/>
        </w:rPr>
      </w:pPr>
      <w:r>
        <w:rPr>
          <w:rFonts w:ascii="Times New Roman" w:hAnsi="Times New Roman"/>
        </w:rPr>
        <w:t>F-</w:t>
      </w:r>
      <w:r>
        <w:rPr>
          <w:rFonts w:ascii="Times New Roman"/>
        </w:rPr>
        <w:t>汇水面积，</w:t>
      </w:r>
      <w:r>
        <w:rPr>
          <w:rFonts w:ascii="Times New Roman" w:hAnsi="Times New Roman"/>
        </w:rPr>
        <w:t>hm</w:t>
      </w:r>
      <w:r>
        <w:rPr>
          <w:rFonts w:ascii="Times New Roman" w:hAnsi="Times New Roman"/>
          <w:vertAlign w:val="superscript"/>
        </w:rPr>
        <w:t>2</w:t>
      </w:r>
      <w:r>
        <w:rPr>
          <w:rFonts w:ascii="Times New Roman"/>
        </w:rPr>
        <w:t>，本次计算泥浆循环系统区域、油罐区域、井口区域，合计</w:t>
      </w:r>
      <w:r>
        <w:rPr>
          <w:rFonts w:hint="eastAsia" w:ascii="Times New Roman" w:hAnsi="Times New Roman"/>
        </w:rPr>
        <w:t>50</w:t>
      </w:r>
      <w:r>
        <w:rPr>
          <w:rFonts w:ascii="Times New Roman" w:hAnsi="Times New Roman"/>
        </w:rPr>
        <w:t>00m</w:t>
      </w:r>
      <w:r>
        <w:rPr>
          <w:rFonts w:ascii="Times New Roman" w:hAnsi="Times New Roman"/>
          <w:vertAlign w:val="superscript"/>
        </w:rPr>
        <w:t>2</w:t>
      </w:r>
      <w:r>
        <w:rPr>
          <w:rFonts w:ascii="Times New Roman"/>
        </w:rPr>
        <w:t>；</w:t>
      </w:r>
    </w:p>
    <w:p>
      <w:pPr>
        <w:pStyle w:val="551"/>
        <w:ind w:firstLine="1200" w:firstLineChars="500"/>
        <w:rPr>
          <w:rFonts w:ascii="Times New Roman" w:hAnsi="Times New Roman"/>
        </w:rPr>
      </w:pPr>
      <w:r>
        <w:rPr>
          <w:rFonts w:ascii="Times New Roman" w:hAnsi="Times New Roman"/>
        </w:rPr>
        <w:t>q-</w:t>
      </w:r>
      <w:r>
        <w:rPr>
          <w:rFonts w:ascii="Times New Roman"/>
        </w:rPr>
        <w:t>设计暴雨强度，</w:t>
      </w:r>
      <w:r>
        <w:rPr>
          <w:rFonts w:ascii="Times New Roman" w:hAnsi="Times New Roman"/>
        </w:rPr>
        <w:t>L/</w:t>
      </w:r>
      <w:r>
        <w:rPr>
          <w:rFonts w:ascii="Times New Roman"/>
        </w:rPr>
        <w:t>（</w:t>
      </w:r>
      <w:r>
        <w:rPr>
          <w:rFonts w:ascii="Times New Roman" w:hAnsi="Times New Roman"/>
        </w:rPr>
        <w:t>s·hm</w:t>
      </w:r>
      <w:r>
        <w:rPr>
          <w:rFonts w:ascii="Times New Roman" w:hAnsi="Times New Roman"/>
          <w:vertAlign w:val="superscript"/>
        </w:rPr>
        <w:t>2</w:t>
      </w:r>
      <w:r>
        <w:rPr>
          <w:rFonts w:ascii="Times New Roman"/>
        </w:rPr>
        <w:t>）。</w:t>
      </w:r>
    </w:p>
    <w:p>
      <w:pPr>
        <w:pStyle w:val="551"/>
        <w:ind w:firstLine="480"/>
        <w:rPr>
          <w:rFonts w:ascii="Times New Roman"/>
        </w:rPr>
      </w:pPr>
      <w:r>
        <w:rPr>
          <w:rFonts w:ascii="Times New Roman"/>
        </w:rPr>
        <w:t>设计暴雨强度</w:t>
      </w:r>
      <w:r>
        <w:rPr>
          <w:rFonts w:hint="eastAsia" w:ascii="Times New Roman"/>
        </w:rPr>
        <w:t>采用</w:t>
      </w:r>
      <w:r>
        <w:rPr>
          <w:rFonts w:ascii="Times New Roman"/>
        </w:rPr>
        <w:t>达州市</w:t>
      </w:r>
      <w:r>
        <w:rPr>
          <w:rFonts w:hint="eastAsia" w:ascii="Times New Roman"/>
        </w:rPr>
        <w:t>中心城区</w:t>
      </w:r>
      <w:r>
        <w:rPr>
          <w:rFonts w:ascii="Times New Roman"/>
        </w:rPr>
        <w:t>的暴雨强度</w:t>
      </w:r>
      <w:r>
        <w:rPr>
          <w:rFonts w:hint="eastAsia" w:ascii="Times New Roman"/>
        </w:rPr>
        <w:t>公式</w:t>
      </w:r>
      <w:r>
        <w:rPr>
          <w:rFonts w:ascii="Times New Roman"/>
        </w:rPr>
        <w:t>，公式如下：</w:t>
      </w:r>
    </w:p>
    <w:p>
      <w:pPr>
        <w:pStyle w:val="551"/>
        <w:ind w:firstLine="0" w:firstLineChars="0"/>
        <w:jc w:val="center"/>
        <w:rPr>
          <w:rFonts w:ascii="Times New Roman" w:hAnsi="Times New Roman"/>
        </w:rPr>
      </w:pPr>
      <w:r>
        <w:rPr>
          <w:rFonts w:ascii="Times New Roman"/>
        </w:rPr>
        <w:drawing>
          <wp:inline distT="0" distB="0" distL="0" distR="0">
            <wp:extent cx="3712845" cy="600075"/>
            <wp:effectExtent l="1905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59" cstate="print"/>
                    <a:srcRect/>
                    <a:stretch>
                      <a:fillRect/>
                    </a:stretch>
                  </pic:blipFill>
                  <pic:spPr>
                    <a:xfrm>
                      <a:off x="0" y="0"/>
                      <a:ext cx="3712845" cy="600075"/>
                    </a:xfrm>
                    <a:prstGeom prst="rect">
                      <a:avLst/>
                    </a:prstGeom>
                    <a:noFill/>
                    <a:ln w="9525">
                      <a:noFill/>
                      <a:miter lim="800000"/>
                      <a:headEnd/>
                      <a:tailEnd/>
                    </a:ln>
                  </pic:spPr>
                </pic:pic>
              </a:graphicData>
            </a:graphic>
          </wp:inline>
        </w:drawing>
      </w:r>
    </w:p>
    <w:p>
      <w:pPr>
        <w:pStyle w:val="551"/>
        <w:ind w:firstLine="480"/>
        <w:rPr>
          <w:rFonts w:ascii="Times New Roman" w:hAnsi="Times New Roman"/>
        </w:rPr>
      </w:pPr>
      <w:r>
        <w:rPr>
          <w:rFonts w:ascii="Times New Roman"/>
        </w:rPr>
        <w:t>式中：</w:t>
      </w:r>
    </w:p>
    <w:p>
      <w:pPr>
        <w:pStyle w:val="551"/>
        <w:ind w:firstLine="1200" w:firstLineChars="500"/>
        <w:rPr>
          <w:rFonts w:ascii="Times New Roman" w:hAnsi="Times New Roman"/>
        </w:rPr>
      </w:pPr>
      <w:r>
        <w:rPr>
          <w:rFonts w:ascii="Times New Roman" w:hAnsi="Times New Roman"/>
        </w:rPr>
        <w:t>q-</w:t>
      </w:r>
      <w:r>
        <w:rPr>
          <w:rFonts w:ascii="Times New Roman"/>
        </w:rPr>
        <w:t>暴雨强度，</w:t>
      </w:r>
      <w:r>
        <w:rPr>
          <w:rFonts w:ascii="Times New Roman" w:hAnsi="Times New Roman"/>
        </w:rPr>
        <w:t>L/</w:t>
      </w:r>
      <w:r>
        <w:rPr>
          <w:rFonts w:ascii="Times New Roman"/>
        </w:rPr>
        <w:t>（</w:t>
      </w:r>
      <w:r>
        <w:rPr>
          <w:rFonts w:ascii="Times New Roman" w:hAnsi="Times New Roman"/>
        </w:rPr>
        <w:t>s·hm</w:t>
      </w:r>
      <w:r>
        <w:rPr>
          <w:rFonts w:ascii="Times New Roman" w:hAnsi="Times New Roman"/>
          <w:vertAlign w:val="superscript"/>
        </w:rPr>
        <w:t>2</w:t>
      </w:r>
      <w:r>
        <w:rPr>
          <w:rFonts w:ascii="Times New Roman"/>
        </w:rPr>
        <w:t>）；</w:t>
      </w:r>
    </w:p>
    <w:p>
      <w:pPr>
        <w:pStyle w:val="551"/>
        <w:ind w:firstLine="480"/>
        <w:rPr>
          <w:rFonts w:ascii="Times New Roman" w:hAnsi="Times New Roman"/>
        </w:rPr>
      </w:pPr>
      <w:r>
        <w:rPr>
          <w:rFonts w:ascii="Times New Roman" w:hAnsi="Times New Roman"/>
        </w:rPr>
        <w:t xml:space="preserve">      p-</w:t>
      </w:r>
      <w:r>
        <w:rPr>
          <w:rFonts w:ascii="Times New Roman"/>
        </w:rPr>
        <w:t>设计重现期（年）：本次取值为</w:t>
      </w:r>
      <w:r>
        <w:rPr>
          <w:rFonts w:ascii="Times New Roman" w:hAnsi="Times New Roman"/>
        </w:rPr>
        <w:t>3</w:t>
      </w:r>
      <w:r>
        <w:rPr>
          <w:rFonts w:ascii="Times New Roman"/>
        </w:rPr>
        <w:t>年；</w:t>
      </w:r>
    </w:p>
    <w:p>
      <w:pPr>
        <w:pStyle w:val="551"/>
        <w:ind w:firstLine="480"/>
        <w:rPr>
          <w:rFonts w:ascii="Times New Roman" w:hAnsi="Times New Roman"/>
        </w:rPr>
      </w:pPr>
      <w:r>
        <w:rPr>
          <w:rFonts w:ascii="Times New Roman" w:hAnsi="Times New Roman"/>
        </w:rPr>
        <w:t xml:space="preserve">      t-</w:t>
      </w:r>
      <w:r>
        <w:rPr>
          <w:rFonts w:ascii="Times New Roman"/>
        </w:rPr>
        <w:t>降雨历时（</w:t>
      </w:r>
      <w:r>
        <w:rPr>
          <w:rFonts w:ascii="Times New Roman" w:hAnsi="Times New Roman"/>
        </w:rPr>
        <w:t>min</w:t>
      </w:r>
      <w:r>
        <w:rPr>
          <w:rFonts w:ascii="Times New Roman"/>
        </w:rPr>
        <w:t>）：取</w:t>
      </w:r>
      <w:r>
        <w:rPr>
          <w:rFonts w:ascii="Times New Roman" w:hAnsi="Times New Roman"/>
        </w:rPr>
        <w:t>15min</w:t>
      </w:r>
      <w:r>
        <w:rPr>
          <w:rFonts w:ascii="Times New Roman"/>
        </w:rPr>
        <w:t>。</w:t>
      </w:r>
    </w:p>
    <w:p>
      <w:pPr>
        <w:pStyle w:val="6"/>
        <w:ind w:firstLine="480"/>
        <w:rPr>
          <w:rFonts w:ascii="Times New Roman" w:cs="Times New Roman"/>
        </w:rPr>
      </w:pPr>
      <w:r>
        <w:rPr>
          <w:rFonts w:ascii="Times New Roman"/>
        </w:rPr>
        <w:t>经计算，本项目15min初期雨水产生量为</w:t>
      </w:r>
      <w:bookmarkStart w:id="312" w:name="OLE_LINK283"/>
      <w:r>
        <w:rPr>
          <w:rFonts w:hint="eastAsia" w:ascii="Times New Roman"/>
        </w:rPr>
        <w:t>178</w:t>
      </w:r>
      <w:r>
        <w:rPr>
          <w:rFonts w:ascii="Times New Roman"/>
        </w:rPr>
        <w:t>m</w:t>
      </w:r>
      <w:r>
        <w:rPr>
          <w:rFonts w:ascii="Times New Roman"/>
          <w:vertAlign w:val="superscript"/>
        </w:rPr>
        <w:t>3</w:t>
      </w:r>
      <w:bookmarkEnd w:id="312"/>
      <w:r>
        <w:rPr>
          <w:rFonts w:ascii="Times New Roman" w:cs="Times New Roman"/>
        </w:rPr>
        <w:t>。</w:t>
      </w:r>
    </w:p>
    <w:p>
      <w:pPr>
        <w:pStyle w:val="6"/>
        <w:ind w:firstLine="480"/>
        <w:rPr>
          <w:rFonts w:ascii="Times New Roman"/>
        </w:rPr>
      </w:pPr>
      <w:r>
        <w:rPr>
          <w:rFonts w:ascii="Times New Roman"/>
        </w:rPr>
        <w:t>井场内四周设排水边沟，井场雨水随四周排水边沟汇至排放口，排放口设监控池，初期雨水</w:t>
      </w:r>
      <w:r>
        <w:rPr>
          <w:rFonts w:hint="eastAsia" w:ascii="Times New Roman"/>
        </w:rPr>
        <w:t>与</w:t>
      </w:r>
      <w:r>
        <w:rPr>
          <w:rFonts w:ascii="Times New Roman"/>
        </w:rPr>
        <w:t>钻井废水一同</w:t>
      </w:r>
      <w:r>
        <w:rPr>
          <w:spacing w:val="-8"/>
          <w:szCs w:val="21"/>
        </w:rPr>
        <w:t>经</w:t>
      </w:r>
      <w:r>
        <w:rPr>
          <w:rFonts w:hint="eastAsia"/>
          <w:spacing w:val="-8"/>
          <w:szCs w:val="21"/>
        </w:rPr>
        <w:t>清洁化操作平台</w:t>
      </w:r>
      <w:r>
        <w:rPr>
          <w:spacing w:val="-8"/>
          <w:szCs w:val="21"/>
        </w:rPr>
        <w:t>预处理后装车拉运至</w:t>
      </w:r>
      <w:r>
        <w:rPr>
          <w:rFonts w:ascii="Times New Roman" w:cs="Times New Roman"/>
          <w:spacing w:val="-8"/>
          <w:szCs w:val="21"/>
        </w:rPr>
        <w:t>毛开1</w:t>
      </w:r>
      <w:r>
        <w:rPr>
          <w:spacing w:val="-8"/>
          <w:szCs w:val="21"/>
        </w:rPr>
        <w:t>井回注站回注</w:t>
      </w:r>
      <w:r>
        <w:rPr>
          <w:rFonts w:ascii="Times New Roman"/>
        </w:rPr>
        <w:t>，不外排</w:t>
      </w:r>
      <w:r>
        <w:rPr>
          <w:rFonts w:hint="eastAsia" w:ascii="Times New Roman"/>
        </w:rPr>
        <w:t>。</w:t>
      </w:r>
    </w:p>
    <w:p>
      <w:pPr>
        <w:pStyle w:val="6"/>
        <w:ind w:firstLine="482"/>
        <w:rPr>
          <w:rFonts w:ascii="Times New Roman" w:cs="Times New Roman"/>
          <w:b/>
          <w:bCs/>
        </w:rPr>
      </w:pPr>
      <w:r>
        <w:rPr>
          <w:rFonts w:hint="eastAsia" w:ascii="Times New Roman" w:cs="Times New Roman"/>
          <w:b/>
          <w:bCs/>
        </w:rPr>
        <w:t>5</w:t>
      </w:r>
      <w:r>
        <w:rPr>
          <w:rFonts w:ascii="Times New Roman" w:cs="Times New Roman"/>
          <w:b/>
          <w:bCs/>
        </w:rPr>
        <w:t>、</w:t>
      </w:r>
      <w:r>
        <w:rPr>
          <w:rFonts w:hint="eastAsia" w:ascii="Times New Roman" w:cs="Times New Roman"/>
          <w:b/>
          <w:bCs/>
        </w:rPr>
        <w:t>钻井废水</w:t>
      </w:r>
    </w:p>
    <w:p>
      <w:pPr>
        <w:widowControl/>
        <w:topLinePunct w:val="0"/>
        <w:snapToGrid w:val="0"/>
        <w:spacing w:line="331" w:lineRule="auto"/>
        <w:ind w:firstLine="480"/>
        <w:rPr>
          <w:rFonts w:ascii="Times New Roman" w:cs="Times New Roman"/>
          <w:kern w:val="2"/>
        </w:rPr>
      </w:pPr>
      <w:bookmarkStart w:id="313" w:name="OLE_LINK217"/>
      <w:bookmarkStart w:id="314" w:name="OLE_LINK218"/>
      <w:r>
        <w:rPr>
          <w:rFonts w:ascii="Times New Roman" w:hAnsi="宋体" w:cs="Times New Roman"/>
          <w:kern w:val="2"/>
        </w:rPr>
        <w:t>本项目在钻井阶段采用气体钻井和常规钻井相结合的工艺。在使用气体钻（空气或氮气）的过程中会产生一定量的粉尘，本项目通过喷淋的方式降低空气中的粉尘，喷淋所产生的废水进入</w:t>
      </w:r>
      <w:r>
        <w:rPr>
          <w:rFonts w:hint="eastAsia" w:ascii="Times New Roman" w:hAnsi="宋体" w:cs="Times New Roman"/>
          <w:kern w:val="2"/>
        </w:rPr>
        <w:t>清洁化操作平台</w:t>
      </w:r>
      <w:r>
        <w:rPr>
          <w:rFonts w:ascii="Times New Roman" w:hAnsi="宋体" w:cs="Times New Roman"/>
          <w:kern w:val="2"/>
        </w:rPr>
        <w:t>处理后回用，不可回用的部分同钻井废水一同进行处理。</w:t>
      </w:r>
    </w:p>
    <w:p>
      <w:pPr>
        <w:widowControl/>
        <w:topLinePunct w:val="0"/>
        <w:snapToGrid w:val="0"/>
        <w:spacing w:line="331" w:lineRule="auto"/>
        <w:ind w:firstLine="480"/>
        <w:rPr>
          <w:rFonts w:ascii="Times New Roman" w:cs="Times New Roman"/>
          <w:kern w:val="2"/>
        </w:rPr>
      </w:pPr>
      <w:r>
        <w:rPr>
          <w:rFonts w:ascii="Times New Roman" w:hAnsi="宋体" w:cs="Times New Roman"/>
          <w:kern w:val="2"/>
        </w:rPr>
        <w:t>钻井作业的配浆过程中会根据泥浆的不同要求加入不等量的水，这些水随钻井液进入井底协助钻井作业，在钻井液返回地面后，大部分水随泥浆进入泥浆净化系统，小部分水随钻屑进入</w:t>
      </w:r>
      <w:r>
        <w:rPr>
          <w:rFonts w:hint="eastAsia" w:ascii="Times New Roman" w:hAnsi="宋体" w:cs="Times New Roman"/>
          <w:kern w:val="2"/>
        </w:rPr>
        <w:t>清洁化操作平台</w:t>
      </w:r>
      <w:r>
        <w:rPr>
          <w:rFonts w:ascii="Times New Roman" w:hAnsi="宋体" w:cs="Times New Roman"/>
          <w:kern w:val="2"/>
        </w:rPr>
        <w:t>，经固液分离后，回收上清液用于泥浆配置，剩余废水由罐车拉运至毛开</w:t>
      </w:r>
      <w:r>
        <w:rPr>
          <w:rFonts w:ascii="Times New Roman" w:cs="Times New Roman"/>
          <w:kern w:val="2"/>
        </w:rPr>
        <w:t>1</w:t>
      </w:r>
      <w:r>
        <w:rPr>
          <w:rFonts w:ascii="Times New Roman" w:hAnsi="宋体" w:cs="Times New Roman"/>
          <w:kern w:val="2"/>
        </w:rPr>
        <w:t>井回注标准后回注，不外排。</w:t>
      </w:r>
    </w:p>
    <w:p>
      <w:pPr>
        <w:widowControl/>
        <w:topLinePunct w:val="0"/>
        <w:snapToGrid w:val="0"/>
        <w:spacing w:line="331" w:lineRule="auto"/>
        <w:ind w:firstLine="480"/>
        <w:rPr>
          <w:rFonts w:ascii="Times New Roman" w:cs="Times New Roman"/>
          <w:kern w:val="2"/>
        </w:rPr>
      </w:pPr>
      <w:r>
        <w:rPr>
          <w:rFonts w:ascii="Times New Roman" w:hAnsi="宋体" w:cs="Times New Roman"/>
          <w:kern w:val="2"/>
        </w:rPr>
        <w:t>根据普光气田钻井工程的类比分析，每米进尺产生钻井废水量为</w:t>
      </w:r>
      <w:r>
        <w:rPr>
          <w:rFonts w:ascii="Times New Roman" w:cs="Times New Roman"/>
          <w:kern w:val="2"/>
        </w:rPr>
        <w:t>0.05m</w:t>
      </w:r>
      <w:r>
        <w:rPr>
          <w:rFonts w:ascii="Times New Roman" w:cs="Times New Roman"/>
          <w:kern w:val="2"/>
          <w:vertAlign w:val="superscript"/>
        </w:rPr>
        <w:t>3</w:t>
      </w:r>
      <w:r>
        <w:rPr>
          <w:rFonts w:ascii="Times New Roman" w:hAnsi="宋体" w:cs="Times New Roman"/>
          <w:kern w:val="2"/>
        </w:rPr>
        <w:t>。本项目钻井进尺</w:t>
      </w:r>
      <w:r>
        <w:rPr>
          <w:rFonts w:hint="eastAsia" w:ascii="Times New Roman" w:hAnsi="宋体" w:cs="Times New Roman"/>
          <w:kern w:val="2"/>
        </w:rPr>
        <w:t>5552</w:t>
      </w:r>
      <w:r>
        <w:rPr>
          <w:rFonts w:ascii="Times New Roman" w:cs="Times New Roman"/>
          <w:kern w:val="2"/>
        </w:rPr>
        <w:t>m</w:t>
      </w:r>
      <w:r>
        <w:rPr>
          <w:rFonts w:ascii="Times New Roman" w:hAnsi="宋体" w:cs="Times New Roman"/>
          <w:kern w:val="2"/>
        </w:rPr>
        <w:t>，产生的钻井废水为</w:t>
      </w:r>
      <w:bookmarkStart w:id="315" w:name="OLE_LINK287"/>
      <w:bookmarkStart w:id="316" w:name="OLE_LINK288"/>
      <w:r>
        <w:rPr>
          <w:rFonts w:hint="eastAsia" w:ascii="Times New Roman" w:cs="Times New Roman"/>
          <w:kern w:val="2"/>
        </w:rPr>
        <w:t>277.6</w:t>
      </w:r>
      <w:r>
        <w:rPr>
          <w:rFonts w:ascii="Times New Roman" w:cs="Times New Roman"/>
          <w:kern w:val="2"/>
        </w:rPr>
        <w:t>m</w:t>
      </w:r>
      <w:r>
        <w:rPr>
          <w:rFonts w:ascii="Times New Roman" w:cs="Times New Roman"/>
          <w:kern w:val="2"/>
          <w:vertAlign w:val="superscript"/>
        </w:rPr>
        <w:t>3</w:t>
      </w:r>
      <w:bookmarkEnd w:id="315"/>
      <w:bookmarkEnd w:id="316"/>
      <w:r>
        <w:rPr>
          <w:rFonts w:ascii="Times New Roman" w:hAnsi="宋体" w:cs="Times New Roman"/>
          <w:kern w:val="2"/>
        </w:rPr>
        <w:t>。</w:t>
      </w:r>
      <w:bookmarkEnd w:id="313"/>
      <w:bookmarkEnd w:id="314"/>
    </w:p>
    <w:p>
      <w:pPr>
        <w:widowControl/>
        <w:topLinePunct w:val="0"/>
        <w:snapToGrid w:val="0"/>
        <w:spacing w:line="331" w:lineRule="auto"/>
        <w:ind w:firstLine="480"/>
        <w:rPr>
          <w:rFonts w:ascii="Times New Roman" w:cs="Times New Roman"/>
          <w:kern w:val="2"/>
        </w:rPr>
      </w:pPr>
      <w:r>
        <w:rPr>
          <w:rFonts w:hint="eastAsia" w:ascii="Times New Roman" w:hAnsi="宋体" w:cs="Times New Roman"/>
          <w:kern w:val="2"/>
        </w:rPr>
        <w:t>本项目钻井</w:t>
      </w:r>
      <w:r>
        <w:rPr>
          <w:rFonts w:ascii="Times New Roman" w:hAnsi="宋体" w:cs="Times New Roman"/>
          <w:kern w:val="2"/>
        </w:rPr>
        <w:t>废水主要污染物浓度根据普光气田钻井工程</w:t>
      </w:r>
      <w:r>
        <w:rPr>
          <w:rFonts w:hint="eastAsia" w:ascii="Times New Roman" w:hAnsi="宋体" w:cs="Times New Roman"/>
          <w:kern w:val="2"/>
        </w:rPr>
        <w:t>钻井</w:t>
      </w:r>
      <w:r>
        <w:rPr>
          <w:rFonts w:ascii="Times New Roman" w:hAnsi="宋体" w:cs="Times New Roman"/>
          <w:kern w:val="2"/>
        </w:rPr>
        <w:t>废水类比，钻井废水水质污染物浓度见表</w:t>
      </w:r>
      <w:r>
        <w:rPr>
          <w:rFonts w:ascii="Times New Roman" w:cs="Times New Roman"/>
          <w:kern w:val="2"/>
        </w:rPr>
        <w:t>4</w:t>
      </w:r>
      <w:r>
        <w:rPr>
          <w:rFonts w:hint="eastAsia" w:ascii="Times New Roman" w:cs="Times New Roman"/>
          <w:kern w:val="2"/>
        </w:rPr>
        <w:t>.1-7</w:t>
      </w:r>
      <w:r>
        <w:rPr>
          <w:rFonts w:ascii="Times New Roman" w:hAnsi="宋体" w:cs="Times New Roman"/>
          <w:kern w:val="2"/>
        </w:rPr>
        <w:t>。</w:t>
      </w:r>
    </w:p>
    <w:p>
      <w:pPr>
        <w:topLinePunct w:val="0"/>
        <w:snapToGrid w:val="0"/>
        <w:spacing w:beforeLines="50"/>
        <w:ind w:firstLine="480" w:firstLineChars="0"/>
        <w:jc w:val="center"/>
        <w:rPr>
          <w:rFonts w:ascii="Times New Roman" w:cs="Times New Roman"/>
          <w:b/>
          <w:kern w:val="2"/>
          <w:sz w:val="21"/>
          <w:szCs w:val="20"/>
        </w:rPr>
      </w:pPr>
      <w:bookmarkStart w:id="317" w:name="_Ref477986982"/>
      <w:r>
        <w:rPr>
          <w:rFonts w:ascii="Times New Roman" w:cs="Times New Roman"/>
          <w:b/>
          <w:kern w:val="2"/>
          <w:sz w:val="21"/>
          <w:szCs w:val="20"/>
        </w:rPr>
        <w:t>表</w:t>
      </w:r>
      <w:bookmarkEnd w:id="317"/>
      <w:r>
        <w:rPr>
          <w:rFonts w:ascii="Times New Roman" w:cs="Times New Roman"/>
          <w:b/>
          <w:kern w:val="2"/>
          <w:sz w:val="21"/>
          <w:szCs w:val="20"/>
        </w:rPr>
        <w:t>4</w:t>
      </w:r>
      <w:r>
        <w:rPr>
          <w:rFonts w:hint="eastAsia" w:ascii="Times New Roman" w:cs="Times New Roman"/>
          <w:b/>
          <w:kern w:val="2"/>
          <w:sz w:val="21"/>
          <w:szCs w:val="20"/>
        </w:rPr>
        <w:t>.1-7</w:t>
      </w:r>
      <w:r>
        <w:rPr>
          <w:rFonts w:ascii="Times New Roman" w:cs="Times New Roman"/>
          <w:b/>
          <w:kern w:val="2"/>
          <w:sz w:val="21"/>
          <w:szCs w:val="20"/>
        </w:rPr>
        <w:t xml:space="preserve">  钻井废水综合水质污染物浓度表（单位：mg/L，pH值无量纲）</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1468"/>
        <w:gridCol w:w="2508"/>
        <w:gridCol w:w="31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6"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hAnsi="宋体" w:cs="Times New Roman"/>
                <w:b/>
                <w:kern w:val="2"/>
                <w:sz w:val="21"/>
                <w:szCs w:val="21"/>
              </w:rPr>
              <w:t>污染物名称</w:t>
            </w:r>
          </w:p>
        </w:tc>
        <w:tc>
          <w:tcPr>
            <w:tcW w:w="1555"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pH</w:t>
            </w:r>
          </w:p>
        </w:tc>
        <w:tc>
          <w:tcPr>
            <w:tcW w:w="2669"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bookmarkStart w:id="318" w:name="OLE_LINK289"/>
            <w:r>
              <w:rPr>
                <w:rFonts w:ascii="Times New Roman" w:cs="Times New Roman"/>
                <w:b/>
                <w:kern w:val="2"/>
                <w:sz w:val="21"/>
                <w:szCs w:val="21"/>
              </w:rPr>
              <w:t>SS</w:t>
            </w:r>
            <w:bookmarkEnd w:id="318"/>
          </w:p>
        </w:tc>
        <w:tc>
          <w:tcPr>
            <w:tcW w:w="3350"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hAnsi="宋体" w:cs="Times New Roman"/>
                <w:b/>
                <w:kern w:val="2"/>
                <w:sz w:val="21"/>
                <w:szCs w:val="21"/>
              </w:rPr>
              <w:t>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浓度</w:t>
            </w:r>
          </w:p>
        </w:tc>
        <w:tc>
          <w:tcPr>
            <w:tcW w:w="155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8.3</w:t>
            </w:r>
            <w:r>
              <w:rPr>
                <w:rFonts w:ascii="Times New Roman" w:hAnsi="宋体" w:cs="Times New Roman"/>
                <w:kern w:val="2"/>
                <w:sz w:val="21"/>
                <w:szCs w:val="21"/>
              </w:rPr>
              <w:t>～</w:t>
            </w:r>
            <w:r>
              <w:rPr>
                <w:rFonts w:ascii="Times New Roman" w:cs="Times New Roman"/>
                <w:kern w:val="2"/>
                <w:sz w:val="21"/>
                <w:szCs w:val="21"/>
              </w:rPr>
              <w:t>12.5</w:t>
            </w:r>
          </w:p>
        </w:tc>
        <w:tc>
          <w:tcPr>
            <w:tcW w:w="266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≤7500</w:t>
            </w:r>
          </w:p>
        </w:tc>
        <w:tc>
          <w:tcPr>
            <w:tcW w:w="335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≤200</w:t>
            </w:r>
          </w:p>
        </w:tc>
      </w:tr>
    </w:tbl>
    <w:p>
      <w:pPr>
        <w:widowControl/>
        <w:topLinePunct w:val="0"/>
        <w:snapToGrid w:val="0"/>
        <w:spacing w:line="331" w:lineRule="auto"/>
        <w:ind w:firstLine="482"/>
        <w:rPr>
          <w:rFonts w:ascii="Times New Roman" w:cs="Times New Roman"/>
          <w:b/>
          <w:kern w:val="2"/>
        </w:rPr>
      </w:pPr>
      <w:r>
        <w:rPr>
          <w:rFonts w:hint="eastAsia" w:ascii="Times New Roman" w:cs="Times New Roman"/>
          <w:b/>
          <w:kern w:val="2"/>
        </w:rPr>
        <w:t>6</w:t>
      </w:r>
      <w:r>
        <w:rPr>
          <w:rFonts w:hint="eastAsia" w:ascii="Times New Roman" w:hAnsi="宋体" w:cs="Times New Roman"/>
          <w:b/>
          <w:kern w:val="2"/>
        </w:rPr>
        <w:t>、</w:t>
      </w:r>
      <w:bookmarkStart w:id="319" w:name="OLE_LINK221"/>
      <w:bookmarkStart w:id="320" w:name="OLE_LINK222"/>
      <w:bookmarkStart w:id="321" w:name="_Hlk105537178"/>
      <w:r>
        <w:rPr>
          <w:rFonts w:hint="eastAsia" w:ascii="Times New Roman" w:hAnsi="宋体" w:cs="Times New Roman"/>
          <w:b/>
          <w:kern w:val="2"/>
        </w:rPr>
        <w:t>压裂、洗井</w:t>
      </w:r>
      <w:bookmarkEnd w:id="319"/>
      <w:bookmarkEnd w:id="320"/>
      <w:r>
        <w:rPr>
          <w:rFonts w:ascii="Times New Roman" w:hAnsi="宋体" w:cs="Times New Roman"/>
          <w:b/>
          <w:kern w:val="2"/>
        </w:rPr>
        <w:t>废水</w:t>
      </w:r>
      <w:bookmarkEnd w:id="321"/>
    </w:p>
    <w:p>
      <w:pPr>
        <w:widowControl/>
        <w:topLinePunct w:val="0"/>
        <w:snapToGrid w:val="0"/>
        <w:spacing w:line="331" w:lineRule="auto"/>
        <w:ind w:firstLine="480"/>
        <w:rPr>
          <w:rFonts w:ascii="Times New Roman" w:hAnsi="宋体" w:cs="Times New Roman"/>
          <w:kern w:val="2"/>
        </w:rPr>
      </w:pPr>
      <w:r>
        <w:rPr>
          <w:rFonts w:ascii="Times New Roman" w:hAnsi="宋体" w:cs="Times New Roman"/>
          <w:kern w:val="2"/>
        </w:rPr>
        <w:t>完井工程产生的作业废水主要是压裂酸化、洗井等施工时产生的废水。</w:t>
      </w:r>
    </w:p>
    <w:p>
      <w:pPr>
        <w:widowControl/>
        <w:topLinePunct w:val="0"/>
        <w:snapToGrid w:val="0"/>
        <w:spacing w:line="331" w:lineRule="auto"/>
        <w:ind w:firstLine="480"/>
        <w:rPr>
          <w:rFonts w:ascii="Times New Roman" w:hAnsi="宋体" w:cs="Times New Roman"/>
          <w:kern w:val="2"/>
        </w:rPr>
      </w:pPr>
      <w:r>
        <w:rPr>
          <w:rFonts w:ascii="Times New Roman" w:hAnsi="宋体" w:cs="Times New Roman"/>
          <w:kern w:val="2"/>
        </w:rPr>
        <w:t>本项目</w:t>
      </w:r>
      <w:r>
        <w:rPr>
          <w:rFonts w:hint="eastAsia" w:ascii="Times New Roman" w:hAnsi="宋体" w:cs="Times New Roman"/>
          <w:kern w:val="2"/>
        </w:rPr>
        <w:t>普陆4</w:t>
      </w:r>
      <w:r>
        <w:rPr>
          <w:rFonts w:ascii="Times New Roman" w:hAnsi="宋体" w:cs="Times New Roman"/>
          <w:kern w:val="2"/>
        </w:rPr>
        <w:t>-1</w:t>
      </w:r>
      <w:r>
        <w:rPr>
          <w:rFonts w:hint="eastAsia" w:ascii="Times New Roman" w:hAnsi="宋体" w:cs="Times New Roman"/>
          <w:kern w:val="2"/>
        </w:rPr>
        <w:t>H</w:t>
      </w:r>
      <w:r>
        <w:rPr>
          <w:rFonts w:ascii="Times New Roman" w:hAnsi="宋体" w:cs="Times New Roman"/>
          <w:kern w:val="2"/>
        </w:rPr>
        <w:t>井压裂</w:t>
      </w:r>
      <w:r>
        <w:rPr>
          <w:rFonts w:hint="eastAsia" w:ascii="Times New Roman" w:hAnsi="宋体" w:cs="Times New Roman"/>
          <w:kern w:val="2"/>
        </w:rPr>
        <w:t>总液量23060m</w:t>
      </w:r>
      <w:r>
        <w:rPr>
          <w:rFonts w:hint="eastAsia" w:ascii="Times New Roman" w:hAnsi="宋体" w:cs="Times New Roman"/>
          <w:kern w:val="2"/>
          <w:vertAlign w:val="superscript"/>
        </w:rPr>
        <w:t>3</w:t>
      </w:r>
      <w:r>
        <w:rPr>
          <w:rFonts w:ascii="Times New Roman" w:hAnsi="宋体" w:cs="Times New Roman"/>
          <w:kern w:val="2"/>
        </w:rPr>
        <w:t>，根据该区域已完钻钻井工程可知，该区域钻井工程</w:t>
      </w:r>
      <w:r>
        <w:rPr>
          <w:rFonts w:ascii="Times New Roman" w:hAnsi="宋体" w:cs="Times New Roman"/>
          <w:bCs/>
          <w:kern w:val="2"/>
        </w:rPr>
        <w:t>压裂返排液回用率</w:t>
      </w:r>
      <w:r>
        <w:rPr>
          <w:rFonts w:hint="eastAsia" w:ascii="Times New Roman" w:hAnsi="宋体" w:cs="Times New Roman"/>
          <w:bCs/>
          <w:kern w:val="2"/>
        </w:rPr>
        <w:t>按</w:t>
      </w:r>
      <w:r>
        <w:rPr>
          <w:rFonts w:ascii="Times New Roman" w:hAnsi="宋体" w:cs="Times New Roman"/>
          <w:bCs/>
          <w:kern w:val="2"/>
        </w:rPr>
        <w:t>85%</w:t>
      </w:r>
      <w:r>
        <w:rPr>
          <w:rFonts w:hint="eastAsia" w:ascii="Times New Roman" w:hAnsi="宋体" w:cs="Times New Roman"/>
          <w:bCs/>
          <w:kern w:val="2"/>
        </w:rPr>
        <w:t>计</w:t>
      </w:r>
      <w:r>
        <w:rPr>
          <w:rFonts w:ascii="Times New Roman" w:hAnsi="宋体" w:cs="Times New Roman"/>
          <w:kern w:val="2"/>
        </w:rPr>
        <w:t>，则本项目</w:t>
      </w:r>
      <w:r>
        <w:rPr>
          <w:rFonts w:hint="eastAsia" w:ascii="Times New Roman" w:hAnsi="宋体" w:cs="Times New Roman"/>
          <w:kern w:val="2"/>
        </w:rPr>
        <w:t>压裂</w:t>
      </w:r>
      <w:r>
        <w:rPr>
          <w:rFonts w:ascii="Times New Roman" w:hAnsi="宋体" w:cs="Times New Roman"/>
          <w:kern w:val="2"/>
        </w:rPr>
        <w:t>废水总量为</w:t>
      </w:r>
      <w:r>
        <w:rPr>
          <w:rFonts w:hint="eastAsia" w:ascii="Times New Roman" w:cs="Times New Roman"/>
          <w:kern w:val="2"/>
        </w:rPr>
        <w:t>3459</w:t>
      </w:r>
      <w:r>
        <w:rPr>
          <w:rFonts w:ascii="Times New Roman" w:cs="Times New Roman"/>
          <w:kern w:val="2"/>
        </w:rPr>
        <w:t>m</w:t>
      </w:r>
      <w:r>
        <w:rPr>
          <w:rFonts w:ascii="Times New Roman" w:cs="Times New Roman"/>
          <w:kern w:val="2"/>
          <w:vertAlign w:val="superscript"/>
        </w:rPr>
        <w:t>3</w:t>
      </w:r>
      <w:r>
        <w:rPr>
          <w:rFonts w:ascii="Times New Roman" w:hAnsi="宋体" w:cs="Times New Roman"/>
          <w:kern w:val="2"/>
        </w:rPr>
        <w:t>，</w:t>
      </w:r>
      <w:r>
        <w:rPr>
          <w:rFonts w:hint="eastAsia" w:ascii="Times New Roman" w:hAnsi="宋体" w:cs="Times New Roman"/>
          <w:kern w:val="2"/>
        </w:rPr>
        <w:t>压裂</w:t>
      </w:r>
      <w:r>
        <w:rPr>
          <w:rFonts w:ascii="Times New Roman" w:hAnsi="宋体" w:cs="Times New Roman"/>
          <w:kern w:val="2"/>
        </w:rPr>
        <w:t>废水主要组成为水、盐酸及醋酸与岩层反应后生成的盐类、及表面活性剂等</w:t>
      </w:r>
      <w:r>
        <w:rPr>
          <w:rFonts w:hint="eastAsia" w:ascii="Times New Roman" w:hAnsi="宋体" w:cs="Times New Roman"/>
          <w:kern w:val="2"/>
        </w:rPr>
        <w:t>。</w:t>
      </w:r>
    </w:p>
    <w:p>
      <w:pPr>
        <w:widowControl/>
        <w:topLinePunct w:val="0"/>
        <w:snapToGrid w:val="0"/>
        <w:spacing w:line="331" w:lineRule="auto"/>
        <w:ind w:firstLine="480"/>
        <w:rPr>
          <w:rFonts w:ascii="Times New Roman" w:hAnsi="宋体" w:cs="Times New Roman"/>
          <w:kern w:val="2"/>
        </w:rPr>
      </w:pPr>
      <w:r>
        <w:rPr>
          <w:rFonts w:ascii="Times New Roman" w:hAnsi="宋体" w:cs="Times New Roman"/>
          <w:kern w:val="2"/>
        </w:rPr>
        <w:t>本项目</w:t>
      </w:r>
      <w:r>
        <w:rPr>
          <w:rFonts w:hint="eastAsia" w:ascii="Times New Roman" w:hAnsi="宋体" w:cs="Times New Roman"/>
          <w:kern w:val="2"/>
        </w:rPr>
        <w:t>普陆4</w:t>
      </w:r>
      <w:r>
        <w:rPr>
          <w:rFonts w:ascii="Times New Roman" w:hAnsi="宋体" w:cs="Times New Roman"/>
          <w:kern w:val="2"/>
        </w:rPr>
        <w:t>-1</w:t>
      </w:r>
      <w:r>
        <w:rPr>
          <w:rFonts w:hint="eastAsia" w:ascii="Times New Roman" w:hAnsi="宋体" w:cs="Times New Roman"/>
          <w:kern w:val="2"/>
        </w:rPr>
        <w:t>H</w:t>
      </w:r>
      <w:r>
        <w:rPr>
          <w:rFonts w:ascii="Times New Roman" w:hAnsi="宋体" w:cs="Times New Roman"/>
          <w:kern w:val="2"/>
        </w:rPr>
        <w:t>井压裂</w:t>
      </w:r>
      <w:r>
        <w:rPr>
          <w:rFonts w:hint="eastAsia" w:ascii="Times New Roman" w:hAnsi="宋体" w:cs="Times New Roman"/>
          <w:kern w:val="2"/>
        </w:rPr>
        <w:t>总液量23060m</w:t>
      </w:r>
      <w:r>
        <w:rPr>
          <w:rFonts w:hint="eastAsia" w:ascii="Times New Roman" w:hAnsi="宋体" w:cs="Times New Roman"/>
          <w:kern w:val="2"/>
          <w:vertAlign w:val="superscript"/>
        </w:rPr>
        <w:t>3</w:t>
      </w:r>
      <w:r>
        <w:rPr>
          <w:rFonts w:ascii="Times New Roman" w:hAnsi="宋体" w:cs="Times New Roman"/>
          <w:kern w:val="2"/>
        </w:rPr>
        <w:t>，根据该区域已完钻钻井工程可知，该区域钻井工程</w:t>
      </w:r>
      <w:r>
        <w:rPr>
          <w:rFonts w:ascii="Times New Roman" w:hAnsi="宋体" w:cs="Times New Roman"/>
          <w:bCs/>
          <w:kern w:val="2"/>
        </w:rPr>
        <w:t>压裂返排液回用率</w:t>
      </w:r>
      <w:r>
        <w:rPr>
          <w:rFonts w:hint="eastAsia" w:ascii="Times New Roman" w:hAnsi="宋体" w:cs="Times New Roman"/>
          <w:bCs/>
          <w:kern w:val="2"/>
        </w:rPr>
        <w:t>按</w:t>
      </w:r>
      <w:r>
        <w:rPr>
          <w:rFonts w:ascii="Times New Roman" w:hAnsi="宋体" w:cs="Times New Roman"/>
          <w:bCs/>
          <w:kern w:val="2"/>
        </w:rPr>
        <w:t>85%</w:t>
      </w:r>
      <w:r>
        <w:rPr>
          <w:rFonts w:hint="eastAsia" w:ascii="Times New Roman" w:hAnsi="宋体" w:cs="Times New Roman"/>
          <w:bCs/>
          <w:kern w:val="2"/>
        </w:rPr>
        <w:t>计</w:t>
      </w:r>
      <w:r>
        <w:rPr>
          <w:rFonts w:ascii="Times New Roman" w:hAnsi="宋体" w:cs="Times New Roman"/>
          <w:kern w:val="2"/>
        </w:rPr>
        <w:t>，则本项目</w:t>
      </w:r>
      <w:r>
        <w:rPr>
          <w:rFonts w:hint="eastAsia" w:ascii="Times New Roman" w:hAnsi="宋体" w:cs="Times New Roman"/>
          <w:kern w:val="2"/>
        </w:rPr>
        <w:t>压裂</w:t>
      </w:r>
      <w:r>
        <w:rPr>
          <w:rFonts w:ascii="Times New Roman" w:hAnsi="宋体" w:cs="Times New Roman"/>
          <w:kern w:val="2"/>
        </w:rPr>
        <w:t>废水总量为</w:t>
      </w:r>
      <w:r>
        <w:rPr>
          <w:rFonts w:hint="eastAsia" w:ascii="Times New Roman" w:cs="Times New Roman"/>
          <w:kern w:val="2"/>
        </w:rPr>
        <w:t>3459</w:t>
      </w:r>
      <w:r>
        <w:rPr>
          <w:rFonts w:ascii="Times New Roman" w:cs="Times New Roman"/>
          <w:kern w:val="2"/>
        </w:rPr>
        <w:t>m</w:t>
      </w:r>
      <w:r>
        <w:rPr>
          <w:rFonts w:ascii="Times New Roman" w:cs="Times New Roman"/>
          <w:kern w:val="2"/>
          <w:vertAlign w:val="superscript"/>
        </w:rPr>
        <w:t>3</w:t>
      </w:r>
      <w:r>
        <w:rPr>
          <w:rFonts w:hint="eastAsia" w:ascii="Times New Roman" w:hAnsi="宋体" w:cs="Times New Roman"/>
          <w:bCs/>
          <w:kern w:val="2"/>
        </w:rPr>
        <w:t>，压裂周期按45天计，压裂废水最大产生量约为76.9m</w:t>
      </w:r>
      <w:r>
        <w:rPr>
          <w:rFonts w:hint="eastAsia" w:ascii="Times New Roman" w:hAnsi="宋体" w:cs="Times New Roman"/>
          <w:bCs/>
          <w:kern w:val="2"/>
          <w:vertAlign w:val="superscript"/>
        </w:rPr>
        <w:t>3</w:t>
      </w:r>
      <w:r>
        <w:rPr>
          <w:rFonts w:hint="eastAsia" w:ascii="Times New Roman" w:hAnsi="宋体" w:cs="Times New Roman"/>
          <w:bCs/>
          <w:kern w:val="2"/>
        </w:rPr>
        <w:t>/d，压裂废水可依托现有污水池收集，并及时通过罐车拉运至大湾403污水站处理达标后管输至毛开1井回注站回注。污水池容积约1800m</w:t>
      </w:r>
      <w:r>
        <w:rPr>
          <w:rFonts w:hint="eastAsia" w:ascii="Times New Roman" w:hAnsi="宋体" w:cs="Times New Roman"/>
          <w:bCs/>
          <w:kern w:val="2"/>
          <w:vertAlign w:val="superscript"/>
        </w:rPr>
        <w:t>3</w:t>
      </w:r>
      <w:r>
        <w:rPr>
          <w:rFonts w:hint="eastAsia" w:ascii="Times New Roman" w:hAnsi="宋体" w:cs="Times New Roman"/>
          <w:bCs/>
          <w:kern w:val="2"/>
        </w:rPr>
        <w:t>，可满足约23天的压裂废水的储存，同时本项目设置10台罐车（罐容为20m</w:t>
      </w:r>
      <w:r>
        <w:rPr>
          <w:rFonts w:hint="eastAsia" w:ascii="Times New Roman" w:hAnsi="宋体" w:cs="Times New Roman"/>
          <w:bCs/>
          <w:kern w:val="2"/>
          <w:vertAlign w:val="superscript"/>
        </w:rPr>
        <w:t>3</w:t>
      </w:r>
      <w:r>
        <w:rPr>
          <w:rFonts w:hint="eastAsia" w:ascii="Times New Roman" w:hAnsi="宋体" w:cs="Times New Roman"/>
          <w:bCs/>
          <w:kern w:val="2"/>
        </w:rPr>
        <w:t>），压裂废水采取每周拉运一次，能够保证压裂废水得到有效收集和及时处置。</w:t>
      </w:r>
    </w:p>
    <w:p>
      <w:pPr>
        <w:widowControl/>
        <w:topLinePunct w:val="0"/>
        <w:snapToGrid w:val="0"/>
        <w:spacing w:line="331" w:lineRule="auto"/>
        <w:ind w:firstLine="480"/>
        <w:rPr>
          <w:rFonts w:ascii="Times New Roman" w:hAnsi="宋体" w:cs="Times New Roman"/>
          <w:kern w:val="2"/>
        </w:rPr>
      </w:pPr>
      <w:r>
        <w:rPr>
          <w:rFonts w:ascii="Times New Roman" w:hAnsi="宋体" w:cs="Times New Roman"/>
          <w:kern w:val="2"/>
        </w:rPr>
        <w:t>根据普光气田钻井工程类比调查，作业废水污染物浓度情况见表</w:t>
      </w:r>
      <w:r>
        <w:rPr>
          <w:rFonts w:ascii="Times New Roman" w:cs="Times New Roman"/>
          <w:kern w:val="2"/>
        </w:rPr>
        <w:t>4</w:t>
      </w:r>
      <w:r>
        <w:rPr>
          <w:rFonts w:hint="eastAsia" w:ascii="Times New Roman" w:cs="Times New Roman"/>
          <w:kern w:val="2"/>
        </w:rPr>
        <w:t>.1-8</w:t>
      </w:r>
      <w:r>
        <w:rPr>
          <w:rFonts w:ascii="Times New Roman" w:hAnsi="宋体" w:cs="Times New Roman"/>
          <w:kern w:val="2"/>
        </w:rPr>
        <w:t>。</w:t>
      </w:r>
    </w:p>
    <w:p>
      <w:pPr>
        <w:topLinePunct w:val="0"/>
        <w:snapToGrid w:val="0"/>
        <w:spacing w:beforeLines="50"/>
        <w:ind w:firstLine="480" w:firstLineChars="0"/>
        <w:jc w:val="center"/>
        <w:rPr>
          <w:rFonts w:ascii="Times New Roman" w:cs="Times New Roman"/>
          <w:b/>
          <w:kern w:val="2"/>
          <w:sz w:val="21"/>
          <w:szCs w:val="20"/>
        </w:rPr>
      </w:pPr>
      <w:bookmarkStart w:id="322" w:name="_Ref472452376"/>
      <w:r>
        <w:rPr>
          <w:rFonts w:ascii="Times New Roman" w:cs="Times New Roman"/>
          <w:b/>
          <w:kern w:val="2"/>
          <w:sz w:val="21"/>
          <w:szCs w:val="20"/>
        </w:rPr>
        <w:t xml:space="preserve">表 </w:t>
      </w:r>
      <w:bookmarkEnd w:id="322"/>
      <w:r>
        <w:rPr>
          <w:rFonts w:ascii="Times New Roman" w:cs="Times New Roman"/>
          <w:b/>
          <w:kern w:val="2"/>
          <w:sz w:val="21"/>
          <w:szCs w:val="20"/>
        </w:rPr>
        <w:t>4</w:t>
      </w:r>
      <w:r>
        <w:rPr>
          <w:rFonts w:hint="eastAsia" w:ascii="Times New Roman" w:cs="Times New Roman"/>
          <w:b/>
          <w:kern w:val="2"/>
          <w:sz w:val="21"/>
          <w:szCs w:val="20"/>
        </w:rPr>
        <w:t>.1-8</w:t>
      </w:r>
      <w:r>
        <w:rPr>
          <w:rFonts w:ascii="Times New Roman" w:cs="Times New Roman"/>
          <w:b/>
          <w:kern w:val="2"/>
          <w:sz w:val="21"/>
          <w:szCs w:val="20"/>
        </w:rPr>
        <w:t xml:space="preserve">  </w:t>
      </w:r>
      <w:r>
        <w:rPr>
          <w:rFonts w:hint="eastAsia" w:ascii="Times New Roman" w:cs="Times New Roman"/>
          <w:b/>
          <w:kern w:val="2"/>
          <w:sz w:val="21"/>
          <w:szCs w:val="20"/>
        </w:rPr>
        <w:t>压裂、洗井</w:t>
      </w:r>
      <w:r>
        <w:rPr>
          <w:rFonts w:ascii="Times New Roman" w:cs="Times New Roman"/>
          <w:b/>
          <w:kern w:val="2"/>
          <w:sz w:val="21"/>
          <w:szCs w:val="20"/>
        </w:rPr>
        <w:t>废水污染物浓度表（单位：mg/L）</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1656"/>
        <w:gridCol w:w="1110"/>
        <w:gridCol w:w="1110"/>
        <w:gridCol w:w="1110"/>
        <w:gridCol w:w="973"/>
        <w:gridCol w:w="11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69"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hAnsi="宋体" w:cs="Times New Roman"/>
                <w:b/>
                <w:kern w:val="2"/>
                <w:sz w:val="21"/>
                <w:szCs w:val="21"/>
              </w:rPr>
              <w:t>污染物名称</w:t>
            </w:r>
          </w:p>
        </w:tc>
        <w:tc>
          <w:tcPr>
            <w:tcW w:w="1767"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pH</w:t>
            </w:r>
          </w:p>
        </w:tc>
        <w:tc>
          <w:tcPr>
            <w:tcW w:w="1178"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COD</w:t>
            </w:r>
          </w:p>
        </w:tc>
        <w:tc>
          <w:tcPr>
            <w:tcW w:w="1178"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SS</w:t>
            </w:r>
          </w:p>
        </w:tc>
        <w:tc>
          <w:tcPr>
            <w:tcW w:w="1178"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hAnsi="宋体" w:cs="Times New Roman"/>
                <w:b/>
                <w:kern w:val="2"/>
                <w:sz w:val="21"/>
                <w:szCs w:val="21"/>
              </w:rPr>
              <w:t>石油类</w:t>
            </w:r>
          </w:p>
        </w:tc>
        <w:tc>
          <w:tcPr>
            <w:tcW w:w="1031"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hAnsi="宋体" w:cs="Times New Roman"/>
                <w:b/>
                <w:kern w:val="2"/>
                <w:sz w:val="21"/>
                <w:szCs w:val="21"/>
              </w:rPr>
              <w:t>挥发酚</w:t>
            </w:r>
          </w:p>
        </w:tc>
        <w:tc>
          <w:tcPr>
            <w:tcW w:w="1259"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hAnsi="宋体" w:cs="Times New Roman"/>
                <w:b/>
                <w:kern w:val="2"/>
                <w:sz w:val="21"/>
                <w:szCs w:val="21"/>
              </w:rPr>
              <w:t>氯离子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46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浓度</w:t>
            </w:r>
          </w:p>
        </w:tc>
        <w:tc>
          <w:tcPr>
            <w:tcW w:w="176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w:t>
            </w:r>
            <w:r>
              <w:rPr>
                <w:rFonts w:ascii="Times New Roman" w:hAnsi="宋体" w:cs="Times New Roman"/>
                <w:kern w:val="2"/>
                <w:sz w:val="21"/>
                <w:szCs w:val="21"/>
              </w:rPr>
              <w:t>～</w:t>
            </w:r>
            <w:r>
              <w:rPr>
                <w:rFonts w:ascii="Times New Roman" w:cs="Times New Roman"/>
                <w:kern w:val="2"/>
                <w:sz w:val="21"/>
                <w:szCs w:val="21"/>
              </w:rPr>
              <w:t>6</w:t>
            </w:r>
          </w:p>
        </w:tc>
        <w:tc>
          <w:tcPr>
            <w:tcW w:w="117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≤5000</w:t>
            </w:r>
          </w:p>
        </w:tc>
        <w:tc>
          <w:tcPr>
            <w:tcW w:w="117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≤7500</w:t>
            </w:r>
          </w:p>
        </w:tc>
        <w:tc>
          <w:tcPr>
            <w:tcW w:w="117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≤200</w:t>
            </w:r>
          </w:p>
        </w:tc>
        <w:tc>
          <w:tcPr>
            <w:tcW w:w="103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≤7.0</w:t>
            </w:r>
          </w:p>
        </w:tc>
        <w:tc>
          <w:tcPr>
            <w:tcW w:w="125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≤4000</w:t>
            </w:r>
          </w:p>
        </w:tc>
      </w:tr>
    </w:tbl>
    <w:p>
      <w:pPr>
        <w:pStyle w:val="4"/>
        <w:rPr>
          <w:rFonts w:eastAsia="宋体"/>
        </w:rPr>
      </w:pPr>
      <w:bookmarkStart w:id="323" w:name="_Toc12288513"/>
      <w:r>
        <w:rPr>
          <w:rFonts w:eastAsia="宋体"/>
        </w:rPr>
        <w:t>4.1.6 噪声产生情况及治理措施</w:t>
      </w:r>
    </w:p>
    <w:p>
      <w:pPr>
        <w:pStyle w:val="112"/>
        <w:ind w:firstLine="480"/>
      </w:pPr>
      <w:r>
        <w:t>噪声源主要来</w:t>
      </w:r>
      <w:r>
        <w:rPr>
          <w:rFonts w:hint="eastAsia"/>
        </w:rPr>
        <w:t>站场、管道</w:t>
      </w:r>
      <w:r>
        <w:t>施工作业机械，如挖掘机、电焊机、凿岩机等，其强度在85~105dB（A）</w:t>
      </w:r>
      <w:r>
        <w:rPr>
          <w:rFonts w:hint="eastAsia"/>
        </w:rPr>
        <w:t>；钻井施工</w:t>
      </w:r>
      <w:r>
        <w:t>过程中的噪声主要包括正常生产过程中的机械噪声、作业噪声其产生情况为：</w:t>
      </w:r>
    </w:p>
    <w:p>
      <w:pPr>
        <w:pStyle w:val="112"/>
        <w:ind w:firstLine="480"/>
      </w:pPr>
      <w:r>
        <w:t>机械噪声：包括钻机、振动筛、泥浆泵、离心机、空压机、增压机以及其他各种机械转动所产生的噪声；</w:t>
      </w:r>
    </w:p>
    <w:p>
      <w:pPr>
        <w:pStyle w:val="112"/>
        <w:ind w:firstLine="480"/>
      </w:pPr>
      <w:r>
        <w:t>作业噪声：包括固井作业、下套管、起下钻具、钻机气路控制系统操作时快速放气阀放气、跳钻时吊环与水龙头的撞击等所产生的噪声</w:t>
      </w:r>
      <w:r>
        <w:rPr>
          <w:rFonts w:hint="eastAsia"/>
        </w:rPr>
        <w:t>。</w:t>
      </w:r>
    </w:p>
    <w:p>
      <w:pPr>
        <w:pStyle w:val="112"/>
        <w:ind w:firstLine="480"/>
      </w:pPr>
      <w:r>
        <w:rPr>
          <w:rFonts w:hint="eastAsia"/>
        </w:rPr>
        <w:t>同时</w:t>
      </w:r>
      <w:r>
        <w:t>完井工程中主要噪声为压裂噪声、测试放喷噪声。</w:t>
      </w:r>
    </w:p>
    <w:p>
      <w:pPr>
        <w:pStyle w:val="37"/>
        <w:rPr>
          <w:rFonts w:cs="Times New Roman"/>
        </w:rPr>
      </w:pPr>
      <w:r>
        <w:rPr>
          <w:rFonts w:cs="Times New Roman"/>
        </w:rPr>
        <w:t>表</w:t>
      </w:r>
      <w:bookmarkStart w:id="324" w:name="OLE_LINK231"/>
      <w:bookmarkStart w:id="325" w:name="OLE_LINK232"/>
      <w:r>
        <w:rPr>
          <w:rFonts w:cs="Times New Roman"/>
        </w:rPr>
        <w:t>4.1-</w:t>
      </w:r>
      <w:bookmarkEnd w:id="324"/>
      <w:bookmarkEnd w:id="325"/>
      <w:r>
        <w:rPr>
          <w:rFonts w:hint="eastAsia" w:cs="Times New Roman"/>
        </w:rPr>
        <w:t>9</w:t>
      </w:r>
      <w:r>
        <w:rPr>
          <w:rFonts w:cs="Times New Roman"/>
        </w:rPr>
        <w:t xml:space="preserve">  管道工程施工机械噪声强度测试值</w:t>
      </w:r>
    </w:p>
    <w:tbl>
      <w:tblPr>
        <w:tblStyle w:val="57"/>
        <w:tblW w:w="5223" w:type="pct"/>
        <w:jc w:val="center"/>
        <w:tblLayout w:type="autofit"/>
        <w:tblCellMar>
          <w:top w:w="0" w:type="dxa"/>
          <w:left w:w="0" w:type="dxa"/>
          <w:bottom w:w="0" w:type="dxa"/>
          <w:right w:w="0" w:type="dxa"/>
        </w:tblCellMar>
      </w:tblPr>
      <w:tblGrid>
        <w:gridCol w:w="831"/>
        <w:gridCol w:w="1595"/>
        <w:gridCol w:w="1572"/>
        <w:gridCol w:w="888"/>
        <w:gridCol w:w="1924"/>
        <w:gridCol w:w="1866"/>
      </w:tblGrid>
      <w:tr>
        <w:tblPrEx>
          <w:tblCellMar>
            <w:top w:w="0" w:type="dxa"/>
            <w:left w:w="0" w:type="dxa"/>
            <w:bottom w:w="0" w:type="dxa"/>
            <w:right w:w="0" w:type="dxa"/>
          </w:tblCellMar>
        </w:tblPrEx>
        <w:trPr>
          <w:trHeight w:val="18" w:hRule="atLeast"/>
          <w:jc w:val="center"/>
        </w:trPr>
        <w:tc>
          <w:tcPr>
            <w:tcW w:w="479" w:type="pct"/>
            <w:tcBorders>
              <w:top w:val="single" w:color="000000" w:sz="12" w:space="0"/>
              <w:left w:val="nil"/>
              <w:bottom w:val="single" w:color="000000" w:sz="4" w:space="0"/>
              <w:right w:val="single" w:color="000000" w:sz="4" w:space="0"/>
            </w:tcBorders>
            <w:vAlign w:val="center"/>
          </w:tcPr>
          <w:p>
            <w:pPr>
              <w:pStyle w:val="132"/>
              <w:rPr>
                <w:b/>
                <w:bCs/>
              </w:rPr>
            </w:pPr>
            <w:r>
              <w:rPr>
                <w:b/>
                <w:bCs/>
              </w:rPr>
              <w:t>序号</w:t>
            </w:r>
          </w:p>
        </w:tc>
        <w:tc>
          <w:tcPr>
            <w:tcW w:w="919" w:type="pct"/>
            <w:tcBorders>
              <w:top w:val="single" w:color="000000" w:sz="12" w:space="0"/>
              <w:left w:val="single" w:color="000000" w:sz="4" w:space="0"/>
              <w:bottom w:val="single" w:color="000000" w:sz="4" w:space="0"/>
              <w:right w:val="single" w:color="000000" w:sz="4" w:space="0"/>
            </w:tcBorders>
            <w:vAlign w:val="center"/>
          </w:tcPr>
          <w:p>
            <w:pPr>
              <w:pStyle w:val="132"/>
              <w:rPr>
                <w:b/>
                <w:bCs/>
              </w:rPr>
            </w:pPr>
            <w:r>
              <w:rPr>
                <w:b/>
                <w:bCs/>
              </w:rPr>
              <w:t>噪声源</w:t>
            </w:r>
          </w:p>
        </w:tc>
        <w:tc>
          <w:tcPr>
            <w:tcW w:w="906" w:type="pct"/>
            <w:tcBorders>
              <w:top w:val="single" w:color="000000" w:sz="12" w:space="0"/>
              <w:left w:val="single" w:color="000000" w:sz="4" w:space="0"/>
              <w:bottom w:val="single" w:color="000000" w:sz="4" w:space="0"/>
              <w:right w:val="single" w:color="000000" w:sz="4" w:space="0"/>
            </w:tcBorders>
            <w:vAlign w:val="center"/>
          </w:tcPr>
          <w:p>
            <w:pPr>
              <w:pStyle w:val="132"/>
              <w:rPr>
                <w:b/>
                <w:bCs/>
              </w:rPr>
            </w:pPr>
            <w:r>
              <w:rPr>
                <w:b/>
                <w:bCs/>
              </w:rPr>
              <w:t>噪声强度dB(A)</w:t>
            </w:r>
          </w:p>
        </w:tc>
        <w:tc>
          <w:tcPr>
            <w:tcW w:w="512" w:type="pct"/>
            <w:tcBorders>
              <w:top w:val="single" w:color="000000" w:sz="12" w:space="0"/>
              <w:left w:val="single" w:color="000000" w:sz="4" w:space="0"/>
              <w:bottom w:val="single" w:color="000000" w:sz="4" w:space="0"/>
              <w:right w:val="single" w:color="000000" w:sz="4" w:space="0"/>
            </w:tcBorders>
            <w:vAlign w:val="center"/>
          </w:tcPr>
          <w:p>
            <w:pPr>
              <w:pStyle w:val="132"/>
              <w:rPr>
                <w:b/>
                <w:bCs/>
              </w:rPr>
            </w:pPr>
            <w:r>
              <w:rPr>
                <w:b/>
                <w:bCs/>
              </w:rPr>
              <w:t>序号</w:t>
            </w:r>
          </w:p>
        </w:tc>
        <w:tc>
          <w:tcPr>
            <w:tcW w:w="1109" w:type="pct"/>
            <w:tcBorders>
              <w:top w:val="single" w:color="000000" w:sz="12" w:space="0"/>
              <w:left w:val="single" w:color="000000" w:sz="4" w:space="0"/>
              <w:bottom w:val="single" w:color="000000" w:sz="4" w:space="0"/>
              <w:right w:val="single" w:color="000000" w:sz="4" w:space="0"/>
            </w:tcBorders>
            <w:vAlign w:val="center"/>
          </w:tcPr>
          <w:p>
            <w:pPr>
              <w:pStyle w:val="132"/>
              <w:rPr>
                <w:b/>
                <w:bCs/>
              </w:rPr>
            </w:pPr>
            <w:r>
              <w:rPr>
                <w:b/>
                <w:bCs/>
              </w:rPr>
              <w:t>噪声源</w:t>
            </w:r>
          </w:p>
        </w:tc>
        <w:tc>
          <w:tcPr>
            <w:tcW w:w="1075" w:type="pct"/>
            <w:tcBorders>
              <w:top w:val="single" w:color="000000" w:sz="12" w:space="0"/>
              <w:left w:val="single" w:color="000000" w:sz="4" w:space="0"/>
              <w:bottom w:val="single" w:color="000000" w:sz="4" w:space="0"/>
              <w:right w:val="nil"/>
            </w:tcBorders>
            <w:vAlign w:val="center"/>
          </w:tcPr>
          <w:p>
            <w:pPr>
              <w:pStyle w:val="132"/>
              <w:rPr>
                <w:b/>
                <w:bCs/>
              </w:rPr>
            </w:pPr>
            <w:r>
              <w:rPr>
                <w:b/>
                <w:bCs/>
              </w:rPr>
              <w:t>噪声强度dB(A)</w:t>
            </w:r>
          </w:p>
        </w:tc>
      </w:tr>
      <w:tr>
        <w:tblPrEx>
          <w:tblCellMar>
            <w:top w:w="0" w:type="dxa"/>
            <w:left w:w="0" w:type="dxa"/>
            <w:bottom w:w="0" w:type="dxa"/>
            <w:right w:w="0" w:type="dxa"/>
          </w:tblCellMar>
        </w:tblPrEx>
        <w:trPr>
          <w:trHeight w:val="18" w:hRule="atLeast"/>
          <w:jc w:val="center"/>
        </w:trPr>
        <w:tc>
          <w:tcPr>
            <w:tcW w:w="479" w:type="pct"/>
            <w:tcBorders>
              <w:top w:val="single" w:color="000000" w:sz="4" w:space="0"/>
              <w:left w:val="nil"/>
              <w:bottom w:val="single" w:color="000000" w:sz="4" w:space="0"/>
              <w:right w:val="single" w:color="000000" w:sz="4" w:space="0"/>
            </w:tcBorders>
            <w:vAlign w:val="center"/>
          </w:tcPr>
          <w:p>
            <w:pPr>
              <w:pStyle w:val="132"/>
            </w:pPr>
            <w:r>
              <w:t>1</w:t>
            </w:r>
          </w:p>
        </w:tc>
        <w:tc>
          <w:tcPr>
            <w:tcW w:w="919" w:type="pct"/>
            <w:tcBorders>
              <w:top w:val="single" w:color="000000" w:sz="4" w:space="0"/>
              <w:left w:val="single" w:color="000000" w:sz="4" w:space="0"/>
              <w:bottom w:val="single" w:color="000000" w:sz="4" w:space="0"/>
              <w:right w:val="single" w:color="000000" w:sz="4" w:space="0"/>
            </w:tcBorders>
            <w:vAlign w:val="center"/>
          </w:tcPr>
          <w:p>
            <w:pPr>
              <w:pStyle w:val="132"/>
            </w:pPr>
            <w:r>
              <w:t>挖掘机</w:t>
            </w:r>
          </w:p>
        </w:tc>
        <w:tc>
          <w:tcPr>
            <w:tcW w:w="906" w:type="pct"/>
            <w:tcBorders>
              <w:top w:val="single" w:color="000000" w:sz="4" w:space="0"/>
              <w:left w:val="single" w:color="000000" w:sz="4" w:space="0"/>
              <w:bottom w:val="single" w:color="000000" w:sz="4" w:space="0"/>
              <w:right w:val="single" w:color="000000" w:sz="4" w:space="0"/>
            </w:tcBorders>
            <w:vAlign w:val="center"/>
          </w:tcPr>
          <w:p>
            <w:pPr>
              <w:pStyle w:val="132"/>
            </w:pPr>
            <w:r>
              <w:t>92</w:t>
            </w:r>
          </w:p>
        </w:tc>
        <w:tc>
          <w:tcPr>
            <w:tcW w:w="512" w:type="pct"/>
            <w:tcBorders>
              <w:top w:val="single" w:color="000000" w:sz="4" w:space="0"/>
              <w:left w:val="single" w:color="000000" w:sz="4" w:space="0"/>
              <w:bottom w:val="single" w:color="000000" w:sz="4" w:space="0"/>
              <w:right w:val="single" w:color="000000" w:sz="4" w:space="0"/>
            </w:tcBorders>
            <w:vAlign w:val="center"/>
          </w:tcPr>
          <w:p>
            <w:pPr>
              <w:pStyle w:val="132"/>
            </w:pPr>
            <w:r>
              <w:t>6</w:t>
            </w:r>
          </w:p>
        </w:tc>
        <w:tc>
          <w:tcPr>
            <w:tcW w:w="1109" w:type="pct"/>
            <w:tcBorders>
              <w:top w:val="single" w:color="000000" w:sz="4" w:space="0"/>
              <w:left w:val="single" w:color="000000" w:sz="4" w:space="0"/>
              <w:bottom w:val="single" w:color="000000" w:sz="4" w:space="0"/>
              <w:right w:val="single" w:color="000000" w:sz="4" w:space="0"/>
            </w:tcBorders>
            <w:vAlign w:val="center"/>
          </w:tcPr>
          <w:p>
            <w:pPr>
              <w:pStyle w:val="132"/>
            </w:pPr>
            <w:r>
              <w:t>混凝土搅拌机</w:t>
            </w:r>
          </w:p>
        </w:tc>
        <w:tc>
          <w:tcPr>
            <w:tcW w:w="1075" w:type="pct"/>
            <w:tcBorders>
              <w:top w:val="single" w:color="000000" w:sz="4" w:space="0"/>
              <w:left w:val="single" w:color="000000" w:sz="4" w:space="0"/>
              <w:bottom w:val="single" w:color="000000" w:sz="4" w:space="0"/>
              <w:right w:val="nil"/>
            </w:tcBorders>
            <w:vAlign w:val="center"/>
          </w:tcPr>
          <w:p>
            <w:pPr>
              <w:pStyle w:val="132"/>
            </w:pPr>
            <w:r>
              <w:t>95</w:t>
            </w:r>
          </w:p>
        </w:tc>
      </w:tr>
      <w:tr>
        <w:tblPrEx>
          <w:tblCellMar>
            <w:top w:w="0" w:type="dxa"/>
            <w:left w:w="0" w:type="dxa"/>
            <w:bottom w:w="0" w:type="dxa"/>
            <w:right w:w="0" w:type="dxa"/>
          </w:tblCellMar>
        </w:tblPrEx>
        <w:trPr>
          <w:trHeight w:val="18" w:hRule="atLeast"/>
          <w:jc w:val="center"/>
        </w:trPr>
        <w:tc>
          <w:tcPr>
            <w:tcW w:w="479" w:type="pct"/>
            <w:tcBorders>
              <w:top w:val="single" w:color="000000" w:sz="4" w:space="0"/>
              <w:left w:val="nil"/>
              <w:bottom w:val="single" w:color="000000" w:sz="4" w:space="0"/>
              <w:right w:val="single" w:color="000000" w:sz="4" w:space="0"/>
            </w:tcBorders>
            <w:vAlign w:val="center"/>
          </w:tcPr>
          <w:p>
            <w:pPr>
              <w:pStyle w:val="132"/>
            </w:pPr>
            <w:r>
              <w:t>2</w:t>
            </w:r>
          </w:p>
        </w:tc>
        <w:tc>
          <w:tcPr>
            <w:tcW w:w="919" w:type="pct"/>
            <w:tcBorders>
              <w:top w:val="single" w:color="000000" w:sz="4" w:space="0"/>
              <w:left w:val="single" w:color="000000" w:sz="4" w:space="0"/>
              <w:bottom w:val="single" w:color="000000" w:sz="4" w:space="0"/>
              <w:right w:val="single" w:color="000000" w:sz="4" w:space="0"/>
            </w:tcBorders>
            <w:vAlign w:val="center"/>
          </w:tcPr>
          <w:p>
            <w:pPr>
              <w:pStyle w:val="132"/>
            </w:pPr>
            <w:r>
              <w:t>吊管机</w:t>
            </w:r>
          </w:p>
        </w:tc>
        <w:tc>
          <w:tcPr>
            <w:tcW w:w="906" w:type="pct"/>
            <w:tcBorders>
              <w:top w:val="single" w:color="000000" w:sz="4" w:space="0"/>
              <w:left w:val="single" w:color="000000" w:sz="4" w:space="0"/>
              <w:bottom w:val="single" w:color="000000" w:sz="4" w:space="0"/>
              <w:right w:val="single" w:color="000000" w:sz="4" w:space="0"/>
            </w:tcBorders>
            <w:vAlign w:val="center"/>
          </w:tcPr>
          <w:p>
            <w:pPr>
              <w:pStyle w:val="132"/>
            </w:pPr>
            <w:r>
              <w:t>88</w:t>
            </w:r>
          </w:p>
        </w:tc>
        <w:tc>
          <w:tcPr>
            <w:tcW w:w="512" w:type="pct"/>
            <w:tcBorders>
              <w:top w:val="single" w:color="000000" w:sz="4" w:space="0"/>
              <w:left w:val="single" w:color="000000" w:sz="4" w:space="0"/>
              <w:bottom w:val="single" w:color="000000" w:sz="4" w:space="0"/>
              <w:right w:val="single" w:color="000000" w:sz="4" w:space="0"/>
            </w:tcBorders>
            <w:vAlign w:val="center"/>
          </w:tcPr>
          <w:p>
            <w:pPr>
              <w:pStyle w:val="132"/>
            </w:pPr>
            <w:r>
              <w:t>7</w:t>
            </w:r>
          </w:p>
        </w:tc>
        <w:tc>
          <w:tcPr>
            <w:tcW w:w="1109" w:type="pct"/>
            <w:tcBorders>
              <w:top w:val="single" w:color="000000" w:sz="4" w:space="0"/>
              <w:left w:val="single" w:color="000000" w:sz="4" w:space="0"/>
              <w:bottom w:val="single" w:color="000000" w:sz="4" w:space="0"/>
              <w:right w:val="single" w:color="000000" w:sz="4" w:space="0"/>
            </w:tcBorders>
            <w:vAlign w:val="center"/>
          </w:tcPr>
          <w:p>
            <w:pPr>
              <w:pStyle w:val="132"/>
            </w:pPr>
            <w:r>
              <w:t>混凝土翻斗车</w:t>
            </w:r>
          </w:p>
        </w:tc>
        <w:tc>
          <w:tcPr>
            <w:tcW w:w="1075" w:type="pct"/>
            <w:tcBorders>
              <w:top w:val="single" w:color="000000" w:sz="4" w:space="0"/>
              <w:left w:val="single" w:color="000000" w:sz="4" w:space="0"/>
              <w:bottom w:val="single" w:color="000000" w:sz="4" w:space="0"/>
              <w:right w:val="nil"/>
            </w:tcBorders>
            <w:vAlign w:val="center"/>
          </w:tcPr>
          <w:p>
            <w:pPr>
              <w:pStyle w:val="132"/>
            </w:pPr>
            <w:r>
              <w:t>90</w:t>
            </w:r>
          </w:p>
        </w:tc>
      </w:tr>
      <w:tr>
        <w:tblPrEx>
          <w:tblCellMar>
            <w:top w:w="0" w:type="dxa"/>
            <w:left w:w="0" w:type="dxa"/>
            <w:bottom w:w="0" w:type="dxa"/>
            <w:right w:w="0" w:type="dxa"/>
          </w:tblCellMar>
        </w:tblPrEx>
        <w:trPr>
          <w:trHeight w:val="18" w:hRule="atLeast"/>
          <w:jc w:val="center"/>
        </w:trPr>
        <w:tc>
          <w:tcPr>
            <w:tcW w:w="479" w:type="pct"/>
            <w:tcBorders>
              <w:top w:val="single" w:color="000000" w:sz="4" w:space="0"/>
              <w:left w:val="nil"/>
              <w:bottom w:val="single" w:color="000000" w:sz="4" w:space="0"/>
              <w:right w:val="single" w:color="000000" w:sz="4" w:space="0"/>
            </w:tcBorders>
            <w:vAlign w:val="center"/>
          </w:tcPr>
          <w:p>
            <w:pPr>
              <w:pStyle w:val="132"/>
            </w:pPr>
            <w:r>
              <w:t>3</w:t>
            </w:r>
          </w:p>
        </w:tc>
        <w:tc>
          <w:tcPr>
            <w:tcW w:w="919" w:type="pct"/>
            <w:tcBorders>
              <w:top w:val="single" w:color="000000" w:sz="4" w:space="0"/>
              <w:left w:val="single" w:color="000000" w:sz="4" w:space="0"/>
              <w:bottom w:val="single" w:color="000000" w:sz="4" w:space="0"/>
              <w:right w:val="single" w:color="000000" w:sz="4" w:space="0"/>
            </w:tcBorders>
            <w:vAlign w:val="center"/>
          </w:tcPr>
          <w:p>
            <w:pPr>
              <w:pStyle w:val="132"/>
            </w:pPr>
            <w:r>
              <w:t>电焊机</w:t>
            </w:r>
          </w:p>
        </w:tc>
        <w:tc>
          <w:tcPr>
            <w:tcW w:w="906" w:type="pct"/>
            <w:tcBorders>
              <w:top w:val="single" w:color="000000" w:sz="4" w:space="0"/>
              <w:left w:val="single" w:color="000000" w:sz="4" w:space="0"/>
              <w:bottom w:val="single" w:color="000000" w:sz="4" w:space="0"/>
              <w:right w:val="single" w:color="000000" w:sz="4" w:space="0"/>
            </w:tcBorders>
            <w:vAlign w:val="center"/>
          </w:tcPr>
          <w:p>
            <w:pPr>
              <w:pStyle w:val="132"/>
            </w:pPr>
            <w:r>
              <w:t>85</w:t>
            </w:r>
          </w:p>
        </w:tc>
        <w:tc>
          <w:tcPr>
            <w:tcW w:w="512" w:type="pct"/>
            <w:tcBorders>
              <w:top w:val="single" w:color="000000" w:sz="4" w:space="0"/>
              <w:left w:val="single" w:color="000000" w:sz="4" w:space="0"/>
              <w:bottom w:val="single" w:color="000000" w:sz="4" w:space="0"/>
              <w:right w:val="single" w:color="000000" w:sz="4" w:space="0"/>
            </w:tcBorders>
            <w:vAlign w:val="center"/>
          </w:tcPr>
          <w:p>
            <w:pPr>
              <w:pStyle w:val="132"/>
            </w:pPr>
            <w:r>
              <w:t>8</w:t>
            </w:r>
          </w:p>
        </w:tc>
        <w:tc>
          <w:tcPr>
            <w:tcW w:w="1109" w:type="pct"/>
            <w:tcBorders>
              <w:top w:val="single" w:color="000000" w:sz="4" w:space="0"/>
              <w:left w:val="single" w:color="000000" w:sz="4" w:space="0"/>
              <w:bottom w:val="single" w:color="000000" w:sz="4" w:space="0"/>
              <w:right w:val="single" w:color="000000" w:sz="4" w:space="0"/>
            </w:tcBorders>
            <w:vAlign w:val="center"/>
          </w:tcPr>
          <w:p>
            <w:pPr>
              <w:pStyle w:val="132"/>
            </w:pPr>
            <w:r>
              <w:t>混凝土震动棒</w:t>
            </w:r>
          </w:p>
        </w:tc>
        <w:tc>
          <w:tcPr>
            <w:tcW w:w="1075" w:type="pct"/>
            <w:tcBorders>
              <w:top w:val="single" w:color="000000" w:sz="4" w:space="0"/>
              <w:left w:val="single" w:color="000000" w:sz="4" w:space="0"/>
              <w:bottom w:val="single" w:color="000000" w:sz="4" w:space="0"/>
              <w:right w:val="nil"/>
            </w:tcBorders>
            <w:vAlign w:val="center"/>
          </w:tcPr>
          <w:p>
            <w:pPr>
              <w:pStyle w:val="132"/>
            </w:pPr>
            <w:r>
              <w:t>105</w:t>
            </w:r>
          </w:p>
        </w:tc>
      </w:tr>
      <w:tr>
        <w:tblPrEx>
          <w:tblCellMar>
            <w:top w:w="0" w:type="dxa"/>
            <w:left w:w="0" w:type="dxa"/>
            <w:bottom w:w="0" w:type="dxa"/>
            <w:right w:w="0" w:type="dxa"/>
          </w:tblCellMar>
        </w:tblPrEx>
        <w:trPr>
          <w:trHeight w:val="18" w:hRule="atLeast"/>
          <w:jc w:val="center"/>
        </w:trPr>
        <w:tc>
          <w:tcPr>
            <w:tcW w:w="479" w:type="pct"/>
            <w:tcBorders>
              <w:top w:val="single" w:color="000000" w:sz="4" w:space="0"/>
              <w:left w:val="nil"/>
              <w:bottom w:val="single" w:color="000000" w:sz="4" w:space="0"/>
              <w:right w:val="single" w:color="000000" w:sz="4" w:space="0"/>
            </w:tcBorders>
            <w:vAlign w:val="center"/>
          </w:tcPr>
          <w:p>
            <w:pPr>
              <w:pStyle w:val="132"/>
            </w:pPr>
            <w:r>
              <w:t>4</w:t>
            </w:r>
          </w:p>
        </w:tc>
        <w:tc>
          <w:tcPr>
            <w:tcW w:w="919" w:type="pct"/>
            <w:tcBorders>
              <w:top w:val="single" w:color="000000" w:sz="4" w:space="0"/>
              <w:left w:val="single" w:color="000000" w:sz="4" w:space="0"/>
              <w:bottom w:val="single" w:color="000000" w:sz="4" w:space="0"/>
              <w:right w:val="single" w:color="000000" w:sz="4" w:space="0"/>
            </w:tcBorders>
            <w:vAlign w:val="center"/>
          </w:tcPr>
          <w:p>
            <w:pPr>
              <w:pStyle w:val="132"/>
            </w:pPr>
            <w:r>
              <w:t>定向钻机</w:t>
            </w:r>
          </w:p>
        </w:tc>
        <w:tc>
          <w:tcPr>
            <w:tcW w:w="906" w:type="pct"/>
            <w:tcBorders>
              <w:top w:val="single" w:color="000000" w:sz="4" w:space="0"/>
              <w:left w:val="single" w:color="000000" w:sz="4" w:space="0"/>
              <w:bottom w:val="single" w:color="000000" w:sz="4" w:space="0"/>
              <w:right w:val="single" w:color="000000" w:sz="4" w:space="0"/>
            </w:tcBorders>
            <w:vAlign w:val="center"/>
          </w:tcPr>
          <w:p>
            <w:pPr>
              <w:pStyle w:val="132"/>
            </w:pPr>
            <w:r>
              <w:t>90</w:t>
            </w:r>
          </w:p>
        </w:tc>
        <w:tc>
          <w:tcPr>
            <w:tcW w:w="512" w:type="pct"/>
            <w:tcBorders>
              <w:top w:val="single" w:color="000000" w:sz="4" w:space="0"/>
              <w:left w:val="single" w:color="000000" w:sz="4" w:space="0"/>
              <w:bottom w:val="single" w:color="000000" w:sz="4" w:space="0"/>
              <w:right w:val="single" w:color="000000" w:sz="4" w:space="0"/>
            </w:tcBorders>
            <w:vAlign w:val="center"/>
          </w:tcPr>
          <w:p>
            <w:pPr>
              <w:pStyle w:val="132"/>
            </w:pPr>
            <w:r>
              <w:t>9</w:t>
            </w:r>
          </w:p>
        </w:tc>
        <w:tc>
          <w:tcPr>
            <w:tcW w:w="1109" w:type="pct"/>
            <w:tcBorders>
              <w:top w:val="single" w:color="000000" w:sz="4" w:space="0"/>
              <w:left w:val="single" w:color="000000" w:sz="4" w:space="0"/>
              <w:bottom w:val="single" w:color="000000" w:sz="4" w:space="0"/>
              <w:right w:val="single" w:color="000000" w:sz="4" w:space="0"/>
            </w:tcBorders>
            <w:vAlign w:val="center"/>
          </w:tcPr>
          <w:p>
            <w:pPr>
              <w:pStyle w:val="132"/>
            </w:pPr>
            <w:r>
              <w:t>切割机</w:t>
            </w:r>
          </w:p>
        </w:tc>
        <w:tc>
          <w:tcPr>
            <w:tcW w:w="1075" w:type="pct"/>
            <w:tcBorders>
              <w:top w:val="single" w:color="000000" w:sz="4" w:space="0"/>
              <w:left w:val="single" w:color="000000" w:sz="4" w:space="0"/>
              <w:bottom w:val="single" w:color="000000" w:sz="4" w:space="0"/>
              <w:right w:val="nil"/>
            </w:tcBorders>
            <w:vAlign w:val="center"/>
          </w:tcPr>
          <w:p>
            <w:pPr>
              <w:pStyle w:val="132"/>
            </w:pPr>
            <w:r>
              <w:t>95</w:t>
            </w:r>
          </w:p>
        </w:tc>
      </w:tr>
      <w:tr>
        <w:tblPrEx>
          <w:tblCellMar>
            <w:top w:w="0" w:type="dxa"/>
            <w:left w:w="0" w:type="dxa"/>
            <w:bottom w:w="0" w:type="dxa"/>
            <w:right w:w="0" w:type="dxa"/>
          </w:tblCellMar>
        </w:tblPrEx>
        <w:trPr>
          <w:trHeight w:val="18" w:hRule="atLeast"/>
          <w:jc w:val="center"/>
        </w:trPr>
        <w:tc>
          <w:tcPr>
            <w:tcW w:w="479" w:type="pct"/>
            <w:tcBorders>
              <w:top w:val="single" w:color="000000" w:sz="4" w:space="0"/>
              <w:left w:val="nil"/>
              <w:bottom w:val="single" w:color="000000" w:sz="12" w:space="0"/>
              <w:right w:val="single" w:color="000000" w:sz="4" w:space="0"/>
            </w:tcBorders>
            <w:vAlign w:val="center"/>
          </w:tcPr>
          <w:p>
            <w:pPr>
              <w:pStyle w:val="132"/>
            </w:pPr>
            <w:r>
              <w:t>5</w:t>
            </w:r>
          </w:p>
        </w:tc>
        <w:tc>
          <w:tcPr>
            <w:tcW w:w="919" w:type="pct"/>
            <w:tcBorders>
              <w:top w:val="single" w:color="000000" w:sz="4" w:space="0"/>
              <w:left w:val="single" w:color="000000" w:sz="4" w:space="0"/>
              <w:bottom w:val="single" w:color="000000" w:sz="12" w:space="0"/>
              <w:right w:val="single" w:color="000000" w:sz="4" w:space="0"/>
            </w:tcBorders>
            <w:vAlign w:val="center"/>
          </w:tcPr>
          <w:p>
            <w:pPr>
              <w:pStyle w:val="132"/>
            </w:pPr>
            <w:r>
              <w:t>推土机</w:t>
            </w:r>
          </w:p>
        </w:tc>
        <w:tc>
          <w:tcPr>
            <w:tcW w:w="906" w:type="pct"/>
            <w:tcBorders>
              <w:top w:val="single" w:color="000000" w:sz="4" w:space="0"/>
              <w:left w:val="single" w:color="000000" w:sz="4" w:space="0"/>
              <w:bottom w:val="single" w:color="000000" w:sz="12" w:space="0"/>
              <w:right w:val="single" w:color="000000" w:sz="4" w:space="0"/>
            </w:tcBorders>
            <w:vAlign w:val="center"/>
          </w:tcPr>
          <w:p>
            <w:pPr>
              <w:pStyle w:val="132"/>
            </w:pPr>
            <w:r>
              <w:t>90</w:t>
            </w:r>
          </w:p>
        </w:tc>
        <w:tc>
          <w:tcPr>
            <w:tcW w:w="512" w:type="pct"/>
            <w:tcBorders>
              <w:top w:val="single" w:color="000000" w:sz="4" w:space="0"/>
              <w:left w:val="single" w:color="000000" w:sz="4" w:space="0"/>
              <w:bottom w:val="single" w:color="000000" w:sz="12" w:space="0"/>
              <w:right w:val="single" w:color="000000" w:sz="4" w:space="0"/>
            </w:tcBorders>
            <w:vAlign w:val="center"/>
          </w:tcPr>
          <w:p>
            <w:pPr>
              <w:pStyle w:val="132"/>
            </w:pPr>
            <w:r>
              <w:t>10</w:t>
            </w:r>
          </w:p>
        </w:tc>
        <w:tc>
          <w:tcPr>
            <w:tcW w:w="1109" w:type="pct"/>
            <w:tcBorders>
              <w:top w:val="single" w:color="000000" w:sz="4" w:space="0"/>
              <w:left w:val="single" w:color="000000" w:sz="4" w:space="0"/>
              <w:bottom w:val="single" w:color="000000" w:sz="12" w:space="0"/>
              <w:right w:val="single" w:color="000000" w:sz="4" w:space="0"/>
            </w:tcBorders>
            <w:vAlign w:val="center"/>
          </w:tcPr>
          <w:p>
            <w:pPr>
              <w:pStyle w:val="132"/>
            </w:pPr>
            <w:r>
              <w:t>柴油发电机</w:t>
            </w:r>
          </w:p>
        </w:tc>
        <w:tc>
          <w:tcPr>
            <w:tcW w:w="1075" w:type="pct"/>
            <w:tcBorders>
              <w:top w:val="single" w:color="000000" w:sz="4" w:space="0"/>
              <w:left w:val="single" w:color="000000" w:sz="4" w:space="0"/>
              <w:bottom w:val="single" w:color="000000" w:sz="12" w:space="0"/>
              <w:right w:val="nil"/>
            </w:tcBorders>
            <w:vAlign w:val="center"/>
          </w:tcPr>
          <w:p>
            <w:pPr>
              <w:pStyle w:val="132"/>
            </w:pPr>
            <w:r>
              <w:t>100</w:t>
            </w:r>
          </w:p>
        </w:tc>
      </w:tr>
    </w:tbl>
    <w:p>
      <w:pPr>
        <w:topLinePunct w:val="0"/>
        <w:snapToGrid w:val="0"/>
        <w:spacing w:beforeLines="50"/>
        <w:ind w:firstLine="480" w:firstLineChars="0"/>
        <w:jc w:val="center"/>
        <w:rPr>
          <w:rFonts w:ascii="Times New Roman" w:cs="Times New Roman"/>
          <w:b/>
          <w:kern w:val="2"/>
          <w:sz w:val="21"/>
          <w:szCs w:val="20"/>
        </w:rPr>
      </w:pPr>
      <w:bookmarkStart w:id="326" w:name="_Ref471280915"/>
      <w:r>
        <w:rPr>
          <w:rFonts w:ascii="Times New Roman" w:cs="Times New Roman"/>
          <w:b/>
          <w:kern w:val="2"/>
          <w:sz w:val="21"/>
          <w:szCs w:val="20"/>
        </w:rPr>
        <w:t>表</w:t>
      </w:r>
      <w:bookmarkEnd w:id="326"/>
      <w:bookmarkStart w:id="327" w:name="OLE_LINK254"/>
      <w:bookmarkStart w:id="328" w:name="OLE_LINK253"/>
      <w:r>
        <w:rPr>
          <w:rFonts w:ascii="Times New Roman" w:cs="Times New Roman"/>
          <w:b/>
          <w:sz w:val="21"/>
          <w:szCs w:val="21"/>
        </w:rPr>
        <w:t>4.1-10</w:t>
      </w:r>
      <w:bookmarkEnd w:id="327"/>
      <w:bookmarkEnd w:id="328"/>
      <w:r>
        <w:rPr>
          <w:rFonts w:ascii="Times New Roman" w:cs="Times New Roman"/>
          <w:b/>
          <w:kern w:val="2"/>
          <w:sz w:val="21"/>
          <w:szCs w:val="20"/>
        </w:rPr>
        <w:t xml:space="preserve">  </w:t>
      </w:r>
      <w:bookmarkStart w:id="329" w:name="OLE_LINK82"/>
      <w:bookmarkStart w:id="330" w:name="OLE_LINK81"/>
      <w:r>
        <w:rPr>
          <w:rFonts w:ascii="Times New Roman" w:cs="Times New Roman"/>
          <w:b/>
          <w:kern w:val="2"/>
          <w:sz w:val="21"/>
          <w:szCs w:val="20"/>
        </w:rPr>
        <w:t>钻井、压裂、测试放喷噪声</w:t>
      </w:r>
      <w:bookmarkEnd w:id="329"/>
      <w:bookmarkEnd w:id="330"/>
      <w:r>
        <w:rPr>
          <w:rFonts w:ascii="Times New Roman" w:cs="Times New Roman"/>
          <w:b/>
          <w:kern w:val="2"/>
          <w:sz w:val="21"/>
          <w:szCs w:val="20"/>
        </w:rPr>
        <w:t>产生情况一览表</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6" w:type="dxa"/>
          <w:bottom w:w="0" w:type="dxa"/>
          <w:right w:w="6" w:type="dxa"/>
        </w:tblCellMar>
      </w:tblPr>
      <w:tblGrid>
        <w:gridCol w:w="871"/>
        <w:gridCol w:w="1350"/>
        <w:gridCol w:w="1244"/>
        <w:gridCol w:w="1071"/>
        <w:gridCol w:w="2608"/>
        <w:gridCol w:w="11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tblHeader/>
          <w:jc w:val="center"/>
        </w:trPr>
        <w:tc>
          <w:tcPr>
            <w:tcW w:w="852"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hAnsi="宋体" w:cs="Times New Roman"/>
                <w:b/>
                <w:kern w:val="2"/>
                <w:sz w:val="21"/>
                <w:szCs w:val="21"/>
              </w:rPr>
              <w:t>声源名称</w:t>
            </w:r>
          </w:p>
        </w:tc>
        <w:tc>
          <w:tcPr>
            <w:tcW w:w="1321"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hAnsi="宋体" w:cs="Times New Roman"/>
                <w:b/>
                <w:kern w:val="2"/>
                <w:sz w:val="21"/>
                <w:szCs w:val="21"/>
              </w:rPr>
              <w:t>数量（台）</w:t>
            </w:r>
          </w:p>
        </w:tc>
        <w:tc>
          <w:tcPr>
            <w:tcW w:w="1217"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hAnsi="宋体" w:cs="Times New Roman"/>
                <w:b/>
                <w:kern w:val="2"/>
                <w:sz w:val="21"/>
                <w:szCs w:val="21"/>
              </w:rPr>
              <w:t>声级</w:t>
            </w:r>
            <w:r>
              <w:rPr>
                <w:rFonts w:ascii="Times New Roman" w:cs="Times New Roman"/>
                <w:b/>
                <w:kern w:val="2"/>
                <w:sz w:val="21"/>
                <w:szCs w:val="21"/>
              </w:rPr>
              <w:t>dB</w:t>
            </w:r>
            <w:r>
              <w:rPr>
                <w:rFonts w:ascii="Times New Roman" w:hAnsi="宋体" w:cs="Times New Roman"/>
                <w:b/>
                <w:kern w:val="2"/>
                <w:sz w:val="21"/>
                <w:szCs w:val="21"/>
              </w:rPr>
              <w:t>（</w:t>
            </w:r>
            <w:r>
              <w:rPr>
                <w:rFonts w:ascii="Times New Roman" w:cs="Times New Roman"/>
                <w:b/>
                <w:kern w:val="2"/>
                <w:sz w:val="21"/>
                <w:szCs w:val="21"/>
              </w:rPr>
              <w:t>A</w:t>
            </w:r>
            <w:r>
              <w:rPr>
                <w:rFonts w:ascii="Times New Roman" w:hAnsi="宋体" w:cs="Times New Roman"/>
                <w:b/>
                <w:kern w:val="2"/>
                <w:sz w:val="21"/>
                <w:szCs w:val="21"/>
              </w:rPr>
              <w:t>）</w:t>
            </w:r>
          </w:p>
        </w:tc>
        <w:tc>
          <w:tcPr>
            <w:tcW w:w="1048"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hAnsi="宋体" w:cs="Times New Roman"/>
                <w:b/>
                <w:kern w:val="2"/>
                <w:sz w:val="21"/>
                <w:szCs w:val="21"/>
              </w:rPr>
              <w:t>声源高度（</w:t>
            </w:r>
            <w:r>
              <w:rPr>
                <w:rFonts w:ascii="Times New Roman" w:cs="Times New Roman"/>
                <w:b/>
                <w:kern w:val="2"/>
                <w:sz w:val="21"/>
                <w:szCs w:val="21"/>
              </w:rPr>
              <w:t>m</w:t>
            </w:r>
            <w:r>
              <w:rPr>
                <w:rFonts w:ascii="Times New Roman" w:hAnsi="宋体" w:cs="Times New Roman"/>
                <w:b/>
                <w:kern w:val="2"/>
                <w:sz w:val="21"/>
                <w:szCs w:val="21"/>
              </w:rPr>
              <w:t>）</w:t>
            </w:r>
          </w:p>
        </w:tc>
        <w:tc>
          <w:tcPr>
            <w:tcW w:w="2551"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hAnsi="宋体" w:cs="Times New Roman"/>
                <w:b/>
                <w:kern w:val="2"/>
                <w:sz w:val="21"/>
                <w:szCs w:val="21"/>
              </w:rPr>
              <w:t>运行时段</w:t>
            </w:r>
          </w:p>
        </w:tc>
        <w:tc>
          <w:tcPr>
            <w:tcW w:w="1148"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hAnsi="宋体" w:cs="Times New Roman"/>
                <w:b/>
                <w:kern w:val="2"/>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85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钻机</w:t>
            </w:r>
          </w:p>
        </w:tc>
        <w:tc>
          <w:tcPr>
            <w:tcW w:w="132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121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85</w:t>
            </w:r>
            <w:r>
              <w:rPr>
                <w:rFonts w:ascii="Times New Roman" w:hAnsi="宋体" w:cs="Times New Roman"/>
                <w:kern w:val="2"/>
                <w:sz w:val="21"/>
                <w:szCs w:val="21"/>
              </w:rPr>
              <w:t>～</w:t>
            </w:r>
            <w:r>
              <w:rPr>
                <w:rFonts w:ascii="Times New Roman" w:cs="Times New Roman"/>
                <w:kern w:val="2"/>
                <w:sz w:val="21"/>
                <w:szCs w:val="21"/>
              </w:rPr>
              <w:t>95</w:t>
            </w:r>
          </w:p>
        </w:tc>
        <w:tc>
          <w:tcPr>
            <w:tcW w:w="104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255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气体钻、常规钻</w:t>
            </w:r>
          </w:p>
        </w:tc>
        <w:tc>
          <w:tcPr>
            <w:tcW w:w="114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单台声源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85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空压机</w:t>
            </w:r>
          </w:p>
        </w:tc>
        <w:tc>
          <w:tcPr>
            <w:tcW w:w="132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w:t>
            </w:r>
            <w:r>
              <w:rPr>
                <w:rFonts w:ascii="Times New Roman" w:hAnsi="宋体" w:cs="Times New Roman"/>
                <w:kern w:val="2"/>
                <w:sz w:val="21"/>
                <w:szCs w:val="21"/>
              </w:rPr>
              <w:t>（</w:t>
            </w:r>
            <w:r>
              <w:rPr>
                <w:rFonts w:ascii="Times New Roman" w:cs="Times New Roman"/>
                <w:kern w:val="2"/>
                <w:sz w:val="21"/>
                <w:szCs w:val="21"/>
              </w:rPr>
              <w:t>6</w:t>
            </w:r>
            <w:r>
              <w:rPr>
                <w:rFonts w:ascii="Times New Roman" w:hAnsi="宋体" w:cs="Times New Roman"/>
                <w:kern w:val="2"/>
                <w:sz w:val="21"/>
                <w:szCs w:val="21"/>
              </w:rPr>
              <w:t>用</w:t>
            </w:r>
            <w:r>
              <w:rPr>
                <w:rFonts w:ascii="Times New Roman" w:cs="Times New Roman"/>
                <w:kern w:val="2"/>
                <w:sz w:val="21"/>
                <w:szCs w:val="21"/>
              </w:rPr>
              <w:t>2</w:t>
            </w:r>
            <w:r>
              <w:rPr>
                <w:rFonts w:ascii="Times New Roman" w:hAnsi="宋体" w:cs="Times New Roman"/>
                <w:kern w:val="2"/>
                <w:sz w:val="21"/>
                <w:szCs w:val="21"/>
              </w:rPr>
              <w:t>备）</w:t>
            </w:r>
          </w:p>
        </w:tc>
        <w:tc>
          <w:tcPr>
            <w:tcW w:w="121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90</w:t>
            </w:r>
            <w:r>
              <w:rPr>
                <w:rFonts w:ascii="Times New Roman" w:hAnsi="宋体" w:cs="Times New Roman"/>
                <w:kern w:val="2"/>
                <w:sz w:val="21"/>
                <w:szCs w:val="21"/>
              </w:rPr>
              <w:t>～</w:t>
            </w:r>
            <w:r>
              <w:rPr>
                <w:rFonts w:ascii="Times New Roman" w:cs="Times New Roman"/>
                <w:kern w:val="2"/>
                <w:sz w:val="21"/>
                <w:szCs w:val="21"/>
              </w:rPr>
              <w:t>95</w:t>
            </w:r>
          </w:p>
        </w:tc>
        <w:tc>
          <w:tcPr>
            <w:tcW w:w="104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255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气体钻（钻井时间</w:t>
            </w:r>
            <w:r>
              <w:rPr>
                <w:rFonts w:hint="eastAsia" w:ascii="Times New Roman" w:cs="Times New Roman"/>
                <w:kern w:val="2"/>
                <w:sz w:val="21"/>
                <w:szCs w:val="21"/>
              </w:rPr>
              <w:t>43</w:t>
            </w:r>
            <w:r>
              <w:rPr>
                <w:rFonts w:ascii="Times New Roman" w:cs="Times New Roman"/>
                <w:kern w:val="2"/>
                <w:sz w:val="21"/>
                <w:szCs w:val="21"/>
              </w:rPr>
              <w:t>d</w:t>
            </w:r>
            <w:r>
              <w:rPr>
                <w:rFonts w:ascii="Times New Roman" w:hAnsi="宋体" w:cs="Times New Roman"/>
                <w:kern w:val="2"/>
                <w:sz w:val="21"/>
                <w:szCs w:val="21"/>
              </w:rPr>
              <w:t>）</w:t>
            </w:r>
          </w:p>
        </w:tc>
        <w:tc>
          <w:tcPr>
            <w:tcW w:w="114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单台声源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85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增压机</w:t>
            </w:r>
          </w:p>
        </w:tc>
        <w:tc>
          <w:tcPr>
            <w:tcW w:w="132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w:t>
            </w:r>
          </w:p>
        </w:tc>
        <w:tc>
          <w:tcPr>
            <w:tcW w:w="121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90</w:t>
            </w:r>
            <w:r>
              <w:rPr>
                <w:rFonts w:ascii="Times New Roman" w:hAnsi="宋体" w:cs="Times New Roman"/>
                <w:kern w:val="2"/>
                <w:sz w:val="21"/>
                <w:szCs w:val="21"/>
              </w:rPr>
              <w:t>～</w:t>
            </w:r>
            <w:r>
              <w:rPr>
                <w:rFonts w:ascii="Times New Roman" w:cs="Times New Roman"/>
                <w:kern w:val="2"/>
                <w:sz w:val="21"/>
                <w:szCs w:val="21"/>
              </w:rPr>
              <w:t>95</w:t>
            </w:r>
          </w:p>
        </w:tc>
        <w:tc>
          <w:tcPr>
            <w:tcW w:w="104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255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气体钻（钻井时间</w:t>
            </w:r>
            <w:r>
              <w:rPr>
                <w:rFonts w:hint="eastAsia" w:ascii="Times New Roman" w:cs="Times New Roman"/>
                <w:kern w:val="2"/>
                <w:sz w:val="21"/>
                <w:szCs w:val="21"/>
              </w:rPr>
              <w:t>43</w:t>
            </w:r>
            <w:r>
              <w:rPr>
                <w:rFonts w:ascii="Times New Roman" w:cs="Times New Roman"/>
                <w:kern w:val="2"/>
                <w:sz w:val="21"/>
                <w:szCs w:val="21"/>
              </w:rPr>
              <w:t>d</w:t>
            </w:r>
            <w:r>
              <w:rPr>
                <w:rFonts w:ascii="Times New Roman" w:hAnsi="宋体" w:cs="Times New Roman"/>
                <w:kern w:val="2"/>
                <w:sz w:val="21"/>
                <w:szCs w:val="21"/>
              </w:rPr>
              <w:t>）</w:t>
            </w:r>
          </w:p>
        </w:tc>
        <w:tc>
          <w:tcPr>
            <w:tcW w:w="114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单台声源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85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泥浆泵</w:t>
            </w:r>
          </w:p>
        </w:tc>
        <w:tc>
          <w:tcPr>
            <w:tcW w:w="132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121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85</w:t>
            </w:r>
            <w:r>
              <w:rPr>
                <w:rFonts w:ascii="Times New Roman" w:hAnsi="宋体" w:cs="Times New Roman"/>
                <w:kern w:val="2"/>
                <w:sz w:val="21"/>
                <w:szCs w:val="21"/>
              </w:rPr>
              <w:t>～</w:t>
            </w:r>
            <w:r>
              <w:rPr>
                <w:rFonts w:ascii="Times New Roman" w:cs="Times New Roman"/>
                <w:kern w:val="2"/>
                <w:sz w:val="21"/>
                <w:szCs w:val="21"/>
              </w:rPr>
              <w:t>95</w:t>
            </w:r>
          </w:p>
        </w:tc>
        <w:tc>
          <w:tcPr>
            <w:tcW w:w="104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255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常规钻（钻井时间</w:t>
            </w:r>
            <w:r>
              <w:rPr>
                <w:rFonts w:hint="eastAsia" w:ascii="Times New Roman" w:cs="Times New Roman"/>
                <w:kern w:val="2"/>
                <w:sz w:val="21"/>
                <w:szCs w:val="21"/>
              </w:rPr>
              <w:t>87</w:t>
            </w:r>
            <w:r>
              <w:rPr>
                <w:rFonts w:ascii="Times New Roman" w:cs="Times New Roman"/>
                <w:kern w:val="2"/>
                <w:sz w:val="21"/>
                <w:szCs w:val="21"/>
              </w:rPr>
              <w:t>d</w:t>
            </w:r>
            <w:r>
              <w:rPr>
                <w:rFonts w:ascii="Times New Roman" w:hAnsi="宋体" w:cs="Times New Roman"/>
                <w:kern w:val="2"/>
                <w:sz w:val="21"/>
                <w:szCs w:val="21"/>
              </w:rPr>
              <w:t>）</w:t>
            </w:r>
          </w:p>
        </w:tc>
        <w:tc>
          <w:tcPr>
            <w:tcW w:w="114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单台声源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85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振动筛</w:t>
            </w:r>
          </w:p>
        </w:tc>
        <w:tc>
          <w:tcPr>
            <w:tcW w:w="132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121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80</w:t>
            </w:r>
            <w:r>
              <w:rPr>
                <w:rFonts w:ascii="Times New Roman" w:hAnsi="宋体" w:cs="Times New Roman"/>
                <w:kern w:val="2"/>
                <w:sz w:val="21"/>
                <w:szCs w:val="21"/>
              </w:rPr>
              <w:t>～</w:t>
            </w:r>
            <w:r>
              <w:rPr>
                <w:rFonts w:ascii="Times New Roman" w:cs="Times New Roman"/>
                <w:kern w:val="2"/>
                <w:sz w:val="21"/>
                <w:szCs w:val="21"/>
              </w:rPr>
              <w:t>90</w:t>
            </w:r>
          </w:p>
        </w:tc>
        <w:tc>
          <w:tcPr>
            <w:tcW w:w="104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255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常规钻（钻井时间</w:t>
            </w:r>
            <w:r>
              <w:rPr>
                <w:rFonts w:hint="eastAsia" w:ascii="Times New Roman" w:cs="Times New Roman"/>
                <w:kern w:val="2"/>
                <w:sz w:val="21"/>
                <w:szCs w:val="21"/>
              </w:rPr>
              <w:t>87</w:t>
            </w:r>
            <w:r>
              <w:rPr>
                <w:rFonts w:ascii="Times New Roman" w:cs="Times New Roman"/>
                <w:kern w:val="2"/>
                <w:sz w:val="21"/>
                <w:szCs w:val="21"/>
              </w:rPr>
              <w:t>d</w:t>
            </w:r>
            <w:r>
              <w:rPr>
                <w:rFonts w:ascii="Times New Roman" w:hAnsi="宋体" w:cs="Times New Roman"/>
                <w:kern w:val="2"/>
                <w:sz w:val="21"/>
                <w:szCs w:val="21"/>
              </w:rPr>
              <w:t>）</w:t>
            </w:r>
          </w:p>
        </w:tc>
        <w:tc>
          <w:tcPr>
            <w:tcW w:w="114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单台声源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85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离心机</w:t>
            </w:r>
          </w:p>
        </w:tc>
        <w:tc>
          <w:tcPr>
            <w:tcW w:w="132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121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80</w:t>
            </w:r>
            <w:r>
              <w:rPr>
                <w:rFonts w:ascii="Times New Roman" w:hAnsi="宋体" w:cs="Times New Roman"/>
                <w:kern w:val="2"/>
                <w:sz w:val="21"/>
                <w:szCs w:val="21"/>
              </w:rPr>
              <w:t>～</w:t>
            </w:r>
            <w:r>
              <w:rPr>
                <w:rFonts w:ascii="Times New Roman" w:cs="Times New Roman"/>
                <w:kern w:val="2"/>
                <w:sz w:val="21"/>
                <w:szCs w:val="21"/>
              </w:rPr>
              <w:t>90</w:t>
            </w:r>
          </w:p>
        </w:tc>
        <w:tc>
          <w:tcPr>
            <w:tcW w:w="104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255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常规钻（钻井时间</w:t>
            </w:r>
            <w:r>
              <w:rPr>
                <w:rFonts w:hint="eastAsia" w:ascii="Times New Roman" w:cs="Times New Roman"/>
                <w:kern w:val="2"/>
                <w:sz w:val="21"/>
                <w:szCs w:val="21"/>
              </w:rPr>
              <w:t>87</w:t>
            </w:r>
            <w:r>
              <w:rPr>
                <w:rFonts w:ascii="Times New Roman" w:cs="Times New Roman"/>
                <w:kern w:val="2"/>
                <w:sz w:val="21"/>
                <w:szCs w:val="21"/>
              </w:rPr>
              <w:t>d</w:t>
            </w:r>
            <w:r>
              <w:rPr>
                <w:rFonts w:ascii="Times New Roman" w:hAnsi="宋体" w:cs="Times New Roman"/>
                <w:kern w:val="2"/>
                <w:sz w:val="21"/>
                <w:szCs w:val="21"/>
              </w:rPr>
              <w:t>）</w:t>
            </w:r>
          </w:p>
        </w:tc>
        <w:tc>
          <w:tcPr>
            <w:tcW w:w="114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单台声源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85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压裂泵</w:t>
            </w:r>
          </w:p>
        </w:tc>
        <w:tc>
          <w:tcPr>
            <w:tcW w:w="132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w:t>
            </w:r>
          </w:p>
        </w:tc>
        <w:tc>
          <w:tcPr>
            <w:tcW w:w="121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95</w:t>
            </w:r>
            <w:r>
              <w:rPr>
                <w:rFonts w:ascii="Times New Roman" w:hAnsi="宋体" w:cs="Times New Roman"/>
                <w:kern w:val="2"/>
                <w:sz w:val="21"/>
                <w:szCs w:val="21"/>
              </w:rPr>
              <w:t>～</w:t>
            </w:r>
            <w:r>
              <w:rPr>
                <w:rFonts w:ascii="Times New Roman" w:cs="Times New Roman"/>
                <w:kern w:val="2"/>
                <w:sz w:val="21"/>
                <w:szCs w:val="21"/>
              </w:rPr>
              <w:t>100</w:t>
            </w:r>
          </w:p>
        </w:tc>
        <w:tc>
          <w:tcPr>
            <w:tcW w:w="104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255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压裂</w:t>
            </w:r>
          </w:p>
        </w:tc>
        <w:tc>
          <w:tcPr>
            <w:tcW w:w="114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单台声源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85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测试放喷</w:t>
            </w:r>
          </w:p>
        </w:tc>
        <w:tc>
          <w:tcPr>
            <w:tcW w:w="132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121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95</w:t>
            </w:r>
            <w:r>
              <w:rPr>
                <w:rFonts w:ascii="Times New Roman" w:hAnsi="宋体" w:cs="Times New Roman"/>
                <w:kern w:val="2"/>
                <w:sz w:val="21"/>
                <w:szCs w:val="21"/>
              </w:rPr>
              <w:t>～</w:t>
            </w:r>
            <w:r>
              <w:rPr>
                <w:rFonts w:ascii="Times New Roman" w:cs="Times New Roman"/>
                <w:kern w:val="2"/>
                <w:sz w:val="21"/>
                <w:szCs w:val="21"/>
              </w:rPr>
              <w:t>105</w:t>
            </w:r>
          </w:p>
        </w:tc>
        <w:tc>
          <w:tcPr>
            <w:tcW w:w="104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0.2</w:t>
            </w:r>
          </w:p>
        </w:tc>
        <w:tc>
          <w:tcPr>
            <w:tcW w:w="255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4h</w:t>
            </w:r>
            <w:r>
              <w:rPr>
                <w:rFonts w:ascii="Times New Roman" w:hAnsi="宋体" w:cs="Times New Roman"/>
                <w:kern w:val="2"/>
                <w:sz w:val="21"/>
                <w:szCs w:val="21"/>
              </w:rPr>
              <w:t>～</w:t>
            </w:r>
            <w:r>
              <w:rPr>
                <w:rFonts w:ascii="Times New Roman" w:cs="Times New Roman"/>
                <w:kern w:val="2"/>
                <w:sz w:val="21"/>
                <w:szCs w:val="21"/>
              </w:rPr>
              <w:t>6h</w:t>
            </w:r>
          </w:p>
        </w:tc>
        <w:tc>
          <w:tcPr>
            <w:tcW w:w="114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临时排放</w:t>
            </w:r>
          </w:p>
        </w:tc>
      </w:tr>
    </w:tbl>
    <w:p>
      <w:pPr>
        <w:pStyle w:val="112"/>
        <w:ind w:firstLine="480"/>
      </w:pPr>
      <w:r>
        <w:t>环评要求：项目在施工期间</w:t>
      </w:r>
      <w:bookmarkStart w:id="331" w:name="OLE_LINK121"/>
      <w:bookmarkStart w:id="332" w:name="OLE_LINK122"/>
      <w:bookmarkStart w:id="333" w:name="OLE_LINK125"/>
      <w:bookmarkStart w:id="334" w:name="OLE_LINK126"/>
      <w:r>
        <w:t>合理安排施工作业时间，合理布局施工现场；夜间原则上禁止施工</w:t>
      </w:r>
      <w:bookmarkEnd w:id="331"/>
      <w:bookmarkEnd w:id="332"/>
      <w:r>
        <w:t>，若遇特定工艺需连续作业需报相关部门同意后，方可开展夜间施工，同时做好夜间环境保护防护及应急措施；在施工沿线居民集中点设挡声板</w:t>
      </w:r>
      <w:bookmarkEnd w:id="333"/>
      <w:bookmarkEnd w:id="334"/>
      <w:r>
        <w:rPr>
          <w:rFonts w:hint="eastAsia"/>
        </w:rPr>
        <w:t>；</w:t>
      </w:r>
      <w:bookmarkStart w:id="335" w:name="OLE_LINK129"/>
      <w:bookmarkStart w:id="336" w:name="OLE_LINK130"/>
      <w:r>
        <w:rPr>
          <w:rFonts w:hint="eastAsia"/>
        </w:rPr>
        <w:t>钻井施工采用网电</w:t>
      </w:r>
      <w:bookmarkEnd w:id="335"/>
      <w:bookmarkEnd w:id="336"/>
      <w:r>
        <w:t>。</w:t>
      </w:r>
    </w:p>
    <w:bookmarkEnd w:id="323"/>
    <w:p>
      <w:pPr>
        <w:pStyle w:val="4"/>
        <w:rPr>
          <w:rFonts w:eastAsia="宋体"/>
        </w:rPr>
      </w:pPr>
      <w:bookmarkStart w:id="337" w:name="_Toc12288514"/>
      <w:r>
        <w:rPr>
          <w:rFonts w:eastAsia="宋体"/>
          <w:bCs/>
        </w:rPr>
        <w:t>4.1.7</w:t>
      </w:r>
      <w:r>
        <w:rPr>
          <w:rFonts w:eastAsia="宋体"/>
        </w:rPr>
        <w:t xml:space="preserve"> </w:t>
      </w:r>
      <w:bookmarkEnd w:id="337"/>
      <w:r>
        <w:rPr>
          <w:rFonts w:eastAsia="宋体"/>
        </w:rPr>
        <w:t>固体废物产生情况及治理措施</w:t>
      </w:r>
    </w:p>
    <w:p>
      <w:pPr>
        <w:pStyle w:val="112"/>
        <w:ind w:firstLine="480"/>
      </w:pPr>
      <w:bookmarkStart w:id="338" w:name="_Hlk56969655"/>
      <w:r>
        <w:t>施工期产生的固体废物主要为生活垃圾、施工废料、</w:t>
      </w:r>
      <w:bookmarkStart w:id="339" w:name="OLE_LINK239"/>
      <w:bookmarkStart w:id="340" w:name="OLE_LINK240"/>
      <w:r>
        <w:rPr>
          <w:rFonts w:hint="eastAsia"/>
        </w:rPr>
        <w:t>土石方、</w:t>
      </w:r>
      <w:r>
        <w:t>钻井岩屑</w:t>
      </w:r>
      <w:r>
        <w:rPr>
          <w:rFonts w:hint="eastAsia"/>
        </w:rPr>
        <w:t>、</w:t>
      </w:r>
      <w:r>
        <w:t>废泥浆</w:t>
      </w:r>
      <w:r>
        <w:rPr>
          <w:rFonts w:hint="eastAsia"/>
        </w:rPr>
        <w:t>、废油</w:t>
      </w:r>
      <w:bookmarkEnd w:id="339"/>
      <w:bookmarkEnd w:id="340"/>
      <w:r>
        <w:t>等。</w:t>
      </w:r>
    </w:p>
    <w:p>
      <w:pPr>
        <w:pStyle w:val="112"/>
        <w:ind w:firstLine="482"/>
        <w:rPr>
          <w:b/>
          <w:bCs/>
        </w:rPr>
      </w:pPr>
      <w:r>
        <w:rPr>
          <w:b/>
          <w:bCs/>
        </w:rPr>
        <w:t>1、生活垃圾</w:t>
      </w:r>
    </w:p>
    <w:p>
      <w:pPr>
        <w:pStyle w:val="112"/>
        <w:ind w:firstLine="480"/>
      </w:pPr>
      <w:bookmarkStart w:id="341" w:name="_Hlk43111258"/>
      <w:r>
        <w:t>施工人员生活垃圾主要产生于依托的当地旅馆、饭店和居民，由果皮、一次性水杯、饮料瓶、塑料袋、报纸、杂志、食品垃圾等有机物组成。施工人员生活垃圾排放量约为0.5kg/（人·日）。本项目施工期</w:t>
      </w:r>
      <w:r>
        <w:rPr>
          <w:rFonts w:hint="eastAsia"/>
        </w:rPr>
        <w:t>站场、管道</w:t>
      </w:r>
      <w:r>
        <w:t>施工</w:t>
      </w:r>
      <w:bookmarkStart w:id="342" w:name="OLE_LINK236"/>
      <w:r>
        <w:t>人员约20人</w:t>
      </w:r>
      <w:bookmarkEnd w:id="342"/>
      <w:r>
        <w:t>，</w:t>
      </w:r>
      <w:r>
        <w:rPr>
          <w:rFonts w:hint="eastAsia"/>
        </w:rPr>
        <w:t>钻井施工</w:t>
      </w:r>
      <w:r>
        <w:t>人员约</w:t>
      </w:r>
      <w:r>
        <w:rPr>
          <w:rFonts w:hint="eastAsia"/>
        </w:rPr>
        <w:t>5</w:t>
      </w:r>
      <w:r>
        <w:t>0人</w:t>
      </w:r>
      <w:r>
        <w:rPr>
          <w:rFonts w:hint="eastAsia"/>
        </w:rPr>
        <w:t>，</w:t>
      </w:r>
      <w:r>
        <w:t>施工人员生活垃圾排放量约为</w:t>
      </w:r>
      <w:r>
        <w:rPr>
          <w:rFonts w:hint="eastAsia"/>
        </w:rPr>
        <w:t>35</w:t>
      </w:r>
      <w:r>
        <w:t>kg/d，施工期排放总量约为</w:t>
      </w:r>
      <w:r>
        <w:rPr>
          <w:rFonts w:hint="eastAsia"/>
        </w:rPr>
        <w:t>2.1</w:t>
      </w:r>
      <w:r>
        <w:t>t。</w:t>
      </w:r>
    </w:p>
    <w:p>
      <w:pPr>
        <w:pStyle w:val="112"/>
        <w:ind w:firstLine="482"/>
      </w:pPr>
      <w:r>
        <w:rPr>
          <w:b/>
          <w:bCs/>
        </w:rPr>
        <w:t>治理措施：</w:t>
      </w:r>
      <w:r>
        <w:t>施工人员的垃圾</w:t>
      </w:r>
      <w:r>
        <w:rPr>
          <w:rFonts w:hint="eastAsia"/>
        </w:rPr>
        <w:t>经垃圾</w:t>
      </w:r>
      <w:r>
        <w:t>收集设施</w:t>
      </w:r>
      <w:r>
        <w:rPr>
          <w:rFonts w:hint="eastAsia"/>
        </w:rPr>
        <w:t>收集</w:t>
      </w:r>
      <w:r>
        <w:t>，统一送环卫部门处理。</w:t>
      </w:r>
    </w:p>
    <w:bookmarkEnd w:id="341"/>
    <w:p>
      <w:pPr>
        <w:pStyle w:val="112"/>
        <w:ind w:firstLine="482"/>
        <w:rPr>
          <w:b/>
          <w:bCs/>
        </w:rPr>
      </w:pPr>
      <w:r>
        <w:rPr>
          <w:b/>
          <w:bCs/>
        </w:rPr>
        <w:t>2、施工废料</w:t>
      </w:r>
    </w:p>
    <w:p>
      <w:pPr>
        <w:pStyle w:val="112"/>
        <w:ind w:firstLine="480"/>
      </w:pPr>
      <w:r>
        <w:t>项目管线防腐层均在厂家预制完成，现场无防腐层废料产生，施工废料为管道焊接后废弃的废焊条、焊渣（属于一般固废）及接口处废弃防腐材料及少量废油漆桶。根据类比调查，施工废料的产生量约为0.2t/km，本项目</w:t>
      </w:r>
      <w:r>
        <w:rPr>
          <w:rFonts w:hint="eastAsia"/>
        </w:rPr>
        <w:t>集输</w:t>
      </w:r>
      <w:r>
        <w:t>管道总长度</w:t>
      </w:r>
      <w:r>
        <w:rPr>
          <w:rFonts w:hint="eastAsia"/>
        </w:rPr>
        <w:t>350</w:t>
      </w:r>
      <w:r>
        <w:t>m，施工过程产生的施工废料约为</w:t>
      </w:r>
      <w:r>
        <w:rPr>
          <w:rFonts w:hint="eastAsia"/>
        </w:rPr>
        <w:t>0.07</w:t>
      </w:r>
      <w:r>
        <w:t>t。施工废料部分可回收利用，剩余废料交由当地环卫部门处置；一定量的废弃防腐材料及少量废油漆桶由施工单位集中收集，然后交有资质单位处置。X射线探伤产生一些废弃物（浸润液、感光废弃材料等），由工程探伤检验专业队伍集中收集处置，不在本次评价范围内。</w:t>
      </w:r>
    </w:p>
    <w:p>
      <w:pPr>
        <w:pStyle w:val="112"/>
        <w:ind w:firstLine="482"/>
        <w:rPr>
          <w:b/>
          <w:bCs/>
        </w:rPr>
      </w:pPr>
      <w:bookmarkStart w:id="343" w:name="OLE_LINK241"/>
      <w:bookmarkStart w:id="344" w:name="OLE_LINK242"/>
      <w:r>
        <w:rPr>
          <w:b/>
          <w:bCs/>
        </w:rPr>
        <w:t>3、土石方</w:t>
      </w:r>
    </w:p>
    <w:p>
      <w:pPr>
        <w:pStyle w:val="109"/>
        <w:ind w:firstLine="480"/>
      </w:pPr>
      <w:r>
        <w:t>根据《普光气田普陆4-1H井产能建设项目</w:t>
      </w:r>
      <w:r>
        <w:rPr>
          <w:rFonts w:hint="eastAsia"/>
        </w:rPr>
        <w:t>水土保持方案</w:t>
      </w:r>
      <w:r>
        <w:t>报告》</w:t>
      </w:r>
      <w:r>
        <w:rPr>
          <w:rFonts w:hint="eastAsia"/>
        </w:rPr>
        <w:t>，</w:t>
      </w:r>
      <w:r>
        <w:t>项目</w:t>
      </w:r>
      <w:bookmarkEnd w:id="343"/>
      <w:bookmarkEnd w:id="344"/>
      <w:r>
        <w:t>土石方挖方量共计</w:t>
      </w:r>
      <w:r>
        <w:rPr>
          <w:rFonts w:hint="eastAsia"/>
        </w:rPr>
        <w:t>约500</w:t>
      </w:r>
      <w:r>
        <w:t>m</w:t>
      </w:r>
      <w:r>
        <w:rPr>
          <w:vertAlign w:val="superscript"/>
        </w:rPr>
        <w:t>3</w:t>
      </w:r>
      <w:r>
        <w:t>，填方量共计</w:t>
      </w:r>
      <w:r>
        <w:rPr>
          <w:rFonts w:hint="eastAsia"/>
        </w:rPr>
        <w:t>约500</w:t>
      </w:r>
      <w:r>
        <w:t>m</w:t>
      </w:r>
      <w:r>
        <w:rPr>
          <w:vertAlign w:val="superscript"/>
        </w:rPr>
        <w:t>3</w:t>
      </w:r>
      <w:r>
        <w:t>，</w:t>
      </w:r>
      <w:r>
        <w:rPr>
          <w:rFonts w:hint="eastAsia"/>
        </w:rPr>
        <w:t>无</w:t>
      </w:r>
      <w:r>
        <w:t>弃方</w:t>
      </w:r>
      <w:r>
        <w:rPr>
          <w:rFonts w:hint="eastAsia"/>
        </w:rPr>
        <w:t>产生</w:t>
      </w:r>
      <w:r>
        <w:t>。</w:t>
      </w:r>
    </w:p>
    <w:p>
      <w:pPr>
        <w:pStyle w:val="112"/>
        <w:ind w:firstLine="482"/>
        <w:rPr>
          <w:b/>
          <w:bCs/>
        </w:rPr>
      </w:pPr>
      <w:r>
        <w:rPr>
          <w:rFonts w:hint="eastAsia"/>
          <w:b/>
          <w:bCs/>
        </w:rPr>
        <w:t>4</w:t>
      </w:r>
      <w:r>
        <w:rPr>
          <w:b/>
          <w:bCs/>
        </w:rPr>
        <w:t>、</w:t>
      </w:r>
      <w:bookmarkStart w:id="345" w:name="OLE_LINK299"/>
      <w:bookmarkStart w:id="346" w:name="OLE_LINK300"/>
      <w:r>
        <w:rPr>
          <w:rFonts w:hint="eastAsia"/>
          <w:b/>
          <w:bCs/>
        </w:rPr>
        <w:t>钻井岩屑</w:t>
      </w:r>
      <w:bookmarkEnd w:id="345"/>
      <w:bookmarkEnd w:id="346"/>
    </w:p>
    <w:p>
      <w:pPr>
        <w:pStyle w:val="551"/>
        <w:ind w:firstLine="480"/>
        <w:rPr>
          <w:rFonts w:ascii="Times New Roman" w:hAnsi="Times New Roman"/>
        </w:rPr>
      </w:pPr>
      <w:r>
        <w:rPr>
          <w:rFonts w:ascii="Times New Roman"/>
        </w:rPr>
        <w:t>钻井岩屑是在钻井过程中连续产生，根据普光气田钻井类比调查，每米进尺岩屑产生量约为</w:t>
      </w:r>
      <w:r>
        <w:rPr>
          <w:rFonts w:ascii="Times New Roman" w:hAnsi="Times New Roman"/>
        </w:rPr>
        <w:t>0.1m</w:t>
      </w:r>
      <w:r>
        <w:rPr>
          <w:rFonts w:ascii="Times New Roman" w:hAnsi="Times New Roman"/>
          <w:vertAlign w:val="superscript"/>
        </w:rPr>
        <w:t>3</w:t>
      </w:r>
      <w:r>
        <w:rPr>
          <w:rFonts w:ascii="Times New Roman"/>
        </w:rPr>
        <w:t>，因此本项目岩屑产生量约为</w:t>
      </w:r>
      <w:r>
        <w:rPr>
          <w:rFonts w:hint="eastAsia" w:ascii="Times New Roman"/>
        </w:rPr>
        <w:t>555.2</w:t>
      </w:r>
      <w:r>
        <w:rPr>
          <w:rFonts w:ascii="Times New Roman" w:hAnsi="Times New Roman"/>
        </w:rPr>
        <w:t>m</w:t>
      </w:r>
      <w:r>
        <w:rPr>
          <w:rFonts w:ascii="Times New Roman" w:hAnsi="Times New Roman"/>
          <w:vertAlign w:val="superscript"/>
        </w:rPr>
        <w:t>3</w:t>
      </w:r>
      <w:r>
        <w:rPr>
          <w:rFonts w:ascii="Times New Roman"/>
        </w:rPr>
        <w:t>。</w:t>
      </w:r>
      <w:r>
        <w:rPr>
          <w:rFonts w:hint="eastAsia" w:ascii="Times New Roman"/>
        </w:rPr>
        <w:t>由于本项目三开采用油基钻井液，根据钻井方式，核算出水基</w:t>
      </w:r>
      <w:r>
        <w:rPr>
          <w:rFonts w:ascii="Times New Roman"/>
        </w:rPr>
        <w:t>岩屑</w:t>
      </w:r>
      <w:r>
        <w:rPr>
          <w:rFonts w:hint="eastAsia" w:ascii="Times New Roman"/>
        </w:rPr>
        <w:t>产生量</w:t>
      </w:r>
      <w:r>
        <w:rPr>
          <w:rFonts w:ascii="Times New Roman"/>
        </w:rPr>
        <w:t>约为</w:t>
      </w:r>
      <w:r>
        <w:rPr>
          <w:rFonts w:hint="eastAsia" w:ascii="Times New Roman"/>
        </w:rPr>
        <w:t>308.8</w:t>
      </w:r>
      <w:r>
        <w:rPr>
          <w:rFonts w:ascii="Times New Roman" w:hAnsi="Times New Roman"/>
        </w:rPr>
        <w:t>m</w:t>
      </w:r>
      <w:r>
        <w:rPr>
          <w:rFonts w:ascii="Times New Roman" w:hAnsi="Times New Roman"/>
          <w:vertAlign w:val="superscript"/>
        </w:rPr>
        <w:t>3</w:t>
      </w:r>
      <w:r>
        <w:rPr>
          <w:rFonts w:hint="eastAsia" w:ascii="Times New Roman"/>
        </w:rPr>
        <w:t>，油基</w:t>
      </w:r>
      <w:r>
        <w:rPr>
          <w:rFonts w:ascii="Times New Roman"/>
        </w:rPr>
        <w:t>岩屑</w:t>
      </w:r>
      <w:r>
        <w:rPr>
          <w:rFonts w:hint="eastAsia" w:ascii="Times New Roman"/>
        </w:rPr>
        <w:t>产生量</w:t>
      </w:r>
      <w:r>
        <w:rPr>
          <w:rFonts w:ascii="Times New Roman"/>
        </w:rPr>
        <w:t>约为</w:t>
      </w:r>
      <w:r>
        <w:rPr>
          <w:rFonts w:hint="eastAsia" w:ascii="Times New Roman"/>
        </w:rPr>
        <w:t>246.4</w:t>
      </w:r>
      <w:r>
        <w:rPr>
          <w:rFonts w:ascii="Times New Roman" w:hAnsi="Times New Roman"/>
        </w:rPr>
        <w:t>m</w:t>
      </w:r>
      <w:r>
        <w:rPr>
          <w:rFonts w:ascii="Times New Roman" w:hAnsi="Times New Roman"/>
          <w:vertAlign w:val="superscript"/>
        </w:rPr>
        <w:t>3</w:t>
      </w:r>
      <w:r>
        <w:rPr>
          <w:rFonts w:hint="eastAsia" w:ascii="Times New Roman"/>
        </w:rPr>
        <w:t>，</w:t>
      </w:r>
      <w:r>
        <w:rPr>
          <w:rFonts w:ascii="Times New Roman"/>
        </w:rPr>
        <w:t>本项目岩屑采取清洁化操作平台</w:t>
      </w:r>
      <w:r>
        <w:rPr>
          <w:rFonts w:hint="eastAsia" w:ascii="Times New Roman"/>
        </w:rPr>
        <w:t>处理</w:t>
      </w:r>
      <w:r>
        <w:rPr>
          <w:rFonts w:ascii="Times New Roman"/>
        </w:rPr>
        <w:t>，</w:t>
      </w:r>
      <w:r>
        <w:rPr>
          <w:rFonts w:hint="eastAsia" w:ascii="Times New Roman"/>
        </w:rPr>
        <w:t>水基</w:t>
      </w:r>
      <w:r>
        <w:rPr>
          <w:rFonts w:ascii="Times New Roman"/>
        </w:rPr>
        <w:t>岩屑按照《达州市生态环境局办公室关于</w:t>
      </w:r>
      <w:r>
        <w:rPr>
          <w:rFonts w:hint="eastAsia" w:ascii="Times New Roman"/>
        </w:rPr>
        <w:t>进一步</w:t>
      </w:r>
      <w:r>
        <w:rPr>
          <w:rFonts w:ascii="Times New Roman"/>
        </w:rPr>
        <w:t>加强固体废物污染防治工作的通知》（达市环办发〔</w:t>
      </w:r>
      <w:r>
        <w:rPr>
          <w:rFonts w:ascii="Times New Roman" w:hAnsi="Times New Roman"/>
        </w:rPr>
        <w:t>20</w:t>
      </w:r>
      <w:r>
        <w:rPr>
          <w:rFonts w:hint="eastAsia" w:ascii="Times New Roman" w:hAnsi="Times New Roman"/>
        </w:rPr>
        <w:t>21</w:t>
      </w:r>
      <w:r>
        <w:rPr>
          <w:rFonts w:ascii="Times New Roman"/>
        </w:rPr>
        <w:t>〕</w:t>
      </w:r>
      <w:r>
        <w:rPr>
          <w:rFonts w:hint="eastAsia" w:ascii="Times New Roman" w:hAnsi="Times New Roman"/>
        </w:rPr>
        <w:t>24</w:t>
      </w:r>
      <w:r>
        <w:rPr>
          <w:rFonts w:ascii="Times New Roman"/>
        </w:rPr>
        <w:t>号）要求，就近交给依法取得生态环境部门关于利用和处置相关工业固体废物项目环评批复、具有处理处置相应固体废物能力并配套建设有废气、废水、固废等污染物治理设施的单位</w:t>
      </w:r>
      <w:r>
        <w:rPr>
          <w:rFonts w:hint="eastAsia" w:ascii="Times New Roman"/>
        </w:rPr>
        <w:t>进行资源化利用；油基岩屑为危险废物（</w:t>
      </w:r>
      <w:r>
        <w:rPr>
          <w:rFonts w:ascii="Times New Roman"/>
        </w:rPr>
        <w:t>HW08废矿物油</w:t>
      </w:r>
      <w:r>
        <w:rPr>
          <w:rFonts w:hint="eastAsia" w:ascii="Times New Roman"/>
        </w:rPr>
        <w:t>与含矿物油废物），存于危废暂存间，定期交由资质单位处置</w:t>
      </w:r>
      <w:r>
        <w:rPr>
          <w:rFonts w:ascii="Times New Roman"/>
        </w:rPr>
        <w:t>。</w:t>
      </w:r>
    </w:p>
    <w:p>
      <w:pPr>
        <w:pStyle w:val="112"/>
        <w:ind w:firstLine="482"/>
        <w:rPr>
          <w:b/>
          <w:bCs/>
        </w:rPr>
      </w:pPr>
      <w:bookmarkStart w:id="347" w:name="OLE_LINK261"/>
      <w:bookmarkStart w:id="348" w:name="OLE_LINK262"/>
      <w:r>
        <w:rPr>
          <w:rFonts w:hint="eastAsia"/>
          <w:b/>
          <w:bCs/>
        </w:rPr>
        <w:t>5</w:t>
      </w:r>
      <w:r>
        <w:rPr>
          <w:b/>
          <w:bCs/>
        </w:rPr>
        <w:t>、</w:t>
      </w:r>
      <w:bookmarkStart w:id="349" w:name="OLE_LINK12"/>
      <w:bookmarkStart w:id="350" w:name="OLE_LINK11"/>
      <w:r>
        <w:rPr>
          <w:rFonts w:hint="eastAsia"/>
          <w:b/>
          <w:bCs/>
        </w:rPr>
        <w:t>废泥浆</w:t>
      </w:r>
      <w:bookmarkEnd w:id="349"/>
      <w:bookmarkEnd w:id="350"/>
    </w:p>
    <w:p>
      <w:pPr>
        <w:pStyle w:val="573"/>
        <w:ind w:firstLine="480"/>
        <w:rPr>
          <w:rFonts w:ascii="Times New Roman" w:hAnsi="Times New Roman"/>
        </w:rPr>
      </w:pPr>
      <w:r>
        <w:rPr>
          <w:rFonts w:ascii="Times New Roman" w:hAnsi="Times New Roman"/>
        </w:rPr>
        <w:t>a</w:t>
      </w:r>
      <w:r>
        <w:rPr>
          <w:rFonts w:ascii="Times New Roman"/>
        </w:rPr>
        <w:t>、组成</w:t>
      </w:r>
    </w:p>
    <w:bookmarkEnd w:id="347"/>
    <w:bookmarkEnd w:id="348"/>
    <w:p>
      <w:pPr>
        <w:pStyle w:val="551"/>
        <w:ind w:firstLine="480"/>
        <w:rPr>
          <w:rFonts w:ascii="Times New Roman" w:hAnsi="Times New Roman"/>
        </w:rPr>
      </w:pPr>
      <w:r>
        <w:rPr>
          <w:rFonts w:ascii="Times New Roman"/>
        </w:rPr>
        <w:t>废钻井液主要是由黏土、钻屑、加重材料、化学添加剂、无机盐等组成的多相稳定悬浮液，</w:t>
      </w:r>
      <w:r>
        <w:rPr>
          <w:rFonts w:ascii="Times New Roman" w:hAnsi="Times New Roman"/>
        </w:rPr>
        <w:t>pH</w:t>
      </w:r>
      <w:r>
        <w:rPr>
          <w:rFonts w:ascii="Times New Roman"/>
        </w:rPr>
        <w:t>值较高。导致环境污染的有害成分为盐类、杀菌剂、化学添加剂，高分子有机化合物经生物降解后产生的低分子有机化合物和碱性物质。</w:t>
      </w:r>
    </w:p>
    <w:p>
      <w:pPr>
        <w:pStyle w:val="573"/>
        <w:rPr>
          <w:rFonts w:ascii="Times New Roman" w:hAnsi="Times New Roman"/>
        </w:rPr>
      </w:pPr>
      <w:r>
        <w:rPr>
          <w:rFonts w:ascii="Times New Roman" w:hAnsi="Times New Roman"/>
        </w:rPr>
        <w:t>b</w:t>
      </w:r>
      <w:r>
        <w:rPr>
          <w:rFonts w:ascii="Times New Roman"/>
        </w:rPr>
        <w:t>、产生量</w:t>
      </w:r>
    </w:p>
    <w:p>
      <w:pPr>
        <w:pStyle w:val="551"/>
        <w:ind w:firstLine="480"/>
        <w:rPr>
          <w:rFonts w:ascii="Times New Roman" w:hAnsi="Times New Roman"/>
        </w:rPr>
      </w:pPr>
      <w:r>
        <w:rPr>
          <w:rFonts w:ascii="Times New Roman"/>
        </w:rPr>
        <w:t>钻井过程中泥浆的回收利用率为</w:t>
      </w:r>
      <w:r>
        <w:rPr>
          <w:rFonts w:ascii="Times New Roman" w:hAnsi="Times New Roman"/>
        </w:rPr>
        <w:t>95%</w:t>
      </w:r>
      <w:r>
        <w:rPr>
          <w:rFonts w:ascii="Times New Roman"/>
        </w:rPr>
        <w:t>，其余为废泥浆。本项目钻井液用量为</w:t>
      </w:r>
      <w:r>
        <w:rPr>
          <w:rFonts w:hint="eastAsia" w:ascii="Times New Roman" w:hAnsi="Times New Roman"/>
        </w:rPr>
        <w:t>585</w:t>
      </w:r>
      <w:r>
        <w:rPr>
          <w:rFonts w:ascii="Times New Roman" w:hAnsi="Times New Roman"/>
        </w:rPr>
        <w:t>m</w:t>
      </w:r>
      <w:r>
        <w:rPr>
          <w:rFonts w:ascii="Times New Roman" w:hAnsi="Times New Roman"/>
          <w:vertAlign w:val="superscript"/>
        </w:rPr>
        <w:t>3</w:t>
      </w:r>
      <w:r>
        <w:rPr>
          <w:rFonts w:ascii="Times New Roman"/>
        </w:rPr>
        <w:t>，则废弃泥浆产生量为</w:t>
      </w:r>
      <w:r>
        <w:rPr>
          <w:rFonts w:hint="eastAsia" w:ascii="Times New Roman" w:hAnsi="Times New Roman"/>
        </w:rPr>
        <w:t>29.25</w:t>
      </w:r>
      <w:r>
        <w:rPr>
          <w:rFonts w:ascii="Times New Roman" w:hAnsi="Times New Roman"/>
        </w:rPr>
        <w:t>m</w:t>
      </w:r>
      <w:r>
        <w:rPr>
          <w:rFonts w:ascii="Times New Roman" w:hAnsi="Times New Roman"/>
          <w:vertAlign w:val="superscript"/>
        </w:rPr>
        <w:t>3</w:t>
      </w:r>
      <w:r>
        <w:rPr>
          <w:rFonts w:ascii="Times New Roman"/>
        </w:rPr>
        <w:t>。</w:t>
      </w:r>
      <w:r>
        <w:rPr>
          <w:rFonts w:hint="eastAsia" w:ascii="Times New Roman"/>
        </w:rPr>
        <w:t>根据钻井方式核算出水基泥浆产生量</w:t>
      </w:r>
      <w:r>
        <w:rPr>
          <w:rFonts w:ascii="Times New Roman"/>
        </w:rPr>
        <w:t>约为</w:t>
      </w:r>
      <w:r>
        <w:rPr>
          <w:rFonts w:hint="eastAsia" w:ascii="Times New Roman"/>
        </w:rPr>
        <w:t>18.55</w:t>
      </w:r>
      <w:r>
        <w:rPr>
          <w:rFonts w:ascii="Times New Roman" w:hAnsi="Times New Roman"/>
        </w:rPr>
        <w:t>m</w:t>
      </w:r>
      <w:r>
        <w:rPr>
          <w:rFonts w:ascii="Times New Roman" w:hAnsi="Times New Roman"/>
          <w:vertAlign w:val="superscript"/>
        </w:rPr>
        <w:t>3</w:t>
      </w:r>
      <w:r>
        <w:rPr>
          <w:rFonts w:hint="eastAsia" w:ascii="Times New Roman"/>
        </w:rPr>
        <w:t>，油基泥浆产生量</w:t>
      </w:r>
      <w:r>
        <w:rPr>
          <w:rFonts w:ascii="Times New Roman"/>
        </w:rPr>
        <w:t>约为</w:t>
      </w:r>
      <w:r>
        <w:rPr>
          <w:rFonts w:hint="eastAsia" w:ascii="Times New Roman"/>
        </w:rPr>
        <w:t>10.7</w:t>
      </w:r>
      <w:r>
        <w:rPr>
          <w:rFonts w:ascii="Times New Roman" w:hAnsi="Times New Roman"/>
        </w:rPr>
        <w:t>m</w:t>
      </w:r>
      <w:r>
        <w:rPr>
          <w:rFonts w:ascii="Times New Roman" w:hAnsi="Times New Roman"/>
          <w:vertAlign w:val="superscript"/>
        </w:rPr>
        <w:t>3</w:t>
      </w:r>
      <w:r>
        <w:rPr>
          <w:rFonts w:hint="eastAsia" w:ascii="Times New Roman"/>
        </w:rPr>
        <w:t>，</w:t>
      </w:r>
      <w:r>
        <w:rPr>
          <w:rFonts w:ascii="Times New Roman"/>
        </w:rPr>
        <w:t>废弃泥浆采用清洁化操作平台，并采取泥浆不落地措施</w:t>
      </w:r>
      <w:r>
        <w:rPr>
          <w:rFonts w:hint="eastAsia" w:ascii="Times New Roman"/>
        </w:rPr>
        <w:t>，</w:t>
      </w:r>
      <w:r>
        <w:rPr>
          <w:rFonts w:ascii="Times New Roman"/>
        </w:rPr>
        <w:t>废</w:t>
      </w:r>
      <w:r>
        <w:rPr>
          <w:rFonts w:hint="eastAsia" w:ascii="Times New Roman"/>
        </w:rPr>
        <w:t>水基</w:t>
      </w:r>
      <w:r>
        <w:rPr>
          <w:rFonts w:ascii="Times New Roman"/>
        </w:rPr>
        <w:t>泥浆按照《达州市生态环境局办公室关于</w:t>
      </w:r>
      <w:r>
        <w:rPr>
          <w:rFonts w:hint="eastAsia" w:ascii="Times New Roman"/>
        </w:rPr>
        <w:t>进一步</w:t>
      </w:r>
      <w:r>
        <w:rPr>
          <w:rFonts w:ascii="Times New Roman"/>
        </w:rPr>
        <w:t>加强固体废物污染防治工作的通知》（达市环办发〔</w:t>
      </w:r>
      <w:r>
        <w:rPr>
          <w:rFonts w:ascii="Times New Roman" w:hAnsi="Times New Roman"/>
        </w:rPr>
        <w:t>20</w:t>
      </w:r>
      <w:r>
        <w:rPr>
          <w:rFonts w:hint="eastAsia" w:ascii="Times New Roman" w:hAnsi="Times New Roman"/>
        </w:rPr>
        <w:t>21</w:t>
      </w:r>
      <w:r>
        <w:rPr>
          <w:rFonts w:ascii="Times New Roman"/>
        </w:rPr>
        <w:t>〕</w:t>
      </w:r>
      <w:r>
        <w:rPr>
          <w:rFonts w:hint="eastAsia" w:ascii="Times New Roman" w:hAnsi="Times New Roman"/>
        </w:rPr>
        <w:t>24</w:t>
      </w:r>
      <w:r>
        <w:rPr>
          <w:rFonts w:ascii="Times New Roman"/>
        </w:rPr>
        <w:t>号）要求，就近交给依法取得生态环境部门关于利用和处置相关工业固体废物项目环评批复、具有处理处置相应固体废物能力并配套建设有废气、废水、固废等污染物治理设施的单位</w:t>
      </w:r>
      <w:r>
        <w:rPr>
          <w:rFonts w:hint="eastAsia" w:ascii="Times New Roman"/>
        </w:rPr>
        <w:t>进行资源化利用；废油基泥浆为危险废物（</w:t>
      </w:r>
      <w:r>
        <w:rPr>
          <w:rFonts w:ascii="Times New Roman"/>
        </w:rPr>
        <w:t>HW08废矿物油</w:t>
      </w:r>
      <w:r>
        <w:rPr>
          <w:rFonts w:hint="eastAsia" w:ascii="Times New Roman"/>
        </w:rPr>
        <w:t>与含矿物油废物），存于危废暂存间，定期交由资质单位处置</w:t>
      </w:r>
      <w:r>
        <w:rPr>
          <w:rFonts w:ascii="Times New Roman"/>
        </w:rPr>
        <w:t>。</w:t>
      </w:r>
    </w:p>
    <w:p>
      <w:pPr>
        <w:pStyle w:val="109"/>
        <w:ind w:firstLine="480"/>
      </w:pPr>
      <w:r>
        <w:t>类比普光3井及普光7井钻井液固化物浸出液检测结果（见表</w:t>
      </w:r>
      <w:bookmarkStart w:id="351" w:name="OLE_LINK257"/>
      <w:bookmarkStart w:id="352" w:name="OLE_LINK258"/>
      <w:r>
        <w:t>4.1-1</w:t>
      </w:r>
      <w:r>
        <w:rPr>
          <w:rFonts w:hint="eastAsia"/>
        </w:rPr>
        <w:t>1</w:t>
      </w:r>
      <w:bookmarkEnd w:id="351"/>
      <w:bookmarkEnd w:id="352"/>
      <w:r>
        <w:t>），样品污染物浓度均不超过《危险废物鉴别标准 浸出毒性鉴别》（GB 5085.3-2007）中表1标准，因此，钻井废</w:t>
      </w:r>
      <w:r>
        <w:rPr>
          <w:rFonts w:hint="eastAsia"/>
        </w:rPr>
        <w:t>水基</w:t>
      </w:r>
      <w:r>
        <w:t>泥浆属于第Ⅱ类一般工业固体废物。同时经与《国家危险废物名录》（20</w:t>
      </w:r>
      <w:r>
        <w:rPr>
          <w:rFonts w:hint="eastAsia"/>
        </w:rPr>
        <w:t>21</w:t>
      </w:r>
      <w:r>
        <w:t>年</w:t>
      </w:r>
      <w:r>
        <w:rPr>
          <w:rFonts w:hint="eastAsia"/>
        </w:rPr>
        <w:t>1</w:t>
      </w:r>
      <w:r>
        <w:t>月1日）对比，废水基泥浆不在上述名录中规定的危险废物之列。因此，废水基泥浆不属于危险废物</w:t>
      </w:r>
      <w:r>
        <w:rPr>
          <w:rFonts w:hint="eastAsia"/>
        </w:rPr>
        <w:t>。</w:t>
      </w:r>
    </w:p>
    <w:p>
      <w:pPr>
        <w:pStyle w:val="109"/>
        <w:ind w:firstLine="480"/>
      </w:pPr>
    </w:p>
    <w:p>
      <w:pPr>
        <w:topLinePunct w:val="0"/>
        <w:snapToGrid w:val="0"/>
        <w:spacing w:beforeLines="50"/>
        <w:ind w:firstLine="480" w:firstLineChars="0"/>
        <w:jc w:val="center"/>
        <w:rPr>
          <w:rFonts w:ascii="Times New Roman" w:cs="Times New Roman"/>
          <w:b/>
          <w:kern w:val="2"/>
          <w:sz w:val="21"/>
          <w:szCs w:val="20"/>
        </w:rPr>
      </w:pPr>
      <w:bookmarkStart w:id="353" w:name="_Ref477502032"/>
      <w:r>
        <w:rPr>
          <w:rFonts w:ascii="Times New Roman" w:cs="Times New Roman"/>
          <w:b/>
          <w:kern w:val="2"/>
          <w:sz w:val="21"/>
          <w:szCs w:val="20"/>
        </w:rPr>
        <w:t>表</w:t>
      </w:r>
      <w:bookmarkEnd w:id="353"/>
      <w:r>
        <w:rPr>
          <w:rFonts w:ascii="Times New Roman" w:cs="Times New Roman"/>
          <w:b/>
          <w:sz w:val="21"/>
          <w:szCs w:val="21"/>
        </w:rPr>
        <w:t>4.1-11</w:t>
      </w:r>
      <w:r>
        <w:rPr>
          <w:rFonts w:ascii="Times New Roman" w:cs="Times New Roman"/>
          <w:b/>
          <w:kern w:val="2"/>
          <w:sz w:val="21"/>
          <w:szCs w:val="21"/>
        </w:rPr>
        <w:t xml:space="preserve"> </w:t>
      </w:r>
      <w:r>
        <w:rPr>
          <w:rFonts w:ascii="Times New Roman" w:cs="Times New Roman"/>
          <w:b/>
          <w:kern w:val="2"/>
          <w:sz w:val="21"/>
          <w:szCs w:val="20"/>
        </w:rPr>
        <w:t xml:space="preserve"> 普光3井及普光7井固化样浸出液检测结果</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2161"/>
        <w:gridCol w:w="2294"/>
        <w:gridCol w:w="27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27"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hAnsi="宋体" w:cs="Times New Roman"/>
                <w:b/>
                <w:kern w:val="2"/>
                <w:sz w:val="21"/>
                <w:szCs w:val="21"/>
              </w:rPr>
              <w:t>项目</w:t>
            </w:r>
          </w:p>
        </w:tc>
        <w:tc>
          <w:tcPr>
            <w:tcW w:w="2161"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hAnsi="宋体" w:cs="Times New Roman"/>
                <w:b/>
                <w:kern w:val="2"/>
                <w:sz w:val="21"/>
                <w:szCs w:val="21"/>
              </w:rPr>
              <w:t>普光</w:t>
            </w:r>
            <w:r>
              <w:rPr>
                <w:rFonts w:ascii="Times New Roman" w:cs="Times New Roman"/>
                <w:b/>
                <w:kern w:val="2"/>
                <w:sz w:val="21"/>
                <w:szCs w:val="21"/>
              </w:rPr>
              <w:t>3</w:t>
            </w:r>
            <w:r>
              <w:rPr>
                <w:rFonts w:ascii="Times New Roman" w:hAnsi="宋体" w:cs="Times New Roman"/>
                <w:b/>
                <w:kern w:val="2"/>
                <w:sz w:val="21"/>
                <w:szCs w:val="21"/>
              </w:rPr>
              <w:t>井检测值</w:t>
            </w:r>
          </w:p>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hAnsi="宋体" w:cs="Times New Roman"/>
                <w:b/>
                <w:kern w:val="2"/>
                <w:sz w:val="21"/>
                <w:szCs w:val="21"/>
              </w:rPr>
              <w:t>（</w:t>
            </w:r>
            <w:r>
              <w:rPr>
                <w:rFonts w:ascii="Times New Roman" w:cs="Times New Roman"/>
                <w:b/>
                <w:kern w:val="2"/>
                <w:sz w:val="21"/>
                <w:szCs w:val="21"/>
              </w:rPr>
              <w:t>mg/L</w:t>
            </w:r>
            <w:r>
              <w:rPr>
                <w:rFonts w:ascii="Times New Roman" w:hAnsi="宋体" w:cs="Times New Roman"/>
                <w:b/>
                <w:kern w:val="2"/>
                <w:sz w:val="21"/>
                <w:szCs w:val="21"/>
              </w:rPr>
              <w:t>）</w:t>
            </w:r>
          </w:p>
        </w:tc>
        <w:tc>
          <w:tcPr>
            <w:tcW w:w="2294"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hAnsi="宋体" w:cs="Times New Roman"/>
                <w:b/>
                <w:kern w:val="2"/>
                <w:sz w:val="21"/>
                <w:szCs w:val="21"/>
              </w:rPr>
              <w:t>普光</w:t>
            </w:r>
            <w:r>
              <w:rPr>
                <w:rFonts w:ascii="Times New Roman" w:cs="Times New Roman"/>
                <w:b/>
                <w:kern w:val="2"/>
                <w:sz w:val="21"/>
                <w:szCs w:val="21"/>
              </w:rPr>
              <w:t>7</w:t>
            </w:r>
            <w:r>
              <w:rPr>
                <w:rFonts w:ascii="Times New Roman" w:hAnsi="宋体" w:cs="Times New Roman"/>
                <w:b/>
                <w:kern w:val="2"/>
                <w:sz w:val="21"/>
                <w:szCs w:val="21"/>
              </w:rPr>
              <w:t>井检测值</w:t>
            </w:r>
          </w:p>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hAnsi="宋体" w:cs="Times New Roman"/>
                <w:b/>
                <w:kern w:val="2"/>
                <w:sz w:val="21"/>
                <w:szCs w:val="21"/>
              </w:rPr>
              <w:t>（</w:t>
            </w:r>
            <w:r>
              <w:rPr>
                <w:rFonts w:ascii="Times New Roman" w:cs="Times New Roman"/>
                <w:b/>
                <w:kern w:val="2"/>
                <w:sz w:val="21"/>
                <w:szCs w:val="21"/>
              </w:rPr>
              <w:t>mg/L</w:t>
            </w:r>
            <w:r>
              <w:rPr>
                <w:rFonts w:ascii="Times New Roman" w:hAnsi="宋体" w:cs="Times New Roman"/>
                <w:b/>
                <w:kern w:val="2"/>
                <w:sz w:val="21"/>
                <w:szCs w:val="21"/>
              </w:rPr>
              <w:t>）</w:t>
            </w:r>
          </w:p>
        </w:tc>
        <w:tc>
          <w:tcPr>
            <w:tcW w:w="2740"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GB 5085.3-2007</w:t>
            </w:r>
            <w:r>
              <w:rPr>
                <w:rFonts w:ascii="Times New Roman" w:hAnsi="宋体" w:cs="Times New Roman"/>
                <w:b/>
                <w:kern w:val="2"/>
                <w:sz w:val="21"/>
                <w:szCs w:val="21"/>
              </w:rPr>
              <w:t>标准值</w:t>
            </w:r>
          </w:p>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hAnsi="宋体" w:cs="Times New Roman"/>
                <w:b/>
                <w:kern w:val="2"/>
                <w:sz w:val="21"/>
                <w:szCs w:val="21"/>
              </w:rPr>
              <w:t>（</w:t>
            </w:r>
            <w:r>
              <w:rPr>
                <w:rFonts w:ascii="Times New Roman" w:cs="Times New Roman"/>
                <w:b/>
                <w:kern w:val="2"/>
                <w:sz w:val="21"/>
                <w:szCs w:val="21"/>
              </w:rPr>
              <w:t>mg/L</w:t>
            </w:r>
            <w:r>
              <w:rPr>
                <w:rFonts w:ascii="Times New Roman" w:hAnsi="宋体" w:cs="Times New Roman"/>
                <w:b/>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铬（六价）</w:t>
            </w:r>
          </w:p>
        </w:tc>
        <w:tc>
          <w:tcPr>
            <w:tcW w:w="216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未检出</w:t>
            </w:r>
          </w:p>
        </w:tc>
        <w:tc>
          <w:tcPr>
            <w:tcW w:w="22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未检出</w:t>
            </w:r>
          </w:p>
        </w:tc>
        <w:tc>
          <w:tcPr>
            <w:tcW w:w="274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铜</w:t>
            </w:r>
          </w:p>
        </w:tc>
        <w:tc>
          <w:tcPr>
            <w:tcW w:w="216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0.105</w:t>
            </w:r>
          </w:p>
        </w:tc>
        <w:tc>
          <w:tcPr>
            <w:tcW w:w="22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未检出</w:t>
            </w:r>
          </w:p>
        </w:tc>
        <w:tc>
          <w:tcPr>
            <w:tcW w:w="274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锌</w:t>
            </w:r>
          </w:p>
        </w:tc>
        <w:tc>
          <w:tcPr>
            <w:tcW w:w="216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0.072</w:t>
            </w:r>
          </w:p>
        </w:tc>
        <w:tc>
          <w:tcPr>
            <w:tcW w:w="22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未检出</w:t>
            </w:r>
          </w:p>
        </w:tc>
        <w:tc>
          <w:tcPr>
            <w:tcW w:w="274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铅</w:t>
            </w:r>
          </w:p>
        </w:tc>
        <w:tc>
          <w:tcPr>
            <w:tcW w:w="216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未检出</w:t>
            </w:r>
          </w:p>
        </w:tc>
        <w:tc>
          <w:tcPr>
            <w:tcW w:w="22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未检出</w:t>
            </w:r>
          </w:p>
        </w:tc>
        <w:tc>
          <w:tcPr>
            <w:tcW w:w="274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镉</w:t>
            </w:r>
          </w:p>
        </w:tc>
        <w:tc>
          <w:tcPr>
            <w:tcW w:w="216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未检出</w:t>
            </w:r>
          </w:p>
        </w:tc>
        <w:tc>
          <w:tcPr>
            <w:tcW w:w="22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未检出</w:t>
            </w:r>
          </w:p>
        </w:tc>
        <w:tc>
          <w:tcPr>
            <w:tcW w:w="274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汞</w:t>
            </w:r>
          </w:p>
        </w:tc>
        <w:tc>
          <w:tcPr>
            <w:tcW w:w="216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未检出</w:t>
            </w:r>
          </w:p>
        </w:tc>
        <w:tc>
          <w:tcPr>
            <w:tcW w:w="22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274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砷</w:t>
            </w:r>
          </w:p>
        </w:tc>
        <w:tc>
          <w:tcPr>
            <w:tcW w:w="216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0.0003</w:t>
            </w:r>
          </w:p>
        </w:tc>
        <w:tc>
          <w:tcPr>
            <w:tcW w:w="22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274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w:t>
            </w:r>
          </w:p>
        </w:tc>
      </w:tr>
    </w:tbl>
    <w:p>
      <w:pPr>
        <w:pStyle w:val="551"/>
        <w:ind w:firstLine="480"/>
        <w:rPr>
          <w:rFonts w:ascii="Times New Roman" w:hAnsi="Times New Roman"/>
        </w:rPr>
      </w:pPr>
      <w:r>
        <w:rPr>
          <w:rFonts w:ascii="Times New Roman" w:hAnsi="Times New Roman"/>
        </w:rPr>
        <w:t>c.</w:t>
      </w:r>
      <w:r>
        <w:rPr>
          <w:rFonts w:ascii="Times New Roman"/>
        </w:rPr>
        <w:t>废岩屑、废泥浆处置方式</w:t>
      </w:r>
      <w:r>
        <w:rPr>
          <w:rFonts w:ascii="Times New Roman" w:hAnsi="Times New Roman"/>
        </w:rPr>
        <w:t xml:space="preserve"> </w:t>
      </w:r>
    </w:p>
    <w:p>
      <w:pPr>
        <w:pStyle w:val="109"/>
        <w:ind w:firstLine="480"/>
      </w:pPr>
      <w:r>
        <w:rPr>
          <w:rFonts w:hint="eastAsia"/>
          <w:bCs/>
        </w:rPr>
        <w:t>本项目</w:t>
      </w:r>
      <w:r>
        <w:rPr>
          <w:bCs/>
        </w:rPr>
        <w:t>采用清洁化操作平台，并采取泥浆不落地措施</w:t>
      </w:r>
      <w:r>
        <w:rPr>
          <w:rFonts w:hint="eastAsia"/>
          <w:bCs/>
        </w:rPr>
        <w:t>，</w:t>
      </w:r>
      <w:r>
        <w:t>废水基泥浆按照《达州市生态环境局办公室关于</w:t>
      </w:r>
      <w:r>
        <w:rPr>
          <w:rFonts w:hint="eastAsia"/>
        </w:rPr>
        <w:t>进一步</w:t>
      </w:r>
      <w:r>
        <w:t>加强固体废物污染防治工作的通知》（达市环办发〔20</w:t>
      </w:r>
      <w:r>
        <w:rPr>
          <w:rFonts w:hint="eastAsia"/>
        </w:rPr>
        <w:t>21</w:t>
      </w:r>
      <w:r>
        <w:t>〕</w:t>
      </w:r>
      <w:r>
        <w:rPr>
          <w:rFonts w:hint="eastAsia"/>
        </w:rPr>
        <w:t>24</w:t>
      </w:r>
      <w:r>
        <w:t>号）要求，就近交给依法取得生态环境部门关于利用和处置相关工业固体废物项目环评批复、具有处理处置相应固体废物能力并配套建设有废气、废水、固废等污染物治理设施的单位</w:t>
      </w:r>
      <w:r>
        <w:rPr>
          <w:rFonts w:hint="eastAsia"/>
        </w:rPr>
        <w:t>进行资源化利用；废油基泥浆存于危废暂存间，定期交由资质单位处置。</w:t>
      </w:r>
    </w:p>
    <w:p>
      <w:pPr>
        <w:pStyle w:val="112"/>
        <w:ind w:firstLine="482"/>
        <w:rPr>
          <w:b/>
          <w:bCs/>
        </w:rPr>
      </w:pPr>
      <w:r>
        <w:rPr>
          <w:rFonts w:hint="eastAsia"/>
          <w:b/>
          <w:bCs/>
        </w:rPr>
        <w:t>6</w:t>
      </w:r>
      <w:r>
        <w:rPr>
          <w:b/>
          <w:bCs/>
        </w:rPr>
        <w:t>、</w:t>
      </w:r>
      <w:r>
        <w:rPr>
          <w:rFonts w:hint="eastAsia"/>
          <w:b/>
        </w:rPr>
        <w:t>废油</w:t>
      </w:r>
    </w:p>
    <w:p>
      <w:pPr>
        <w:pStyle w:val="109"/>
        <w:ind w:firstLine="480"/>
      </w:pPr>
      <w:r>
        <w:t>钻井过程中废油的主要来源是：机械（泥浆泵、转盘、链条等）润滑废油；清洗、保养产生的废油。</w:t>
      </w:r>
      <w:r>
        <w:rPr>
          <w:rFonts w:hint="eastAsia"/>
        </w:rPr>
        <w:t>普陆4-1H井</w:t>
      </w:r>
      <w:r>
        <w:t>钻井期间废油产生量约</w:t>
      </w:r>
      <w:r>
        <w:rPr>
          <w:rFonts w:hint="eastAsia"/>
        </w:rPr>
        <w:t>0.5</w:t>
      </w:r>
      <w:r>
        <w:t>m</w:t>
      </w:r>
      <w:r>
        <w:rPr>
          <w:vertAlign w:val="superscript"/>
        </w:rPr>
        <w:t>3</w:t>
      </w:r>
      <w:r>
        <w:t>，废油</w:t>
      </w:r>
      <w:r>
        <w:rPr>
          <w:rFonts w:hint="eastAsia"/>
        </w:rPr>
        <w:t>暂存于危废暂存间，面积约10m</w:t>
      </w:r>
      <w:r>
        <w:rPr>
          <w:rFonts w:hint="eastAsia"/>
          <w:vertAlign w:val="superscript"/>
        </w:rPr>
        <w:t>2</w:t>
      </w:r>
      <w:r>
        <w:rPr>
          <w:rFonts w:hint="eastAsia"/>
        </w:rPr>
        <w:t>，暂存间地面采取</w:t>
      </w:r>
      <w:r>
        <w:rPr>
          <w:rFonts w:hint="eastAsia"/>
          <w:color w:val="0000FF"/>
        </w:rPr>
        <w:t>六防措施（防风、防雨、防晒、防渗、防漏、防腐）</w:t>
      </w:r>
      <w:r>
        <w:rPr>
          <w:rFonts w:hint="eastAsia"/>
        </w:rPr>
        <w:t>，并</w:t>
      </w:r>
      <w:r>
        <w:t>及时清运</w:t>
      </w:r>
      <w:r>
        <w:rPr>
          <w:rFonts w:hint="eastAsia"/>
        </w:rPr>
        <w:t>至企业净化厂</w:t>
      </w:r>
      <w:r>
        <w:t>危险废物贮存仓库</w:t>
      </w:r>
      <w:r>
        <w:rPr>
          <w:rFonts w:hint="eastAsia"/>
        </w:rPr>
        <w:t>（运距约20km）</w:t>
      </w:r>
      <w:r>
        <w:t>，</w:t>
      </w:r>
      <w:r>
        <w:rPr>
          <w:rFonts w:hint="eastAsia"/>
        </w:rPr>
        <w:t>定期</w:t>
      </w:r>
      <w:r>
        <w:t>送有资质单位处理。废油属危险废物（《国家危险废物名录》（20</w:t>
      </w:r>
      <w:r>
        <w:rPr>
          <w:rFonts w:hint="eastAsia"/>
        </w:rPr>
        <w:t>21</w:t>
      </w:r>
      <w:r>
        <w:t>年</w:t>
      </w:r>
      <w:r>
        <w:rPr>
          <w:rFonts w:hint="eastAsia"/>
        </w:rPr>
        <w:t>1</w:t>
      </w:r>
      <w:r>
        <w:t>月1日）中HW08废矿物油</w:t>
      </w:r>
      <w:r>
        <w:rPr>
          <w:rFonts w:hint="eastAsia"/>
        </w:rPr>
        <w:t>与含矿物油废物</w:t>
      </w:r>
      <w:r>
        <w:t>），由有危险废物处置资质的单位代为处置。本项目对废油的收集、贮存和运输应满足《危险废物收集 贮存 运输技术规范》（HJ 2025-2012）的相关规定。</w:t>
      </w:r>
    </w:p>
    <w:p>
      <w:pPr>
        <w:pStyle w:val="109"/>
        <w:ind w:firstLine="480"/>
      </w:pPr>
      <w:bookmarkStart w:id="354" w:name="OLE_LINK77"/>
      <w:bookmarkStart w:id="355" w:name="OLE_LINK78"/>
      <w:bookmarkStart w:id="356" w:name="_Hlk105537821"/>
      <w:r>
        <w:t>HW08</w:t>
      </w:r>
      <w:bookmarkEnd w:id="354"/>
      <w:bookmarkEnd w:id="355"/>
      <w:r>
        <w:t>废矿物油</w:t>
      </w:r>
      <w:bookmarkEnd w:id="356"/>
      <w:r>
        <w:rPr>
          <w:rFonts w:hint="eastAsia"/>
        </w:rPr>
        <w:t>与含矿物油废物</w:t>
      </w:r>
      <w:r>
        <w:t>委托有危险废物处置资质的单位进行处理，可满足本项目废油处置的需求。</w:t>
      </w:r>
    </w:p>
    <w:bookmarkEnd w:id="338"/>
    <w:p>
      <w:pPr>
        <w:pStyle w:val="4"/>
        <w:rPr>
          <w:rFonts w:eastAsia="宋体"/>
        </w:rPr>
      </w:pPr>
      <w:r>
        <w:rPr>
          <w:rFonts w:eastAsia="宋体"/>
        </w:rPr>
        <w:t>4.1.8 施工期“三废”产生情况表</w:t>
      </w:r>
    </w:p>
    <w:p>
      <w:pPr>
        <w:pStyle w:val="112"/>
        <w:ind w:firstLine="480"/>
      </w:pPr>
      <w:r>
        <w:t>本项目施工期“三废”产生及排放情况见下表。</w:t>
      </w:r>
    </w:p>
    <w:p>
      <w:pPr>
        <w:pStyle w:val="37"/>
        <w:rPr>
          <w:rFonts w:cs="Times New Roman"/>
        </w:rPr>
      </w:pPr>
      <w:r>
        <w:rPr>
          <w:rFonts w:cs="Times New Roman"/>
        </w:rPr>
        <w:t>表4.1-</w:t>
      </w:r>
      <w:r>
        <w:rPr>
          <w:rFonts w:hint="eastAsia" w:cs="Times New Roman"/>
        </w:rPr>
        <w:t>12</w:t>
      </w:r>
      <w:r>
        <w:rPr>
          <w:rFonts w:cs="Times New Roman"/>
        </w:rPr>
        <w:t xml:space="preserve">  施工期主要污染源和污染物统计表</w:t>
      </w:r>
    </w:p>
    <w:tbl>
      <w:tblPr>
        <w:tblStyle w:val="57"/>
        <w:tblW w:w="8758"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538"/>
        <w:gridCol w:w="1391"/>
        <w:gridCol w:w="1558"/>
        <w:gridCol w:w="1045"/>
        <w:gridCol w:w="1705"/>
        <w:gridCol w:w="252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6" w:hRule="atLeast"/>
          <w:jc w:val="center"/>
        </w:trPr>
        <w:tc>
          <w:tcPr>
            <w:tcW w:w="538" w:type="dxa"/>
            <w:vAlign w:val="center"/>
          </w:tcPr>
          <w:p>
            <w:pPr>
              <w:pStyle w:val="132"/>
              <w:rPr>
                <w:b/>
                <w:bCs/>
              </w:rPr>
            </w:pPr>
            <w:r>
              <w:rPr>
                <w:b/>
                <w:bCs/>
              </w:rPr>
              <w:t>污染类型</w:t>
            </w:r>
          </w:p>
        </w:tc>
        <w:tc>
          <w:tcPr>
            <w:tcW w:w="1391" w:type="dxa"/>
            <w:vAlign w:val="center"/>
          </w:tcPr>
          <w:p>
            <w:pPr>
              <w:pStyle w:val="132"/>
              <w:rPr>
                <w:b/>
                <w:bCs/>
              </w:rPr>
            </w:pPr>
            <w:r>
              <w:rPr>
                <w:b/>
                <w:bCs/>
              </w:rPr>
              <w:t>污染源</w:t>
            </w:r>
          </w:p>
        </w:tc>
        <w:tc>
          <w:tcPr>
            <w:tcW w:w="1558" w:type="dxa"/>
            <w:vAlign w:val="center"/>
          </w:tcPr>
          <w:p>
            <w:pPr>
              <w:pStyle w:val="132"/>
              <w:rPr>
                <w:b/>
                <w:bCs/>
              </w:rPr>
            </w:pPr>
            <w:r>
              <w:rPr>
                <w:b/>
                <w:bCs/>
              </w:rPr>
              <w:t>排放量</w:t>
            </w:r>
          </w:p>
        </w:tc>
        <w:tc>
          <w:tcPr>
            <w:tcW w:w="1045" w:type="dxa"/>
            <w:vAlign w:val="center"/>
          </w:tcPr>
          <w:p>
            <w:pPr>
              <w:pStyle w:val="132"/>
              <w:rPr>
                <w:b/>
                <w:bCs/>
              </w:rPr>
            </w:pPr>
            <w:r>
              <w:rPr>
                <w:b/>
                <w:bCs/>
              </w:rPr>
              <w:t>排放方式</w:t>
            </w:r>
          </w:p>
        </w:tc>
        <w:tc>
          <w:tcPr>
            <w:tcW w:w="1705" w:type="dxa"/>
            <w:vAlign w:val="center"/>
          </w:tcPr>
          <w:p>
            <w:pPr>
              <w:pStyle w:val="132"/>
              <w:rPr>
                <w:b/>
                <w:bCs/>
              </w:rPr>
            </w:pPr>
            <w:r>
              <w:rPr>
                <w:b/>
                <w:bCs/>
              </w:rPr>
              <w:t>主要污染物</w:t>
            </w:r>
          </w:p>
        </w:tc>
        <w:tc>
          <w:tcPr>
            <w:tcW w:w="2521" w:type="dxa"/>
            <w:vAlign w:val="center"/>
          </w:tcPr>
          <w:p>
            <w:pPr>
              <w:pStyle w:val="132"/>
              <w:rPr>
                <w:b/>
                <w:bCs/>
              </w:rPr>
            </w:pPr>
            <w:r>
              <w:rPr>
                <w:b/>
                <w:bCs/>
              </w:rPr>
              <w:t>排放去向</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6" w:hRule="atLeast"/>
          <w:jc w:val="center"/>
        </w:trPr>
        <w:tc>
          <w:tcPr>
            <w:tcW w:w="538" w:type="dxa"/>
            <w:vMerge w:val="restart"/>
            <w:vAlign w:val="center"/>
          </w:tcPr>
          <w:p>
            <w:pPr>
              <w:pStyle w:val="132"/>
            </w:pPr>
            <w:bookmarkStart w:id="357" w:name="_Hlk105536694"/>
            <w:r>
              <w:t>废气</w:t>
            </w:r>
          </w:p>
        </w:tc>
        <w:tc>
          <w:tcPr>
            <w:tcW w:w="1391" w:type="dxa"/>
            <w:vAlign w:val="center"/>
          </w:tcPr>
          <w:p>
            <w:pPr>
              <w:pStyle w:val="132"/>
            </w:pPr>
            <w:r>
              <w:t>车辆行驶、地面开挖</w:t>
            </w:r>
          </w:p>
        </w:tc>
        <w:tc>
          <w:tcPr>
            <w:tcW w:w="1558" w:type="dxa"/>
            <w:vAlign w:val="center"/>
          </w:tcPr>
          <w:p>
            <w:pPr>
              <w:pStyle w:val="132"/>
            </w:pPr>
            <w:r>
              <w:t>少量</w:t>
            </w:r>
          </w:p>
        </w:tc>
        <w:tc>
          <w:tcPr>
            <w:tcW w:w="1045" w:type="dxa"/>
            <w:vAlign w:val="center"/>
          </w:tcPr>
          <w:p>
            <w:pPr>
              <w:pStyle w:val="132"/>
            </w:pPr>
            <w:r>
              <w:t>间断</w:t>
            </w:r>
          </w:p>
        </w:tc>
        <w:tc>
          <w:tcPr>
            <w:tcW w:w="1705" w:type="dxa"/>
            <w:vAlign w:val="center"/>
          </w:tcPr>
          <w:p>
            <w:pPr>
              <w:pStyle w:val="132"/>
            </w:pPr>
            <w:r>
              <w:t>粉尘</w:t>
            </w:r>
          </w:p>
        </w:tc>
        <w:tc>
          <w:tcPr>
            <w:tcW w:w="2521" w:type="dxa"/>
            <w:vMerge w:val="restart"/>
            <w:vAlign w:val="center"/>
          </w:tcPr>
          <w:p>
            <w:pPr>
              <w:pStyle w:val="132"/>
            </w:pPr>
            <w:r>
              <w:t>环境空气</w:t>
            </w:r>
          </w:p>
        </w:tc>
      </w:tr>
      <w:bookmarkEnd w:id="357"/>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538" w:type="dxa"/>
            <w:vMerge w:val="continue"/>
            <w:vAlign w:val="center"/>
          </w:tcPr>
          <w:p>
            <w:pPr>
              <w:pStyle w:val="132"/>
            </w:pPr>
          </w:p>
        </w:tc>
        <w:tc>
          <w:tcPr>
            <w:tcW w:w="1391" w:type="dxa"/>
            <w:vAlign w:val="center"/>
          </w:tcPr>
          <w:p>
            <w:pPr>
              <w:pStyle w:val="132"/>
            </w:pPr>
            <w:r>
              <w:t>施工机械、运输车辆尾气</w:t>
            </w:r>
          </w:p>
        </w:tc>
        <w:tc>
          <w:tcPr>
            <w:tcW w:w="1558" w:type="dxa"/>
            <w:vAlign w:val="center"/>
          </w:tcPr>
          <w:p>
            <w:pPr>
              <w:pStyle w:val="132"/>
            </w:pPr>
            <w:r>
              <w:t>少量</w:t>
            </w:r>
          </w:p>
        </w:tc>
        <w:tc>
          <w:tcPr>
            <w:tcW w:w="1045" w:type="dxa"/>
            <w:vAlign w:val="center"/>
          </w:tcPr>
          <w:p>
            <w:pPr>
              <w:pStyle w:val="132"/>
            </w:pPr>
            <w:r>
              <w:t>间断</w:t>
            </w:r>
          </w:p>
        </w:tc>
        <w:tc>
          <w:tcPr>
            <w:tcW w:w="1705" w:type="dxa"/>
            <w:vAlign w:val="center"/>
          </w:tcPr>
          <w:p>
            <w:pPr>
              <w:pStyle w:val="132"/>
            </w:pPr>
            <w:r>
              <w:t>SO</w:t>
            </w:r>
            <w:r>
              <w:rPr>
                <w:vertAlign w:val="subscript"/>
              </w:rPr>
              <w:t>2</w:t>
            </w:r>
            <w:r>
              <w:t>、NO</w:t>
            </w:r>
            <w:r>
              <w:rPr>
                <w:vertAlign w:val="subscript"/>
              </w:rPr>
              <w:t>2</w:t>
            </w:r>
            <w:r>
              <w:t>、C</w:t>
            </w:r>
            <w:r>
              <w:rPr>
                <w:vertAlign w:val="subscript"/>
              </w:rPr>
              <w:t>m</w:t>
            </w:r>
            <w:r>
              <w:t>H</w:t>
            </w:r>
            <w:r>
              <w:rPr>
                <w:vertAlign w:val="subscript"/>
              </w:rPr>
              <w:t>n</w:t>
            </w:r>
          </w:p>
        </w:tc>
        <w:tc>
          <w:tcPr>
            <w:tcW w:w="2521" w:type="dxa"/>
            <w:vMerge w:val="continue"/>
            <w:vAlign w:val="center"/>
          </w:tcPr>
          <w:p>
            <w:pPr>
              <w:pStyle w:val="132"/>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538" w:type="dxa"/>
            <w:vMerge w:val="continue"/>
            <w:vAlign w:val="center"/>
          </w:tcPr>
          <w:p>
            <w:pPr>
              <w:pStyle w:val="132"/>
            </w:pPr>
          </w:p>
        </w:tc>
        <w:tc>
          <w:tcPr>
            <w:tcW w:w="1391" w:type="dxa"/>
            <w:vAlign w:val="center"/>
          </w:tcPr>
          <w:p>
            <w:pPr>
              <w:pStyle w:val="132"/>
            </w:pPr>
            <w:r>
              <w:rPr>
                <w:szCs w:val="21"/>
              </w:rPr>
              <w:t>焊接</w:t>
            </w:r>
            <w:r>
              <w:rPr>
                <w:rFonts w:hint="eastAsia"/>
                <w:szCs w:val="21"/>
              </w:rPr>
              <w:t>烟尘</w:t>
            </w:r>
          </w:p>
        </w:tc>
        <w:tc>
          <w:tcPr>
            <w:tcW w:w="1558" w:type="dxa"/>
            <w:vAlign w:val="center"/>
          </w:tcPr>
          <w:p>
            <w:pPr>
              <w:pStyle w:val="132"/>
            </w:pPr>
            <w:r>
              <w:rPr>
                <w:rFonts w:hint="eastAsia"/>
              </w:rPr>
              <w:t>4.2</w:t>
            </w:r>
            <w:r>
              <w:t>kg</w:t>
            </w:r>
          </w:p>
        </w:tc>
        <w:tc>
          <w:tcPr>
            <w:tcW w:w="1045" w:type="dxa"/>
            <w:vAlign w:val="center"/>
          </w:tcPr>
          <w:p>
            <w:pPr>
              <w:pStyle w:val="132"/>
            </w:pPr>
            <w:bookmarkStart w:id="358" w:name="OLE_LINK276"/>
            <w:bookmarkStart w:id="359" w:name="OLE_LINK275"/>
            <w:r>
              <w:t>间断</w:t>
            </w:r>
            <w:bookmarkEnd w:id="358"/>
            <w:bookmarkEnd w:id="359"/>
          </w:p>
        </w:tc>
        <w:tc>
          <w:tcPr>
            <w:tcW w:w="1705" w:type="dxa"/>
            <w:vAlign w:val="center"/>
          </w:tcPr>
          <w:p>
            <w:pPr>
              <w:pStyle w:val="132"/>
            </w:pPr>
            <w:r>
              <w:t>烟尘</w:t>
            </w:r>
          </w:p>
        </w:tc>
        <w:tc>
          <w:tcPr>
            <w:tcW w:w="2521" w:type="dxa"/>
            <w:vMerge w:val="continue"/>
            <w:vAlign w:val="center"/>
          </w:tcPr>
          <w:p>
            <w:pPr>
              <w:pStyle w:val="132"/>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538" w:type="dxa"/>
            <w:vMerge w:val="continue"/>
            <w:vAlign w:val="center"/>
          </w:tcPr>
          <w:p>
            <w:pPr>
              <w:pStyle w:val="132"/>
            </w:pPr>
          </w:p>
        </w:tc>
        <w:tc>
          <w:tcPr>
            <w:tcW w:w="1391" w:type="dxa"/>
            <w:vAlign w:val="center"/>
          </w:tcPr>
          <w:p>
            <w:pPr>
              <w:pStyle w:val="132"/>
              <w:rPr>
                <w:szCs w:val="21"/>
              </w:rPr>
            </w:pPr>
            <w:r>
              <w:rPr>
                <w:rFonts w:hint="eastAsia"/>
                <w:szCs w:val="21"/>
              </w:rPr>
              <w:t>气体钻粉尘</w:t>
            </w:r>
          </w:p>
        </w:tc>
        <w:tc>
          <w:tcPr>
            <w:tcW w:w="1558" w:type="dxa"/>
            <w:vAlign w:val="center"/>
          </w:tcPr>
          <w:p>
            <w:pPr>
              <w:pStyle w:val="132"/>
            </w:pPr>
            <w:r>
              <w:t>少量</w:t>
            </w:r>
          </w:p>
        </w:tc>
        <w:tc>
          <w:tcPr>
            <w:tcW w:w="1045" w:type="dxa"/>
            <w:vAlign w:val="center"/>
          </w:tcPr>
          <w:p>
            <w:pPr>
              <w:pStyle w:val="132"/>
            </w:pPr>
            <w:r>
              <w:rPr>
                <w:rFonts w:hint="eastAsia"/>
              </w:rPr>
              <w:t>连续</w:t>
            </w:r>
          </w:p>
        </w:tc>
        <w:tc>
          <w:tcPr>
            <w:tcW w:w="1705" w:type="dxa"/>
            <w:vAlign w:val="center"/>
          </w:tcPr>
          <w:p>
            <w:pPr>
              <w:pStyle w:val="132"/>
            </w:pPr>
            <w:r>
              <w:t>粉尘</w:t>
            </w:r>
          </w:p>
        </w:tc>
        <w:tc>
          <w:tcPr>
            <w:tcW w:w="2521" w:type="dxa"/>
            <w:vMerge w:val="continue"/>
            <w:vAlign w:val="center"/>
          </w:tcPr>
          <w:p>
            <w:pPr>
              <w:pStyle w:val="132"/>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8" w:hRule="atLeast"/>
          <w:jc w:val="center"/>
        </w:trPr>
        <w:tc>
          <w:tcPr>
            <w:tcW w:w="538" w:type="dxa"/>
            <w:vMerge w:val="continue"/>
            <w:vAlign w:val="center"/>
          </w:tcPr>
          <w:p>
            <w:pPr>
              <w:pStyle w:val="132"/>
            </w:pPr>
          </w:p>
        </w:tc>
        <w:tc>
          <w:tcPr>
            <w:tcW w:w="1391" w:type="dxa"/>
            <w:vAlign w:val="center"/>
          </w:tcPr>
          <w:p>
            <w:pPr>
              <w:pStyle w:val="132"/>
            </w:pPr>
            <w:r>
              <w:rPr>
                <w:rFonts w:hint="eastAsia"/>
              </w:rPr>
              <w:t>测试放喷废气</w:t>
            </w:r>
          </w:p>
        </w:tc>
        <w:tc>
          <w:tcPr>
            <w:tcW w:w="1558" w:type="dxa"/>
            <w:vAlign w:val="center"/>
          </w:tcPr>
          <w:p>
            <w:pPr>
              <w:pStyle w:val="132"/>
            </w:pPr>
            <w:r>
              <w:t>少量</w:t>
            </w:r>
          </w:p>
        </w:tc>
        <w:tc>
          <w:tcPr>
            <w:tcW w:w="1045" w:type="dxa"/>
            <w:vAlign w:val="center"/>
          </w:tcPr>
          <w:p>
            <w:pPr>
              <w:pStyle w:val="132"/>
            </w:pPr>
            <w:r>
              <w:t>间断</w:t>
            </w:r>
          </w:p>
        </w:tc>
        <w:tc>
          <w:tcPr>
            <w:tcW w:w="1705" w:type="dxa"/>
            <w:vAlign w:val="center"/>
          </w:tcPr>
          <w:p>
            <w:pPr>
              <w:pStyle w:val="132"/>
            </w:pPr>
            <w:r>
              <w:rPr>
                <w:rFonts w:hint="eastAsia"/>
              </w:rPr>
              <w:t>C</w:t>
            </w:r>
            <w:r>
              <w:t>O</w:t>
            </w:r>
            <w:r>
              <w:rPr>
                <w:vertAlign w:val="subscript"/>
              </w:rPr>
              <w:t>2</w:t>
            </w:r>
          </w:p>
        </w:tc>
        <w:tc>
          <w:tcPr>
            <w:tcW w:w="2521" w:type="dxa"/>
            <w:vMerge w:val="continue"/>
            <w:vAlign w:val="center"/>
          </w:tcPr>
          <w:p>
            <w:pPr>
              <w:pStyle w:val="132"/>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6" w:hRule="atLeast"/>
          <w:jc w:val="center"/>
        </w:trPr>
        <w:tc>
          <w:tcPr>
            <w:tcW w:w="538" w:type="dxa"/>
            <w:vMerge w:val="restart"/>
            <w:vAlign w:val="center"/>
          </w:tcPr>
          <w:p>
            <w:pPr>
              <w:pStyle w:val="132"/>
            </w:pPr>
            <w:r>
              <w:t>废水</w:t>
            </w:r>
          </w:p>
        </w:tc>
        <w:tc>
          <w:tcPr>
            <w:tcW w:w="1391" w:type="dxa"/>
            <w:vAlign w:val="center"/>
          </w:tcPr>
          <w:p>
            <w:pPr>
              <w:pStyle w:val="132"/>
            </w:pPr>
            <w:r>
              <w:t>施工人员生活污水</w:t>
            </w:r>
          </w:p>
        </w:tc>
        <w:tc>
          <w:tcPr>
            <w:tcW w:w="1558" w:type="dxa"/>
            <w:vAlign w:val="center"/>
          </w:tcPr>
          <w:p>
            <w:pPr>
              <w:pStyle w:val="132"/>
            </w:pPr>
            <w:r>
              <w:rPr>
                <w:rFonts w:hint="eastAsia"/>
              </w:rPr>
              <w:t>276</w:t>
            </w:r>
            <w:r>
              <w:t>m</w:t>
            </w:r>
            <w:r>
              <w:rPr>
                <w:vertAlign w:val="superscript"/>
              </w:rPr>
              <w:t>3</w:t>
            </w:r>
          </w:p>
        </w:tc>
        <w:tc>
          <w:tcPr>
            <w:tcW w:w="1045" w:type="dxa"/>
            <w:vAlign w:val="center"/>
          </w:tcPr>
          <w:p>
            <w:pPr>
              <w:pStyle w:val="132"/>
            </w:pPr>
            <w:r>
              <w:t>间断</w:t>
            </w:r>
          </w:p>
        </w:tc>
        <w:tc>
          <w:tcPr>
            <w:tcW w:w="1705" w:type="dxa"/>
            <w:vAlign w:val="center"/>
          </w:tcPr>
          <w:p>
            <w:pPr>
              <w:pStyle w:val="132"/>
            </w:pPr>
            <w:r>
              <w:t>COD、BOD</w:t>
            </w:r>
            <w:r>
              <w:rPr>
                <w:vertAlign w:val="subscript"/>
              </w:rPr>
              <w:t>5</w:t>
            </w:r>
            <w:r>
              <w:t>、氨氮</w:t>
            </w:r>
          </w:p>
        </w:tc>
        <w:tc>
          <w:tcPr>
            <w:tcW w:w="2521" w:type="dxa"/>
            <w:vAlign w:val="center"/>
          </w:tcPr>
          <w:p>
            <w:pPr>
              <w:pStyle w:val="132"/>
            </w:pPr>
            <w:r>
              <w:rPr>
                <w:spacing w:val="-8"/>
                <w:szCs w:val="21"/>
              </w:rPr>
              <w:t>施工期管线施工人员生活污水依托租用附近居民房收集处理</w:t>
            </w:r>
            <w:r>
              <w:rPr>
                <w:rFonts w:hint="eastAsia"/>
                <w:spacing w:val="-8"/>
                <w:szCs w:val="21"/>
              </w:rPr>
              <w:t>，井</w:t>
            </w:r>
            <w:r>
              <w:rPr>
                <w:spacing w:val="-8"/>
                <w:szCs w:val="21"/>
              </w:rPr>
              <w:t>场</w:t>
            </w:r>
            <w:r>
              <w:rPr>
                <w:rFonts w:hint="eastAsia"/>
                <w:spacing w:val="-8"/>
                <w:szCs w:val="21"/>
              </w:rPr>
              <w:t>、钻井</w:t>
            </w:r>
            <w:r>
              <w:rPr>
                <w:spacing w:val="-8"/>
                <w:szCs w:val="21"/>
              </w:rPr>
              <w:t>施工</w:t>
            </w:r>
            <w:r>
              <w:rPr>
                <w:rFonts w:hint="eastAsia"/>
                <w:spacing w:val="-8"/>
                <w:szCs w:val="21"/>
                <w:lang w:eastAsia="zh-CN"/>
              </w:rPr>
              <w:t>如厕</w:t>
            </w:r>
            <w:r>
              <w:rPr>
                <w:spacing w:val="-8"/>
                <w:szCs w:val="21"/>
              </w:rPr>
              <w:t>生活污水</w:t>
            </w:r>
            <w:r>
              <w:rPr>
                <w:rFonts w:hint="eastAsia"/>
                <w:spacing w:val="-8"/>
                <w:szCs w:val="21"/>
              </w:rPr>
              <w:t>经生态</w:t>
            </w:r>
            <w:r>
              <w:rPr>
                <w:spacing w:val="-8"/>
                <w:szCs w:val="21"/>
              </w:rPr>
              <w:t>环保厕所收集后，用作周边农肥，不外排</w:t>
            </w:r>
            <w:r>
              <w:rPr>
                <w:rFonts w:hint="eastAsia"/>
                <w:spacing w:val="-8"/>
                <w:szCs w:val="21"/>
              </w:rPr>
              <w:t>，员工洗澡、食堂废水经单独收集后拉运至黄金镇场镇污水处理厂处理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538" w:type="dxa"/>
            <w:vMerge w:val="continue"/>
            <w:vAlign w:val="center"/>
          </w:tcPr>
          <w:p>
            <w:pPr>
              <w:pStyle w:val="132"/>
            </w:pPr>
          </w:p>
        </w:tc>
        <w:tc>
          <w:tcPr>
            <w:tcW w:w="1391" w:type="dxa"/>
            <w:vAlign w:val="center"/>
          </w:tcPr>
          <w:p>
            <w:pPr>
              <w:pStyle w:val="132"/>
            </w:pPr>
            <w:r>
              <w:t>管道清管试压排水</w:t>
            </w:r>
          </w:p>
        </w:tc>
        <w:tc>
          <w:tcPr>
            <w:tcW w:w="1558" w:type="dxa"/>
            <w:vAlign w:val="center"/>
          </w:tcPr>
          <w:p>
            <w:pPr>
              <w:pStyle w:val="132"/>
              <w:rPr>
                <w:color w:val="FF0000"/>
              </w:rPr>
            </w:pPr>
            <w:r>
              <w:rPr>
                <w:rFonts w:hint="eastAsia"/>
                <w:color w:val="FF0000"/>
              </w:rPr>
              <w:t>1</w:t>
            </w:r>
            <w:r>
              <w:rPr>
                <w:color w:val="FF0000"/>
              </w:rPr>
              <w:t>0m</w:t>
            </w:r>
            <w:r>
              <w:rPr>
                <w:color w:val="FF0000"/>
                <w:vertAlign w:val="superscript"/>
              </w:rPr>
              <w:t>3</w:t>
            </w:r>
          </w:p>
        </w:tc>
        <w:tc>
          <w:tcPr>
            <w:tcW w:w="1045" w:type="dxa"/>
            <w:vAlign w:val="center"/>
          </w:tcPr>
          <w:p>
            <w:pPr>
              <w:pStyle w:val="132"/>
            </w:pPr>
            <w:r>
              <w:t>间断</w:t>
            </w:r>
          </w:p>
        </w:tc>
        <w:tc>
          <w:tcPr>
            <w:tcW w:w="1705" w:type="dxa"/>
            <w:vAlign w:val="center"/>
          </w:tcPr>
          <w:p>
            <w:pPr>
              <w:pStyle w:val="132"/>
            </w:pPr>
            <w:r>
              <w:t>少量铁锈、泥沙</w:t>
            </w:r>
          </w:p>
        </w:tc>
        <w:tc>
          <w:tcPr>
            <w:tcW w:w="2521" w:type="dxa"/>
            <w:vAlign w:val="center"/>
          </w:tcPr>
          <w:p>
            <w:pPr>
              <w:pStyle w:val="132"/>
            </w:pPr>
            <w:r>
              <w:t>沉淀池沉淀后</w:t>
            </w:r>
            <w:r>
              <w:rPr>
                <w:rFonts w:hint="eastAsia"/>
              </w:rPr>
              <w:t>回用，不外排</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538" w:type="dxa"/>
            <w:vMerge w:val="continue"/>
            <w:vAlign w:val="center"/>
          </w:tcPr>
          <w:p>
            <w:pPr>
              <w:pStyle w:val="132"/>
            </w:pPr>
          </w:p>
        </w:tc>
        <w:tc>
          <w:tcPr>
            <w:tcW w:w="1391" w:type="dxa"/>
            <w:vAlign w:val="center"/>
          </w:tcPr>
          <w:p>
            <w:pPr>
              <w:pStyle w:val="132"/>
            </w:pPr>
            <w:r>
              <w:rPr>
                <w:rFonts w:hint="eastAsia"/>
              </w:rPr>
              <w:t>井场</w:t>
            </w:r>
            <w:r>
              <w:t>施工废水</w:t>
            </w:r>
          </w:p>
        </w:tc>
        <w:tc>
          <w:tcPr>
            <w:tcW w:w="1558" w:type="dxa"/>
            <w:vAlign w:val="center"/>
          </w:tcPr>
          <w:p>
            <w:pPr>
              <w:pStyle w:val="132"/>
            </w:pPr>
            <w:r>
              <w:rPr>
                <w:rFonts w:hint="eastAsia"/>
              </w:rPr>
              <w:t>/</w:t>
            </w:r>
          </w:p>
        </w:tc>
        <w:tc>
          <w:tcPr>
            <w:tcW w:w="1045" w:type="dxa"/>
            <w:vAlign w:val="center"/>
          </w:tcPr>
          <w:p>
            <w:pPr>
              <w:pStyle w:val="132"/>
            </w:pPr>
            <w:r>
              <w:t>间断</w:t>
            </w:r>
          </w:p>
        </w:tc>
        <w:tc>
          <w:tcPr>
            <w:tcW w:w="1705" w:type="dxa"/>
            <w:vAlign w:val="center"/>
          </w:tcPr>
          <w:p>
            <w:pPr>
              <w:pStyle w:val="132"/>
            </w:pPr>
            <w:bookmarkStart w:id="360" w:name="OLE_LINK284"/>
            <w:r>
              <w:t>SS</w:t>
            </w:r>
            <w:bookmarkEnd w:id="360"/>
          </w:p>
        </w:tc>
        <w:tc>
          <w:tcPr>
            <w:tcW w:w="2521" w:type="dxa"/>
            <w:vAlign w:val="center"/>
          </w:tcPr>
          <w:p>
            <w:pPr>
              <w:pStyle w:val="132"/>
            </w:pPr>
            <w:r>
              <w:t>经隔油沉淀池收集处理后，洒水降尘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538" w:type="dxa"/>
            <w:vMerge w:val="continue"/>
            <w:vAlign w:val="center"/>
          </w:tcPr>
          <w:p>
            <w:pPr>
              <w:pStyle w:val="132"/>
            </w:pPr>
          </w:p>
        </w:tc>
        <w:tc>
          <w:tcPr>
            <w:tcW w:w="1391" w:type="dxa"/>
            <w:vAlign w:val="center"/>
          </w:tcPr>
          <w:p>
            <w:pPr>
              <w:pStyle w:val="132"/>
            </w:pPr>
            <w:r>
              <w:rPr>
                <w:rFonts w:hint="eastAsia"/>
              </w:rPr>
              <w:t>初期雨水</w:t>
            </w:r>
          </w:p>
        </w:tc>
        <w:tc>
          <w:tcPr>
            <w:tcW w:w="1558" w:type="dxa"/>
            <w:vAlign w:val="center"/>
          </w:tcPr>
          <w:p>
            <w:pPr>
              <w:pStyle w:val="132"/>
            </w:pPr>
            <w:r>
              <w:rPr>
                <w:rFonts w:hint="eastAsia"/>
              </w:rPr>
              <w:t>178</w:t>
            </w:r>
            <w:r>
              <w:t>m</w:t>
            </w:r>
            <w:r>
              <w:rPr>
                <w:vertAlign w:val="superscript"/>
              </w:rPr>
              <w:t>3</w:t>
            </w:r>
          </w:p>
        </w:tc>
        <w:tc>
          <w:tcPr>
            <w:tcW w:w="1045" w:type="dxa"/>
            <w:vAlign w:val="center"/>
          </w:tcPr>
          <w:p>
            <w:pPr>
              <w:pStyle w:val="132"/>
            </w:pPr>
            <w:r>
              <w:rPr>
                <w:rFonts w:hint="eastAsia"/>
              </w:rPr>
              <w:t>连续</w:t>
            </w:r>
          </w:p>
        </w:tc>
        <w:tc>
          <w:tcPr>
            <w:tcW w:w="1705" w:type="dxa"/>
            <w:vAlign w:val="center"/>
          </w:tcPr>
          <w:p>
            <w:pPr>
              <w:pStyle w:val="132"/>
            </w:pPr>
            <w:r>
              <w:rPr>
                <w:rFonts w:hint="eastAsia"/>
              </w:rPr>
              <w:t>石油类</w:t>
            </w:r>
          </w:p>
        </w:tc>
        <w:tc>
          <w:tcPr>
            <w:tcW w:w="2521" w:type="dxa"/>
            <w:vAlign w:val="center"/>
          </w:tcPr>
          <w:p>
            <w:pPr>
              <w:pStyle w:val="132"/>
            </w:pPr>
            <w:r>
              <w:t>井场内四周设排水边沟，井场雨水随四周排水边沟汇至排放口，排放口设环保检测池，初期雨水</w:t>
            </w:r>
            <w:r>
              <w:rPr>
                <w:rFonts w:hint="eastAsia"/>
              </w:rPr>
              <w:t>经清洁化操作平台</w:t>
            </w:r>
            <w:r>
              <w:t>处理达到毛开1井回注标准后回注。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538" w:type="dxa"/>
            <w:vMerge w:val="continue"/>
            <w:vAlign w:val="center"/>
          </w:tcPr>
          <w:p>
            <w:pPr>
              <w:pStyle w:val="132"/>
            </w:pPr>
          </w:p>
        </w:tc>
        <w:tc>
          <w:tcPr>
            <w:tcW w:w="1391" w:type="dxa"/>
            <w:vAlign w:val="center"/>
          </w:tcPr>
          <w:p>
            <w:pPr>
              <w:pStyle w:val="132"/>
            </w:pPr>
            <w:r>
              <w:rPr>
                <w:rFonts w:hint="eastAsia"/>
              </w:rPr>
              <w:t>钻井废水</w:t>
            </w:r>
          </w:p>
        </w:tc>
        <w:tc>
          <w:tcPr>
            <w:tcW w:w="1558" w:type="dxa"/>
            <w:vAlign w:val="center"/>
          </w:tcPr>
          <w:p>
            <w:pPr>
              <w:pStyle w:val="132"/>
            </w:pPr>
            <w:bookmarkStart w:id="361" w:name="OLE_LINK292"/>
            <w:bookmarkStart w:id="362" w:name="OLE_LINK291"/>
            <w:r>
              <w:rPr>
                <w:rFonts w:hint="eastAsia"/>
              </w:rPr>
              <w:t>277.6</w:t>
            </w:r>
            <w:r>
              <w:t>m</w:t>
            </w:r>
            <w:r>
              <w:rPr>
                <w:vertAlign w:val="superscript"/>
              </w:rPr>
              <w:t>3</w:t>
            </w:r>
            <w:bookmarkEnd w:id="361"/>
            <w:bookmarkEnd w:id="362"/>
          </w:p>
        </w:tc>
        <w:tc>
          <w:tcPr>
            <w:tcW w:w="1045" w:type="dxa"/>
            <w:vAlign w:val="center"/>
          </w:tcPr>
          <w:p>
            <w:pPr>
              <w:pStyle w:val="132"/>
            </w:pPr>
            <w:bookmarkStart w:id="363" w:name="OLE_LINK293"/>
            <w:bookmarkStart w:id="364" w:name="OLE_LINK294"/>
            <w:r>
              <w:rPr>
                <w:rFonts w:hint="eastAsia"/>
              </w:rPr>
              <w:t>连续</w:t>
            </w:r>
            <w:bookmarkEnd w:id="363"/>
            <w:bookmarkEnd w:id="364"/>
          </w:p>
        </w:tc>
        <w:tc>
          <w:tcPr>
            <w:tcW w:w="1705" w:type="dxa"/>
            <w:vAlign w:val="center"/>
          </w:tcPr>
          <w:p>
            <w:pPr>
              <w:pStyle w:val="132"/>
            </w:pPr>
            <w:bookmarkStart w:id="365" w:name="OLE_LINK296"/>
            <w:bookmarkStart w:id="366" w:name="OLE_LINK295"/>
            <w:r>
              <w:t>SS</w:t>
            </w:r>
            <w:r>
              <w:rPr>
                <w:rFonts w:hint="eastAsia"/>
              </w:rPr>
              <w:t>、石油类</w:t>
            </w:r>
            <w:bookmarkEnd w:id="365"/>
            <w:bookmarkEnd w:id="366"/>
          </w:p>
        </w:tc>
        <w:tc>
          <w:tcPr>
            <w:tcW w:w="2521" w:type="dxa"/>
            <w:vAlign w:val="center"/>
          </w:tcPr>
          <w:p>
            <w:pPr>
              <w:pStyle w:val="132"/>
            </w:pPr>
            <w:bookmarkStart w:id="367" w:name="_Hlk105537152"/>
            <w:r>
              <w:t>钻井废水</w:t>
            </w:r>
            <w:r>
              <w:rPr>
                <w:rFonts w:hint="eastAsia"/>
              </w:rPr>
              <w:t>经清洁化操作平台</w:t>
            </w:r>
            <w:r>
              <w:t>预处理后达到毛开1井回注标准后，拉运至毛开1井回注</w:t>
            </w:r>
            <w:bookmarkEnd w:id="367"/>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6" w:hRule="atLeast"/>
          <w:jc w:val="center"/>
        </w:trPr>
        <w:tc>
          <w:tcPr>
            <w:tcW w:w="538" w:type="dxa"/>
            <w:vMerge w:val="continue"/>
            <w:vAlign w:val="center"/>
          </w:tcPr>
          <w:p>
            <w:pPr>
              <w:pStyle w:val="132"/>
            </w:pPr>
          </w:p>
        </w:tc>
        <w:tc>
          <w:tcPr>
            <w:tcW w:w="1391" w:type="dxa"/>
            <w:vAlign w:val="center"/>
          </w:tcPr>
          <w:p>
            <w:pPr>
              <w:pStyle w:val="132"/>
            </w:pPr>
            <w:r>
              <w:rPr>
                <w:rFonts w:hint="eastAsia"/>
              </w:rPr>
              <w:t>压裂、洗井废水</w:t>
            </w:r>
          </w:p>
        </w:tc>
        <w:tc>
          <w:tcPr>
            <w:tcW w:w="1558" w:type="dxa"/>
            <w:vAlign w:val="center"/>
          </w:tcPr>
          <w:p>
            <w:pPr>
              <w:pStyle w:val="132"/>
            </w:pPr>
            <w:bookmarkStart w:id="368" w:name="OLE_LINK14"/>
            <w:bookmarkStart w:id="369" w:name="OLE_LINK13"/>
            <w:r>
              <w:rPr>
                <w:rFonts w:hint="eastAsia"/>
              </w:rPr>
              <w:t>3459</w:t>
            </w:r>
            <w:r>
              <w:t>m</w:t>
            </w:r>
            <w:r>
              <w:rPr>
                <w:vertAlign w:val="superscript"/>
              </w:rPr>
              <w:t>3</w:t>
            </w:r>
            <w:bookmarkEnd w:id="368"/>
            <w:bookmarkEnd w:id="369"/>
          </w:p>
        </w:tc>
        <w:tc>
          <w:tcPr>
            <w:tcW w:w="1045" w:type="dxa"/>
            <w:vAlign w:val="center"/>
          </w:tcPr>
          <w:p>
            <w:pPr>
              <w:pStyle w:val="132"/>
            </w:pPr>
            <w:bookmarkStart w:id="370" w:name="OLE_LINK301"/>
            <w:bookmarkStart w:id="371" w:name="OLE_LINK302"/>
            <w:r>
              <w:rPr>
                <w:rFonts w:hint="eastAsia"/>
              </w:rPr>
              <w:t>连续</w:t>
            </w:r>
            <w:bookmarkEnd w:id="370"/>
            <w:bookmarkEnd w:id="371"/>
          </w:p>
        </w:tc>
        <w:tc>
          <w:tcPr>
            <w:tcW w:w="1705" w:type="dxa"/>
            <w:vAlign w:val="center"/>
          </w:tcPr>
          <w:p>
            <w:pPr>
              <w:pStyle w:val="132"/>
            </w:pPr>
            <w:r>
              <w:rPr>
                <w:rFonts w:hint="eastAsia"/>
              </w:rPr>
              <w:t>pH、COD、</w:t>
            </w:r>
            <w:r>
              <w:t>SS</w:t>
            </w:r>
            <w:r>
              <w:rPr>
                <w:rFonts w:hint="eastAsia"/>
              </w:rPr>
              <w:t>、石油类、挥发酚、氯离子</w:t>
            </w:r>
          </w:p>
        </w:tc>
        <w:tc>
          <w:tcPr>
            <w:tcW w:w="2521" w:type="dxa"/>
            <w:vAlign w:val="center"/>
          </w:tcPr>
          <w:p>
            <w:pPr>
              <w:pStyle w:val="132"/>
            </w:pPr>
            <w:r>
              <w:rPr>
                <w:spacing w:val="-8"/>
                <w:szCs w:val="21"/>
              </w:rPr>
              <w:t>压裂废水和洗井废水</w:t>
            </w:r>
            <w:r>
              <w:rPr>
                <w:rFonts w:hint="eastAsia"/>
                <w:spacing w:val="-8"/>
                <w:szCs w:val="21"/>
              </w:rPr>
              <w:t>依托现有污水池收集，并及时通过罐车拉运至大湾403污水站处理达标后管输至毛开1井回注站回注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22" w:hRule="atLeast"/>
          <w:jc w:val="center"/>
        </w:trPr>
        <w:tc>
          <w:tcPr>
            <w:tcW w:w="538" w:type="dxa"/>
            <w:vMerge w:val="restart"/>
            <w:vAlign w:val="center"/>
          </w:tcPr>
          <w:p>
            <w:pPr>
              <w:pStyle w:val="132"/>
            </w:pPr>
            <w:r>
              <w:t>固废</w:t>
            </w:r>
          </w:p>
        </w:tc>
        <w:tc>
          <w:tcPr>
            <w:tcW w:w="1391" w:type="dxa"/>
            <w:vAlign w:val="center"/>
          </w:tcPr>
          <w:p>
            <w:pPr>
              <w:pStyle w:val="132"/>
            </w:pPr>
            <w:r>
              <w:t>生活垃圾</w:t>
            </w:r>
          </w:p>
        </w:tc>
        <w:tc>
          <w:tcPr>
            <w:tcW w:w="1558" w:type="dxa"/>
            <w:vAlign w:val="center"/>
          </w:tcPr>
          <w:p>
            <w:pPr>
              <w:pStyle w:val="132"/>
            </w:pPr>
            <w:r>
              <w:rPr>
                <w:rFonts w:hint="eastAsia"/>
              </w:rPr>
              <w:t>2.1</w:t>
            </w:r>
            <w:r>
              <w:t>t</w:t>
            </w:r>
          </w:p>
        </w:tc>
        <w:tc>
          <w:tcPr>
            <w:tcW w:w="1045" w:type="dxa"/>
            <w:vAlign w:val="center"/>
          </w:tcPr>
          <w:p>
            <w:pPr>
              <w:pStyle w:val="132"/>
            </w:pPr>
            <w:r>
              <w:t>间断</w:t>
            </w:r>
          </w:p>
        </w:tc>
        <w:tc>
          <w:tcPr>
            <w:tcW w:w="1705" w:type="dxa"/>
            <w:vAlign w:val="center"/>
          </w:tcPr>
          <w:p>
            <w:pPr>
              <w:pStyle w:val="132"/>
            </w:pPr>
            <w:bookmarkStart w:id="372" w:name="OLE_LINK285"/>
            <w:bookmarkStart w:id="373" w:name="OLE_LINK286"/>
            <w:r>
              <w:t>/</w:t>
            </w:r>
            <w:bookmarkEnd w:id="372"/>
            <w:bookmarkEnd w:id="373"/>
          </w:p>
        </w:tc>
        <w:tc>
          <w:tcPr>
            <w:tcW w:w="2521" w:type="dxa"/>
            <w:vAlign w:val="center"/>
          </w:tcPr>
          <w:p>
            <w:pPr>
              <w:pStyle w:val="132"/>
            </w:pPr>
            <w:r>
              <w:t>当地环卫部门处理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77" w:hRule="atLeast"/>
          <w:jc w:val="center"/>
        </w:trPr>
        <w:tc>
          <w:tcPr>
            <w:tcW w:w="538" w:type="dxa"/>
            <w:vMerge w:val="continue"/>
            <w:vAlign w:val="center"/>
          </w:tcPr>
          <w:p>
            <w:pPr>
              <w:pStyle w:val="132"/>
            </w:pPr>
          </w:p>
        </w:tc>
        <w:tc>
          <w:tcPr>
            <w:tcW w:w="1391" w:type="dxa"/>
            <w:vMerge w:val="restart"/>
            <w:vAlign w:val="center"/>
          </w:tcPr>
          <w:p>
            <w:pPr>
              <w:pStyle w:val="132"/>
            </w:pPr>
            <w:r>
              <w:t>施工废料</w:t>
            </w:r>
          </w:p>
        </w:tc>
        <w:tc>
          <w:tcPr>
            <w:tcW w:w="1558" w:type="dxa"/>
            <w:vAlign w:val="center"/>
          </w:tcPr>
          <w:p>
            <w:pPr>
              <w:pStyle w:val="132"/>
            </w:pPr>
            <w:r>
              <w:rPr>
                <w:rFonts w:hint="eastAsia"/>
              </w:rPr>
              <w:t>0.07</w:t>
            </w:r>
            <w:r>
              <w:t>t</w:t>
            </w:r>
          </w:p>
        </w:tc>
        <w:tc>
          <w:tcPr>
            <w:tcW w:w="1045" w:type="dxa"/>
            <w:vAlign w:val="center"/>
          </w:tcPr>
          <w:p>
            <w:pPr>
              <w:pStyle w:val="132"/>
            </w:pPr>
            <w:r>
              <w:t>间断</w:t>
            </w:r>
          </w:p>
        </w:tc>
        <w:tc>
          <w:tcPr>
            <w:tcW w:w="1705" w:type="dxa"/>
            <w:vAlign w:val="center"/>
          </w:tcPr>
          <w:p>
            <w:pPr>
              <w:pStyle w:val="132"/>
            </w:pPr>
            <w:r>
              <w:t>铁屑、废焊条、废弃混凝土等</w:t>
            </w:r>
          </w:p>
        </w:tc>
        <w:tc>
          <w:tcPr>
            <w:tcW w:w="2521" w:type="dxa"/>
            <w:vAlign w:val="center"/>
          </w:tcPr>
          <w:p>
            <w:pPr>
              <w:pStyle w:val="132"/>
            </w:pPr>
            <w:r>
              <w:t>部分回收利用，剩余部分当地环卫部门处理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77" w:hRule="atLeast"/>
          <w:jc w:val="center"/>
        </w:trPr>
        <w:tc>
          <w:tcPr>
            <w:tcW w:w="538" w:type="dxa"/>
            <w:vMerge w:val="continue"/>
            <w:vAlign w:val="center"/>
          </w:tcPr>
          <w:p>
            <w:pPr>
              <w:pStyle w:val="132"/>
            </w:pPr>
          </w:p>
        </w:tc>
        <w:tc>
          <w:tcPr>
            <w:tcW w:w="1391" w:type="dxa"/>
            <w:vMerge w:val="continue"/>
            <w:vAlign w:val="center"/>
          </w:tcPr>
          <w:p>
            <w:pPr>
              <w:pStyle w:val="132"/>
            </w:pPr>
          </w:p>
        </w:tc>
        <w:tc>
          <w:tcPr>
            <w:tcW w:w="1558" w:type="dxa"/>
            <w:vAlign w:val="center"/>
          </w:tcPr>
          <w:p>
            <w:pPr>
              <w:pStyle w:val="132"/>
            </w:pPr>
            <w:r>
              <w:t>一定量</w:t>
            </w:r>
          </w:p>
        </w:tc>
        <w:tc>
          <w:tcPr>
            <w:tcW w:w="1045" w:type="dxa"/>
            <w:vAlign w:val="center"/>
          </w:tcPr>
          <w:p>
            <w:pPr>
              <w:pStyle w:val="132"/>
            </w:pPr>
            <w:bookmarkStart w:id="374" w:name="OLE_LINK63"/>
            <w:bookmarkStart w:id="375" w:name="OLE_LINK73"/>
            <w:r>
              <w:t>间断</w:t>
            </w:r>
            <w:bookmarkEnd w:id="374"/>
            <w:bookmarkEnd w:id="375"/>
          </w:p>
        </w:tc>
        <w:tc>
          <w:tcPr>
            <w:tcW w:w="1705" w:type="dxa"/>
            <w:vAlign w:val="center"/>
          </w:tcPr>
          <w:p>
            <w:pPr>
              <w:pStyle w:val="132"/>
            </w:pPr>
            <w:r>
              <w:t>接口处废弃防腐材料及少量废油漆桶</w:t>
            </w:r>
          </w:p>
        </w:tc>
        <w:tc>
          <w:tcPr>
            <w:tcW w:w="2521" w:type="dxa"/>
            <w:vAlign w:val="center"/>
          </w:tcPr>
          <w:p>
            <w:pPr>
              <w:pStyle w:val="132"/>
            </w:pPr>
            <w:r>
              <w:t>施工单位收集后交有资质单位处置</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77" w:hRule="atLeast"/>
          <w:jc w:val="center"/>
        </w:trPr>
        <w:tc>
          <w:tcPr>
            <w:tcW w:w="538" w:type="dxa"/>
            <w:vMerge w:val="continue"/>
            <w:vAlign w:val="center"/>
          </w:tcPr>
          <w:p>
            <w:pPr>
              <w:pStyle w:val="132"/>
            </w:pPr>
          </w:p>
        </w:tc>
        <w:tc>
          <w:tcPr>
            <w:tcW w:w="1391" w:type="dxa"/>
            <w:vAlign w:val="center"/>
          </w:tcPr>
          <w:p>
            <w:pPr>
              <w:pStyle w:val="132"/>
            </w:pPr>
            <w:r>
              <w:rPr>
                <w:rFonts w:hint="eastAsia"/>
              </w:rPr>
              <w:t>水基岩屑</w:t>
            </w:r>
          </w:p>
        </w:tc>
        <w:tc>
          <w:tcPr>
            <w:tcW w:w="1558" w:type="dxa"/>
            <w:vAlign w:val="center"/>
          </w:tcPr>
          <w:p>
            <w:pPr>
              <w:pStyle w:val="132"/>
            </w:pPr>
            <w:r>
              <w:rPr>
                <w:rFonts w:hint="eastAsia"/>
              </w:rPr>
              <w:t>308.8</w:t>
            </w:r>
            <w:r>
              <w:t>m</w:t>
            </w:r>
            <w:r>
              <w:rPr>
                <w:vertAlign w:val="superscript"/>
              </w:rPr>
              <w:t>3</w:t>
            </w:r>
          </w:p>
        </w:tc>
        <w:tc>
          <w:tcPr>
            <w:tcW w:w="1045" w:type="dxa"/>
            <w:vAlign w:val="center"/>
          </w:tcPr>
          <w:p>
            <w:pPr>
              <w:pStyle w:val="132"/>
            </w:pPr>
            <w:r>
              <w:rPr>
                <w:rFonts w:hint="eastAsia"/>
              </w:rPr>
              <w:t>连续</w:t>
            </w:r>
          </w:p>
        </w:tc>
        <w:tc>
          <w:tcPr>
            <w:tcW w:w="1705" w:type="dxa"/>
            <w:vAlign w:val="center"/>
          </w:tcPr>
          <w:p>
            <w:pPr>
              <w:pStyle w:val="132"/>
            </w:pPr>
            <w:r>
              <w:t>/</w:t>
            </w:r>
          </w:p>
        </w:tc>
        <w:tc>
          <w:tcPr>
            <w:tcW w:w="2521" w:type="dxa"/>
            <w:vMerge w:val="restart"/>
            <w:vAlign w:val="center"/>
          </w:tcPr>
          <w:p>
            <w:pPr>
              <w:pStyle w:val="132"/>
            </w:pPr>
            <w:r>
              <w:rPr>
                <w:rFonts w:hint="eastAsia"/>
              </w:rPr>
              <w:t>本项目采用清洁化操作平台，并采取泥浆不落地措施。</w:t>
            </w:r>
            <w:r>
              <w:rPr>
                <w:rFonts w:hint="eastAsia"/>
                <w:bCs/>
              </w:rPr>
              <w:t>就近交给依法取得生态环境部门关于利用和处置相关工业固体废物项目环评批复、具有处理处置相应固体废物能力并配套建设有废气、废水、固废等污染物治理设施的单位进行资源化利用。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77" w:hRule="atLeast"/>
          <w:jc w:val="center"/>
        </w:trPr>
        <w:tc>
          <w:tcPr>
            <w:tcW w:w="538" w:type="dxa"/>
            <w:vMerge w:val="continue"/>
            <w:vAlign w:val="center"/>
          </w:tcPr>
          <w:p>
            <w:pPr>
              <w:pStyle w:val="132"/>
            </w:pPr>
          </w:p>
        </w:tc>
        <w:tc>
          <w:tcPr>
            <w:tcW w:w="1391" w:type="dxa"/>
            <w:vAlign w:val="center"/>
          </w:tcPr>
          <w:p>
            <w:pPr>
              <w:pStyle w:val="132"/>
            </w:pPr>
            <w:r>
              <w:rPr>
                <w:rFonts w:hint="eastAsia"/>
              </w:rPr>
              <w:t>废水基泥浆</w:t>
            </w:r>
          </w:p>
        </w:tc>
        <w:tc>
          <w:tcPr>
            <w:tcW w:w="1558" w:type="dxa"/>
            <w:vAlign w:val="center"/>
          </w:tcPr>
          <w:p>
            <w:pPr>
              <w:pStyle w:val="132"/>
            </w:pPr>
            <w:bookmarkStart w:id="376" w:name="OLE_LINK54"/>
            <w:bookmarkStart w:id="377" w:name="OLE_LINK53"/>
            <w:r>
              <w:rPr>
                <w:rFonts w:hint="eastAsia"/>
              </w:rPr>
              <w:t>18.55m</w:t>
            </w:r>
            <w:r>
              <w:rPr>
                <w:rFonts w:hint="eastAsia"/>
                <w:vertAlign w:val="superscript"/>
              </w:rPr>
              <w:t>3</w:t>
            </w:r>
            <w:bookmarkEnd w:id="376"/>
            <w:bookmarkEnd w:id="377"/>
          </w:p>
        </w:tc>
        <w:tc>
          <w:tcPr>
            <w:tcW w:w="1045" w:type="dxa"/>
            <w:vAlign w:val="center"/>
          </w:tcPr>
          <w:p>
            <w:pPr>
              <w:pStyle w:val="132"/>
            </w:pPr>
            <w:r>
              <w:rPr>
                <w:rFonts w:hint="eastAsia"/>
              </w:rPr>
              <w:t>连续</w:t>
            </w:r>
          </w:p>
        </w:tc>
        <w:tc>
          <w:tcPr>
            <w:tcW w:w="1705" w:type="dxa"/>
            <w:vAlign w:val="center"/>
          </w:tcPr>
          <w:p>
            <w:pPr>
              <w:pStyle w:val="132"/>
            </w:pPr>
            <w:r>
              <w:t>/</w:t>
            </w:r>
          </w:p>
        </w:tc>
        <w:tc>
          <w:tcPr>
            <w:tcW w:w="2521" w:type="dxa"/>
            <w:vMerge w:val="continue"/>
            <w:vAlign w:val="center"/>
          </w:tcPr>
          <w:p>
            <w:pPr>
              <w:pStyle w:val="132"/>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77" w:hRule="atLeast"/>
          <w:jc w:val="center"/>
        </w:trPr>
        <w:tc>
          <w:tcPr>
            <w:tcW w:w="538" w:type="dxa"/>
            <w:vMerge w:val="continue"/>
            <w:vAlign w:val="center"/>
          </w:tcPr>
          <w:p>
            <w:pPr>
              <w:pStyle w:val="132"/>
            </w:pPr>
          </w:p>
        </w:tc>
        <w:tc>
          <w:tcPr>
            <w:tcW w:w="1391" w:type="dxa"/>
            <w:vAlign w:val="center"/>
          </w:tcPr>
          <w:p>
            <w:pPr>
              <w:pStyle w:val="132"/>
            </w:pPr>
            <w:r>
              <w:rPr>
                <w:rFonts w:hint="eastAsia"/>
              </w:rPr>
              <w:t>油基岩屑</w:t>
            </w:r>
          </w:p>
        </w:tc>
        <w:tc>
          <w:tcPr>
            <w:tcW w:w="1558" w:type="dxa"/>
            <w:vAlign w:val="center"/>
          </w:tcPr>
          <w:p>
            <w:pPr>
              <w:pStyle w:val="132"/>
            </w:pPr>
            <w:r>
              <w:rPr>
                <w:rFonts w:hint="eastAsia"/>
              </w:rPr>
              <w:t>246.4</w:t>
            </w:r>
            <w:r>
              <w:t>m</w:t>
            </w:r>
            <w:r>
              <w:rPr>
                <w:vertAlign w:val="superscript"/>
              </w:rPr>
              <w:t>3</w:t>
            </w:r>
          </w:p>
        </w:tc>
        <w:tc>
          <w:tcPr>
            <w:tcW w:w="1045" w:type="dxa"/>
            <w:vAlign w:val="center"/>
          </w:tcPr>
          <w:p>
            <w:pPr>
              <w:pStyle w:val="132"/>
            </w:pPr>
            <w:r>
              <w:rPr>
                <w:rFonts w:hint="eastAsia"/>
              </w:rPr>
              <w:t>连续</w:t>
            </w:r>
          </w:p>
        </w:tc>
        <w:tc>
          <w:tcPr>
            <w:tcW w:w="1705" w:type="dxa"/>
            <w:vMerge w:val="restart"/>
            <w:vAlign w:val="center"/>
          </w:tcPr>
          <w:p>
            <w:pPr>
              <w:pStyle w:val="132"/>
            </w:pPr>
            <w:r>
              <w:t>HW08废矿物油</w:t>
            </w:r>
            <w:r>
              <w:rPr>
                <w:rFonts w:hint="eastAsia"/>
              </w:rPr>
              <w:t>与含矿物油废物</w:t>
            </w:r>
          </w:p>
        </w:tc>
        <w:tc>
          <w:tcPr>
            <w:tcW w:w="2521" w:type="dxa"/>
            <w:vMerge w:val="restart"/>
            <w:vAlign w:val="center"/>
          </w:tcPr>
          <w:p>
            <w:pPr>
              <w:pStyle w:val="132"/>
            </w:pPr>
            <w:r>
              <w:rPr>
                <w:rFonts w:hint="eastAsia"/>
              </w:rPr>
              <w:t>本项目采用清洁化操作平台，并采取泥浆不落地措施，存于危废暂存间，定期交由资质单位处置。</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77" w:hRule="atLeast"/>
          <w:jc w:val="center"/>
        </w:trPr>
        <w:tc>
          <w:tcPr>
            <w:tcW w:w="538" w:type="dxa"/>
            <w:vMerge w:val="continue"/>
            <w:vAlign w:val="center"/>
          </w:tcPr>
          <w:p>
            <w:pPr>
              <w:pStyle w:val="132"/>
            </w:pPr>
          </w:p>
        </w:tc>
        <w:tc>
          <w:tcPr>
            <w:tcW w:w="1391" w:type="dxa"/>
            <w:vAlign w:val="center"/>
          </w:tcPr>
          <w:p>
            <w:pPr>
              <w:pStyle w:val="132"/>
            </w:pPr>
            <w:r>
              <w:rPr>
                <w:rFonts w:hint="eastAsia"/>
              </w:rPr>
              <w:t>废油基泥浆</w:t>
            </w:r>
          </w:p>
        </w:tc>
        <w:tc>
          <w:tcPr>
            <w:tcW w:w="1558" w:type="dxa"/>
            <w:vAlign w:val="center"/>
          </w:tcPr>
          <w:p>
            <w:pPr>
              <w:pStyle w:val="132"/>
            </w:pPr>
            <w:r>
              <w:rPr>
                <w:rFonts w:hint="eastAsia"/>
              </w:rPr>
              <w:t>10.7m</w:t>
            </w:r>
            <w:r>
              <w:rPr>
                <w:rFonts w:hint="eastAsia"/>
                <w:vertAlign w:val="superscript"/>
              </w:rPr>
              <w:t>3</w:t>
            </w:r>
          </w:p>
        </w:tc>
        <w:tc>
          <w:tcPr>
            <w:tcW w:w="1045" w:type="dxa"/>
            <w:vAlign w:val="center"/>
          </w:tcPr>
          <w:p>
            <w:pPr>
              <w:pStyle w:val="132"/>
            </w:pPr>
            <w:r>
              <w:rPr>
                <w:rFonts w:hint="eastAsia"/>
              </w:rPr>
              <w:t>连续</w:t>
            </w:r>
          </w:p>
        </w:tc>
        <w:tc>
          <w:tcPr>
            <w:tcW w:w="1705" w:type="dxa"/>
            <w:vMerge w:val="continue"/>
            <w:vAlign w:val="center"/>
          </w:tcPr>
          <w:p>
            <w:pPr>
              <w:pStyle w:val="132"/>
            </w:pPr>
          </w:p>
        </w:tc>
        <w:tc>
          <w:tcPr>
            <w:tcW w:w="2521" w:type="dxa"/>
            <w:vMerge w:val="continue"/>
            <w:vAlign w:val="center"/>
          </w:tcPr>
          <w:p>
            <w:pPr>
              <w:pStyle w:val="132"/>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77" w:hRule="atLeast"/>
          <w:jc w:val="center"/>
        </w:trPr>
        <w:tc>
          <w:tcPr>
            <w:tcW w:w="538" w:type="dxa"/>
            <w:vMerge w:val="continue"/>
            <w:vAlign w:val="center"/>
          </w:tcPr>
          <w:p>
            <w:pPr>
              <w:pStyle w:val="132"/>
            </w:pPr>
          </w:p>
        </w:tc>
        <w:tc>
          <w:tcPr>
            <w:tcW w:w="1391" w:type="dxa"/>
            <w:vAlign w:val="center"/>
          </w:tcPr>
          <w:p>
            <w:pPr>
              <w:pStyle w:val="132"/>
            </w:pPr>
            <w:r>
              <w:rPr>
                <w:rFonts w:hint="eastAsia"/>
              </w:rPr>
              <w:t>废油</w:t>
            </w:r>
          </w:p>
        </w:tc>
        <w:tc>
          <w:tcPr>
            <w:tcW w:w="1558" w:type="dxa"/>
            <w:vAlign w:val="center"/>
          </w:tcPr>
          <w:p>
            <w:pPr>
              <w:pStyle w:val="132"/>
            </w:pPr>
            <w:r>
              <w:rPr>
                <w:rFonts w:hint="eastAsia"/>
              </w:rPr>
              <w:t>0.5m</w:t>
            </w:r>
            <w:r>
              <w:rPr>
                <w:rFonts w:hint="eastAsia"/>
                <w:vertAlign w:val="superscript"/>
              </w:rPr>
              <w:t>3</w:t>
            </w:r>
          </w:p>
        </w:tc>
        <w:tc>
          <w:tcPr>
            <w:tcW w:w="1045" w:type="dxa"/>
            <w:vAlign w:val="center"/>
          </w:tcPr>
          <w:p>
            <w:pPr>
              <w:pStyle w:val="132"/>
            </w:pPr>
            <w:r>
              <w:t>间断</w:t>
            </w:r>
          </w:p>
        </w:tc>
        <w:tc>
          <w:tcPr>
            <w:tcW w:w="1705" w:type="dxa"/>
            <w:vAlign w:val="center"/>
          </w:tcPr>
          <w:p>
            <w:pPr>
              <w:pStyle w:val="132"/>
            </w:pPr>
            <w:r>
              <w:t>HW08废矿物油</w:t>
            </w:r>
            <w:r>
              <w:rPr>
                <w:rFonts w:hint="eastAsia"/>
              </w:rPr>
              <w:t>与含矿物油废物</w:t>
            </w:r>
          </w:p>
        </w:tc>
        <w:tc>
          <w:tcPr>
            <w:tcW w:w="2521" w:type="dxa"/>
            <w:vAlign w:val="center"/>
          </w:tcPr>
          <w:p>
            <w:pPr>
              <w:pStyle w:val="132"/>
            </w:pPr>
            <w:r>
              <w:rPr>
                <w:rFonts w:hint="eastAsia"/>
              </w:rPr>
              <w:t>暂存于危废暂存间，面积约10m</w:t>
            </w:r>
            <w:r>
              <w:rPr>
                <w:rFonts w:hint="eastAsia"/>
                <w:vertAlign w:val="superscript"/>
              </w:rPr>
              <w:t>2</w:t>
            </w:r>
            <w:r>
              <w:rPr>
                <w:rFonts w:hint="eastAsia"/>
              </w:rPr>
              <w:t>，暂存间地面采取</w:t>
            </w:r>
            <w:r>
              <w:rPr>
                <w:rFonts w:hint="eastAsia" w:hAnsi="宋体"/>
                <w:color w:val="0000FF"/>
              </w:rPr>
              <w:t>六防措施（防风、防雨、防晒、防渗、防漏、防腐）</w:t>
            </w:r>
            <w:r>
              <w:rPr>
                <w:rFonts w:hint="eastAsia"/>
              </w:rPr>
              <w:t>，并</w:t>
            </w:r>
            <w:r>
              <w:t>及时清运至企业</w:t>
            </w:r>
            <w:r>
              <w:rPr>
                <w:rFonts w:hint="eastAsia"/>
              </w:rPr>
              <w:t>净化厂</w:t>
            </w:r>
            <w:r>
              <w:t>危险废物贮存仓库（运距约20km），定期委托有资质单位进行处理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8" w:hRule="atLeast"/>
          <w:jc w:val="center"/>
        </w:trPr>
        <w:tc>
          <w:tcPr>
            <w:tcW w:w="538" w:type="dxa"/>
            <w:vMerge w:val="restart"/>
            <w:vAlign w:val="center"/>
          </w:tcPr>
          <w:p>
            <w:pPr>
              <w:pStyle w:val="132"/>
            </w:pPr>
            <w:r>
              <w:t>噪声</w:t>
            </w:r>
          </w:p>
        </w:tc>
        <w:tc>
          <w:tcPr>
            <w:tcW w:w="1391" w:type="dxa"/>
            <w:vAlign w:val="center"/>
          </w:tcPr>
          <w:p>
            <w:pPr>
              <w:pStyle w:val="132"/>
            </w:pPr>
            <w:r>
              <w:rPr>
                <w:rFonts w:hint="eastAsia"/>
              </w:rPr>
              <w:t>管道</w:t>
            </w:r>
            <w:r>
              <w:t>施工机械、运输车辆</w:t>
            </w:r>
          </w:p>
        </w:tc>
        <w:tc>
          <w:tcPr>
            <w:tcW w:w="1558" w:type="dxa"/>
            <w:vAlign w:val="center"/>
          </w:tcPr>
          <w:p>
            <w:pPr>
              <w:pStyle w:val="132"/>
            </w:pPr>
            <w:r>
              <w:t>85～105dB</w:t>
            </w:r>
            <w:r>
              <w:rPr>
                <w:rFonts w:hint="eastAsia"/>
              </w:rPr>
              <w:t>（</w:t>
            </w:r>
            <w:r>
              <w:t>A</w:t>
            </w:r>
            <w:r>
              <w:rPr>
                <w:rFonts w:hint="eastAsia"/>
              </w:rPr>
              <w:t>）</w:t>
            </w:r>
          </w:p>
        </w:tc>
        <w:tc>
          <w:tcPr>
            <w:tcW w:w="1045" w:type="dxa"/>
            <w:vAlign w:val="center"/>
          </w:tcPr>
          <w:p>
            <w:pPr>
              <w:pStyle w:val="132"/>
            </w:pPr>
            <w:r>
              <w:t>间断</w:t>
            </w:r>
          </w:p>
        </w:tc>
        <w:tc>
          <w:tcPr>
            <w:tcW w:w="1705" w:type="dxa"/>
            <w:vAlign w:val="center"/>
          </w:tcPr>
          <w:p>
            <w:pPr>
              <w:pStyle w:val="132"/>
            </w:pPr>
            <w:bookmarkStart w:id="378" w:name="OLE_LINK119"/>
            <w:bookmarkStart w:id="379" w:name="OLE_LINK120"/>
            <w:r>
              <w:t>噪声</w:t>
            </w:r>
            <w:bookmarkEnd w:id="378"/>
            <w:bookmarkEnd w:id="379"/>
          </w:p>
        </w:tc>
        <w:tc>
          <w:tcPr>
            <w:tcW w:w="2521" w:type="dxa"/>
            <w:vAlign w:val="center"/>
          </w:tcPr>
          <w:p>
            <w:pPr>
              <w:pStyle w:val="132"/>
            </w:pPr>
            <w:r>
              <w:t>合理安排施工作业时间，合理布局施工现场；夜间原则上禁止施工，若遇特定工艺需连续作业需报相关部门同意后，方可开展夜间施工，同时做好夜间环境保护防护及应急措施；在施工沿线居民集中点设挡声板</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8" w:hRule="atLeast"/>
          <w:jc w:val="center"/>
        </w:trPr>
        <w:tc>
          <w:tcPr>
            <w:tcW w:w="538" w:type="dxa"/>
            <w:vMerge w:val="continue"/>
            <w:vAlign w:val="center"/>
          </w:tcPr>
          <w:p>
            <w:pPr>
              <w:pStyle w:val="132"/>
            </w:pPr>
          </w:p>
        </w:tc>
        <w:tc>
          <w:tcPr>
            <w:tcW w:w="1391" w:type="dxa"/>
            <w:vAlign w:val="center"/>
          </w:tcPr>
          <w:p>
            <w:pPr>
              <w:pStyle w:val="132"/>
            </w:pPr>
            <w:r>
              <w:rPr>
                <w:rFonts w:hint="eastAsia"/>
              </w:rPr>
              <w:t>钻井、压裂、测试放喷</w:t>
            </w:r>
          </w:p>
        </w:tc>
        <w:tc>
          <w:tcPr>
            <w:tcW w:w="1558" w:type="dxa"/>
            <w:vAlign w:val="center"/>
          </w:tcPr>
          <w:p>
            <w:pPr>
              <w:pStyle w:val="132"/>
            </w:pPr>
            <w:r>
              <w:t>85～105dB</w:t>
            </w:r>
            <w:r>
              <w:rPr>
                <w:rFonts w:hint="eastAsia"/>
              </w:rPr>
              <w:t>（</w:t>
            </w:r>
            <w:r>
              <w:t>A</w:t>
            </w:r>
            <w:r>
              <w:rPr>
                <w:rFonts w:hint="eastAsia"/>
              </w:rPr>
              <w:t>）</w:t>
            </w:r>
          </w:p>
        </w:tc>
        <w:tc>
          <w:tcPr>
            <w:tcW w:w="1045" w:type="dxa"/>
            <w:vAlign w:val="center"/>
          </w:tcPr>
          <w:p>
            <w:pPr>
              <w:pStyle w:val="132"/>
            </w:pPr>
            <w:r>
              <w:rPr>
                <w:rFonts w:hint="eastAsia"/>
              </w:rPr>
              <w:t>连续</w:t>
            </w:r>
          </w:p>
        </w:tc>
        <w:tc>
          <w:tcPr>
            <w:tcW w:w="1705" w:type="dxa"/>
            <w:vAlign w:val="center"/>
          </w:tcPr>
          <w:p>
            <w:pPr>
              <w:pStyle w:val="132"/>
            </w:pPr>
            <w:r>
              <w:t>噪声</w:t>
            </w:r>
          </w:p>
        </w:tc>
        <w:tc>
          <w:tcPr>
            <w:tcW w:w="2521" w:type="dxa"/>
            <w:vAlign w:val="center"/>
          </w:tcPr>
          <w:p>
            <w:pPr>
              <w:pStyle w:val="132"/>
            </w:pPr>
            <w:r>
              <w:rPr>
                <w:rFonts w:hint="eastAsia"/>
              </w:rPr>
              <w:t>钻井施工采用网电</w:t>
            </w:r>
          </w:p>
        </w:tc>
      </w:tr>
    </w:tbl>
    <w:p>
      <w:pPr>
        <w:pStyle w:val="3"/>
        <w:spacing w:before="120"/>
        <w:rPr>
          <w:rFonts w:cs="Times New Roman"/>
        </w:rPr>
      </w:pPr>
      <w:bookmarkStart w:id="380" w:name="bookmark24"/>
      <w:bookmarkEnd w:id="380"/>
      <w:bookmarkStart w:id="381" w:name="_Toc12288519"/>
      <w:bookmarkStart w:id="382" w:name="_Toc19815990"/>
      <w:bookmarkStart w:id="383" w:name="_Toc81515276"/>
      <w:r>
        <w:rPr>
          <w:rFonts w:cs="Times New Roman"/>
        </w:rPr>
        <w:t>4.2 运营期</w:t>
      </w:r>
      <w:bookmarkEnd w:id="381"/>
      <w:bookmarkEnd w:id="382"/>
      <w:r>
        <w:rPr>
          <w:rFonts w:cs="Times New Roman"/>
        </w:rPr>
        <w:t>工程分析</w:t>
      </w:r>
      <w:bookmarkEnd w:id="383"/>
    </w:p>
    <w:p>
      <w:pPr>
        <w:pStyle w:val="4"/>
        <w:rPr>
          <w:rFonts w:eastAsia="宋体"/>
        </w:rPr>
      </w:pPr>
      <w:r>
        <w:rPr>
          <w:rFonts w:eastAsia="宋体"/>
        </w:rPr>
        <w:t>4.2.1 营运期工艺流程</w:t>
      </w:r>
    </w:p>
    <w:p>
      <w:pPr>
        <w:ind w:firstLine="480"/>
      </w:pPr>
      <w:r>
        <w:rPr>
          <w:rFonts w:hint="eastAsia"/>
        </w:rPr>
        <w:drawing>
          <wp:inline distT="0" distB="0" distL="0" distR="0">
            <wp:extent cx="5274310" cy="1917700"/>
            <wp:effectExtent l="19050" t="0" r="2540" b="0"/>
            <wp:docPr id="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0"/>
                    <pic:cNvPicPr>
                      <a:picLocks noChangeAspect="1" noChangeArrowheads="1"/>
                    </pic:cNvPicPr>
                  </pic:nvPicPr>
                  <pic:blipFill>
                    <a:blip r:embed="rId60"/>
                    <a:srcRect/>
                    <a:stretch>
                      <a:fillRect/>
                    </a:stretch>
                  </pic:blipFill>
                  <pic:spPr>
                    <a:xfrm>
                      <a:off x="0" y="0"/>
                      <a:ext cx="5274310" cy="1918013"/>
                    </a:xfrm>
                    <a:prstGeom prst="rect">
                      <a:avLst/>
                    </a:prstGeom>
                    <a:noFill/>
                    <a:ln w="9525">
                      <a:noFill/>
                      <a:miter lim="800000"/>
                      <a:headEnd/>
                      <a:tailEnd/>
                    </a:ln>
                  </pic:spPr>
                </pic:pic>
              </a:graphicData>
            </a:graphic>
          </wp:inline>
        </w:drawing>
      </w:r>
    </w:p>
    <w:p>
      <w:pPr>
        <w:pStyle w:val="37"/>
        <w:rPr>
          <w:rFonts w:cs="Times New Roman"/>
          <w:color w:val="FF0000"/>
        </w:rPr>
      </w:pPr>
      <w:r>
        <w:rPr>
          <w:rFonts w:cs="Times New Roman"/>
          <w:color w:val="FF0000"/>
        </w:rPr>
        <w:t>图</w:t>
      </w:r>
      <w:r>
        <w:rPr>
          <w:rFonts w:cs="Times New Roman"/>
          <w:bCs/>
          <w:color w:val="FF0000"/>
        </w:rPr>
        <w:t xml:space="preserve">4.2-1  </w:t>
      </w:r>
      <w:r>
        <w:rPr>
          <w:rFonts w:cs="Times New Roman"/>
          <w:color w:val="FF0000"/>
        </w:rPr>
        <w:t>本项目运营期工艺流程及产污节点图</w:t>
      </w:r>
    </w:p>
    <w:p>
      <w:pPr>
        <w:pStyle w:val="112"/>
        <w:ind w:firstLine="482"/>
        <w:rPr>
          <w:b/>
          <w:bCs/>
        </w:rPr>
      </w:pPr>
      <w:r>
        <w:rPr>
          <w:b/>
          <w:bCs/>
        </w:rPr>
        <w:t>工艺流程描述：</w:t>
      </w:r>
    </w:p>
    <w:p>
      <w:pPr>
        <w:pStyle w:val="112"/>
        <w:ind w:firstLine="480"/>
        <w:rPr>
          <w:bCs/>
        </w:rPr>
      </w:pPr>
      <w:r>
        <w:rPr>
          <w:rFonts w:hint="eastAsia"/>
          <w:bCs/>
        </w:rPr>
        <w:t>本工程天然气输送工艺采用</w:t>
      </w:r>
      <w:r>
        <w:rPr>
          <w:bCs/>
        </w:rPr>
        <w:t>“全湿气加热保温</w:t>
      </w:r>
      <w:r>
        <w:rPr>
          <w:rFonts w:hint="eastAsia"/>
          <w:bCs/>
        </w:rPr>
        <w:t>混</w:t>
      </w:r>
      <w:r>
        <w:rPr>
          <w:bCs/>
        </w:rPr>
        <w:t>输工艺”</w:t>
      </w:r>
      <w:r>
        <w:rPr>
          <w:rFonts w:hint="eastAsia"/>
          <w:bCs/>
        </w:rPr>
        <w:t>，最低温度高于水合物形成温度 3~5℃。井口天然气经二级加热、二级节流，分离计量后就近接入拟建外输管道。两相分离器分离的油水混合物进入闪蒸罐，由闪蒸罐闪蒸分离出凝析油及气田水后，闪蒸气去水套加热炉燃气系统，凝析油进入油罐储存，定期外售，气田水排入站区污水缓冲罐暂存，暂存一定量后密闭罐车运至大湾403污水站处理达到《气田水回注方法》（SY/T 6596-2016）中注入水基本要求后管输至毛开 1 井回注站回注处理，不外排。</w:t>
      </w:r>
    </w:p>
    <w:p>
      <w:pPr>
        <w:pStyle w:val="112"/>
        <w:ind w:firstLine="482"/>
        <w:rPr>
          <w:b/>
          <w:bCs/>
        </w:rPr>
      </w:pPr>
      <w:r>
        <w:rPr>
          <w:rFonts w:hint="eastAsia"/>
          <w:b/>
          <w:bCs/>
        </w:rPr>
        <w:t>采气运营产污环节</w:t>
      </w:r>
    </w:p>
    <w:p>
      <w:pPr>
        <w:pStyle w:val="112"/>
        <w:ind w:firstLine="480"/>
        <w:rPr>
          <w:rFonts w:hint="eastAsia"/>
          <w:bCs/>
        </w:rPr>
      </w:pPr>
      <w:r>
        <w:rPr>
          <w:rFonts w:hint="eastAsia"/>
          <w:bCs/>
        </w:rPr>
        <w:t>采气站正常生产时主要产生气田水，气田水为工艺装置分离器分离出的天然气中的游离水。采气站内水套炉以天然气（主要依托净化厂反输燃料气，部分使用闪蒸气）为燃料，会产生燃烧废气；采气站设备运行时产生设备噪声；采气站值守人员产生生活垃圾；闪蒸罐闪蒸分离出凝析油。</w:t>
      </w:r>
    </w:p>
    <w:p>
      <w:pPr>
        <w:pStyle w:val="4"/>
        <w:rPr>
          <w:rFonts w:eastAsia="宋体"/>
        </w:rPr>
      </w:pPr>
      <w:r>
        <w:rPr>
          <w:rFonts w:eastAsia="宋体"/>
        </w:rPr>
        <w:t>4.2.</w:t>
      </w:r>
      <w:r>
        <w:rPr>
          <w:rFonts w:hint="eastAsia" w:eastAsia="宋体"/>
        </w:rPr>
        <w:t>2废气产生情况及治理措施</w:t>
      </w:r>
    </w:p>
    <w:p>
      <w:pPr>
        <w:pStyle w:val="112"/>
        <w:ind w:firstLine="482"/>
        <w:rPr>
          <w:b/>
          <w:bCs/>
        </w:rPr>
      </w:pPr>
      <w:r>
        <w:rPr>
          <w:b/>
          <w:bCs/>
        </w:rPr>
        <w:t>1、正常工况</w:t>
      </w:r>
    </w:p>
    <w:p>
      <w:pPr>
        <w:pStyle w:val="112"/>
        <w:ind w:firstLine="480"/>
      </w:pPr>
      <w:r>
        <w:t>根据本项目所提供的设计资料，本项目正常生产时，天然气处于完全密闭系统内，无废气产生和排放。主要废气为水套炉燃料燃烧产生的废气。</w:t>
      </w:r>
    </w:p>
    <w:p>
      <w:pPr>
        <w:pStyle w:val="112"/>
        <w:ind w:firstLine="480"/>
      </w:pPr>
      <w:r>
        <w:rPr>
          <w:rFonts w:hint="eastAsia"/>
        </w:rPr>
        <w:t>新建</w:t>
      </w:r>
      <w:r>
        <w:t>普陆4集气平台为</w:t>
      </w:r>
      <w:r>
        <w:rPr>
          <w:rFonts w:hint="eastAsia"/>
        </w:rPr>
        <w:t>有人</w:t>
      </w:r>
      <w:r>
        <w:t>值守站，正常工况下仅有普陆4</w:t>
      </w:r>
      <w:r>
        <w:rPr>
          <w:rFonts w:hint="eastAsia"/>
        </w:rPr>
        <w:t>集气</w:t>
      </w:r>
      <w:r>
        <w:t>站水套炉燃料燃烧产生的废气，该水套炉所使用的天然气依托现有燃气返输管线输送的净化厂净化后天然气，不含硫化氢，主要成分为甲烷，燃烧后其废气中主要污染物为NO</w:t>
      </w:r>
      <w:r>
        <w:rPr>
          <w:vertAlign w:val="subscript"/>
        </w:rPr>
        <w:t>X</w:t>
      </w:r>
      <w:r>
        <w:rPr>
          <w:rFonts w:hint="eastAsia"/>
          <w:color w:val="FF0000"/>
        </w:rPr>
        <w:t>（同时闪蒸废气亦进行燃烧处理，含少量</w:t>
      </w:r>
      <w:r>
        <w:rPr>
          <w:color w:val="FF0000"/>
        </w:rPr>
        <w:t>非甲烷总烃</w:t>
      </w:r>
      <w:r>
        <w:rPr>
          <w:rFonts w:hint="eastAsia"/>
          <w:color w:val="FF0000"/>
        </w:rPr>
        <w:t>，本次评价不进行量化核算）</w:t>
      </w:r>
      <w:r>
        <w:t>。本项目所使用的水套炉设计最大燃烧量为7.5m</w:t>
      </w:r>
      <w:r>
        <w:rPr>
          <w:vertAlign w:val="superscript"/>
        </w:rPr>
        <w:t>3</w:t>
      </w:r>
      <w:r>
        <w:t>/h、180m</w:t>
      </w:r>
      <w:r>
        <w:rPr>
          <w:vertAlign w:val="superscript"/>
        </w:rPr>
        <w:t>3</w:t>
      </w:r>
      <w:r>
        <w:t>/d，水套炉主要用于给产出的天然气进行加热降粘，仅在冬季环境温度较低时使用，设计使用时间为2个月，项目设置</w:t>
      </w:r>
      <w:r>
        <w:rPr>
          <w:rFonts w:hint="eastAsia"/>
        </w:rPr>
        <w:t>1</w:t>
      </w:r>
      <w:r>
        <w:t>台水套炉。则天然气年用量为4.608万m</w:t>
      </w:r>
      <w:r>
        <w:rPr>
          <w:vertAlign w:val="superscript"/>
        </w:rPr>
        <w:t>3</w:t>
      </w:r>
      <w:r>
        <w:t>。本次评价采用《污染源源强核算技术指南锅炉》（HJ991-2018）中5.4条产污系数法核算水套炉燃烧废气中各污染物产生量，其中产污系数参见全国污染源普查工业污染源普查数据和HJ953。根据《第二次工业污染源产排污系数手册》（试用版），天然气燃烧按NO</w:t>
      </w:r>
      <w:r>
        <w:rPr>
          <w:vertAlign w:val="subscript"/>
        </w:rPr>
        <w:t>X</w:t>
      </w:r>
      <w:r>
        <w:t>产污系数为31.74kg/10</w:t>
      </w:r>
      <w:r>
        <w:rPr>
          <w:vertAlign w:val="superscript"/>
        </w:rPr>
        <w:t>4</w:t>
      </w:r>
      <w:r>
        <w:t>m</w:t>
      </w:r>
      <w:r>
        <w:rPr>
          <w:vertAlign w:val="superscript"/>
        </w:rPr>
        <w:t>3</w:t>
      </w:r>
      <w:r>
        <w:t>，烟气量为107753Nm</w:t>
      </w:r>
      <w:r>
        <w:rPr>
          <w:vertAlign w:val="superscript"/>
        </w:rPr>
        <w:t>3</w:t>
      </w:r>
      <w:r>
        <w:t>烟气/10</w:t>
      </w:r>
      <w:r>
        <w:rPr>
          <w:vertAlign w:val="superscript"/>
        </w:rPr>
        <w:t>4</w:t>
      </w:r>
      <w:r>
        <w:t>m</w:t>
      </w:r>
      <w:r>
        <w:rPr>
          <w:vertAlign w:val="superscript"/>
        </w:rPr>
        <w:t>3</w:t>
      </w:r>
      <w:r>
        <w:t>计算，则水套炉NO</w:t>
      </w:r>
      <w:r>
        <w:rPr>
          <w:vertAlign w:val="subscript"/>
        </w:rPr>
        <w:t>X</w:t>
      </w:r>
      <w:r>
        <w:t>排放量为23.81g/h、0.57kg/d、</w:t>
      </w:r>
      <w:bookmarkStart w:id="384" w:name="OLE_LINK210"/>
      <w:bookmarkStart w:id="385" w:name="OLE_LINK209"/>
      <w:r>
        <w:t>35.56</w:t>
      </w:r>
      <w:bookmarkEnd w:id="384"/>
      <w:bookmarkEnd w:id="385"/>
      <w:r>
        <w:t>kg/a，排放浓度为147.5mg/m</w:t>
      </w:r>
      <w:r>
        <w:rPr>
          <w:vertAlign w:val="superscript"/>
        </w:rPr>
        <w:t>3</w:t>
      </w:r>
      <w:r>
        <w:t>。</w:t>
      </w:r>
    </w:p>
    <w:p>
      <w:pPr>
        <w:pStyle w:val="112"/>
        <w:ind w:firstLine="482"/>
        <w:rPr>
          <w:b/>
          <w:bCs/>
        </w:rPr>
      </w:pPr>
      <w:r>
        <w:rPr>
          <w:b/>
          <w:bCs/>
        </w:rPr>
        <w:t>2、非正常工况</w:t>
      </w:r>
    </w:p>
    <w:p>
      <w:pPr>
        <w:pStyle w:val="112"/>
        <w:ind w:firstLine="480"/>
      </w:pPr>
      <w:r>
        <w:t>（1）站场检修/事故放</w:t>
      </w:r>
      <w:r>
        <w:rPr>
          <w:rFonts w:hint="eastAsia"/>
        </w:rPr>
        <w:t>空</w:t>
      </w:r>
      <w:r>
        <w:t>废气</w:t>
      </w:r>
    </w:p>
    <w:p>
      <w:pPr>
        <w:pStyle w:val="112"/>
        <w:ind w:firstLine="480"/>
        <w:rPr>
          <w:bCs/>
        </w:rPr>
      </w:pPr>
      <w:r>
        <w:t>项目装置检修时为保证检修过程的安全，需排空装置及管道内的残留天然气，残留天然气通过井场放空系统点火排放。本项目设备检修预计每年约1～2次，检修前可利用截断装置，将集气管道和站场设备切断，放空废气仅为站场设备内残留的原料气，放空量约为30m</w:t>
      </w:r>
      <w:r>
        <w:rPr>
          <w:vertAlign w:val="superscript"/>
        </w:rPr>
        <w:t>3</w:t>
      </w:r>
      <w:r>
        <w:t>/次，</w:t>
      </w:r>
      <w:r>
        <w:rPr>
          <w:bCs/>
        </w:rPr>
        <w:t>放空废气通过放空火炬点火燃烧，主要污染物为氮氧化物。</w:t>
      </w:r>
    </w:p>
    <w:p>
      <w:pPr>
        <w:pStyle w:val="112"/>
        <w:ind w:firstLine="480"/>
        <w:rPr>
          <w:bCs/>
        </w:rPr>
      </w:pPr>
      <w:r>
        <w:rPr>
          <w:bCs/>
        </w:rPr>
        <w:t>根据《工业污染源产排污系数手册》，废气量产生系数为12.31万m</w:t>
      </w:r>
      <w:r>
        <w:rPr>
          <w:bCs/>
          <w:vertAlign w:val="superscript"/>
        </w:rPr>
        <w:t>3</w:t>
      </w:r>
      <w:r>
        <w:rPr>
          <w:bCs/>
        </w:rPr>
        <w:t>/万m</w:t>
      </w:r>
      <w:r>
        <w:rPr>
          <w:bCs/>
          <w:vertAlign w:val="superscript"/>
        </w:rPr>
        <w:t>3</w:t>
      </w:r>
      <w:r>
        <w:rPr>
          <w:bCs/>
        </w:rPr>
        <w:t>天然气，本项目放空废气量为369.3m</w:t>
      </w:r>
      <w:r>
        <w:rPr>
          <w:bCs/>
          <w:vertAlign w:val="superscript"/>
        </w:rPr>
        <w:t>3</w:t>
      </w:r>
      <w:r>
        <w:rPr>
          <w:bCs/>
        </w:rPr>
        <w:t>；天然气燃烧NOx产污系数为18.71kg/10</w:t>
      </w:r>
      <w:r>
        <w:rPr>
          <w:bCs/>
          <w:vertAlign w:val="superscript"/>
        </w:rPr>
        <w:t>4</w:t>
      </w:r>
      <w:r>
        <w:rPr>
          <w:bCs/>
        </w:rPr>
        <w:t>m</w:t>
      </w:r>
      <w:r>
        <w:rPr>
          <w:bCs/>
          <w:vertAlign w:val="superscript"/>
        </w:rPr>
        <w:t>3</w:t>
      </w:r>
      <w:r>
        <w:rPr>
          <w:bCs/>
        </w:rPr>
        <w:t>计算，NOx产生量为</w:t>
      </w:r>
      <w:r>
        <w:rPr>
          <w:rFonts w:hint="eastAsia"/>
          <w:bCs/>
        </w:rPr>
        <w:t>0.69</w:t>
      </w:r>
      <w:r>
        <w:rPr>
          <w:bCs/>
        </w:rPr>
        <w:t>kg</w:t>
      </w:r>
      <w:r>
        <w:rPr>
          <w:rFonts w:hint="eastAsia"/>
          <w:bCs/>
        </w:rPr>
        <w:t>。</w:t>
      </w:r>
      <w:r>
        <w:rPr>
          <w:bCs/>
        </w:rPr>
        <w:t xml:space="preserve"> </w:t>
      </w:r>
    </w:p>
    <w:p>
      <w:pPr>
        <w:pStyle w:val="112"/>
        <w:ind w:firstLine="480"/>
      </w:pPr>
      <w:r>
        <w:t>（2）管线检修/事故放</w:t>
      </w:r>
      <w:r>
        <w:rPr>
          <w:rFonts w:hint="eastAsia"/>
        </w:rPr>
        <w:t>空</w:t>
      </w:r>
      <w:r>
        <w:t>废气</w:t>
      </w:r>
    </w:p>
    <w:p>
      <w:pPr>
        <w:pStyle w:val="112"/>
        <w:ind w:firstLine="480"/>
      </w:pPr>
      <w:r>
        <w:t>项目管线检修/事故时为保证安全，需排尽</w:t>
      </w:r>
      <w:bookmarkStart w:id="386" w:name="OLE_LINK208"/>
      <w:bookmarkStart w:id="387" w:name="OLE_LINK207"/>
      <w:r>
        <w:rPr>
          <w:rFonts w:hint="eastAsia"/>
        </w:rPr>
        <w:t>普陆4集气平台~P107集气站集气管道</w:t>
      </w:r>
      <w:bookmarkEnd w:id="386"/>
      <w:bookmarkEnd w:id="387"/>
      <w:r>
        <w:t>内的残留天然气，放空</w:t>
      </w:r>
      <w:r>
        <w:rPr>
          <w:rFonts w:hint="eastAsia"/>
        </w:rPr>
        <w:t>经普陆4集气平台</w:t>
      </w:r>
      <w:r>
        <w:t>放空系统，据站场操作工艺，管线检修/事故时，关闭</w:t>
      </w:r>
      <w:r>
        <w:rPr>
          <w:rFonts w:hint="eastAsia"/>
        </w:rPr>
        <w:t>普陆4集气平台</w:t>
      </w:r>
      <w:r>
        <w:t>出站阀门，管道残留的天然气按管线长度为</w:t>
      </w:r>
      <w:r>
        <w:rPr>
          <w:rFonts w:hint="eastAsia"/>
        </w:rPr>
        <w:t>350</w:t>
      </w:r>
      <w:r>
        <w:t>m。</w:t>
      </w:r>
    </w:p>
    <w:p>
      <w:pPr>
        <w:ind w:firstLine="480"/>
        <w:rPr>
          <w:rFonts w:ascii="Times New Roman" w:cs="Times New Roman"/>
        </w:rPr>
      </w:pPr>
      <w:r>
        <w:rPr>
          <w:rFonts w:ascii="Times New Roman" w:cs="Times New Roman"/>
        </w:rPr>
        <w:t>天然气最大在线量=天然气密度*截面积*管道长度*压力倍数（压力倍数=运行压力/大气压）</w:t>
      </w:r>
    </w:p>
    <w:p>
      <w:pPr>
        <w:ind w:firstLine="480"/>
        <w:rPr>
          <w:rFonts w:ascii="Times New Roman" w:cs="Times New Roman"/>
        </w:rPr>
      </w:pPr>
      <w:r>
        <w:rPr>
          <w:rFonts w:ascii="Times New Roman" w:cs="Times New Roman"/>
        </w:rPr>
        <w:t>普陆4集气平台~</w:t>
      </w:r>
      <w:r>
        <w:rPr>
          <w:rFonts w:hint="eastAsia" w:ascii="Times New Roman" w:cs="Times New Roman"/>
        </w:rPr>
        <w:t>P107集气站集气管道</w:t>
      </w:r>
      <w:r>
        <w:rPr>
          <w:rFonts w:ascii="Times New Roman" w:cs="Times New Roman"/>
        </w:rPr>
        <w:t>段：普陆4集气平台~</w:t>
      </w:r>
      <w:r>
        <w:rPr>
          <w:rFonts w:hint="eastAsia" w:ascii="Times New Roman" w:cs="Times New Roman"/>
        </w:rPr>
        <w:t>P107集气站集气管道</w:t>
      </w:r>
      <w:r>
        <w:rPr>
          <w:rFonts w:ascii="Times New Roman" w:cs="Times New Roman"/>
        </w:rPr>
        <w:t>段天然气密度为0.7012kg/m</w:t>
      </w:r>
      <w:r>
        <w:rPr>
          <w:rFonts w:ascii="Times New Roman" w:cs="Times New Roman"/>
          <w:vertAlign w:val="superscript"/>
        </w:rPr>
        <w:t>3</w:t>
      </w:r>
      <w:r>
        <w:rPr>
          <w:rFonts w:ascii="Times New Roman" w:cs="Times New Roman"/>
        </w:rPr>
        <w:t>，截面积为0.0</w:t>
      </w:r>
      <w:r>
        <w:rPr>
          <w:rFonts w:hint="eastAsia" w:ascii="Times New Roman" w:cs="Times New Roman"/>
        </w:rPr>
        <w:t>314</w:t>
      </w:r>
      <w:r>
        <w:rPr>
          <w:rFonts w:ascii="Times New Roman" w:cs="Times New Roman"/>
        </w:rPr>
        <w:t>m</w:t>
      </w:r>
      <w:r>
        <w:rPr>
          <w:rFonts w:ascii="Times New Roman" w:cs="Times New Roman"/>
          <w:vertAlign w:val="superscript"/>
        </w:rPr>
        <w:t>2</w:t>
      </w:r>
      <w:r>
        <w:rPr>
          <w:rFonts w:ascii="Times New Roman" w:cs="Times New Roman"/>
        </w:rPr>
        <w:t>，酸气管道</w:t>
      </w:r>
      <w:r>
        <w:rPr>
          <w:rFonts w:hint="eastAsia" w:ascii="Times New Roman" w:cs="Times New Roman"/>
        </w:rPr>
        <w:t>总</w:t>
      </w:r>
      <w:r>
        <w:rPr>
          <w:rFonts w:ascii="Times New Roman" w:cs="Times New Roman"/>
        </w:rPr>
        <w:t>长</w:t>
      </w:r>
      <w:r>
        <w:rPr>
          <w:rFonts w:hint="eastAsia" w:ascii="Times New Roman" w:cs="Times New Roman"/>
        </w:rPr>
        <w:t>350</w:t>
      </w:r>
      <w:r>
        <w:rPr>
          <w:rFonts w:ascii="Times New Roman" w:cs="Times New Roman"/>
        </w:rPr>
        <w:t>m，压力倍数为90.8，</w:t>
      </w:r>
      <w:r>
        <w:rPr>
          <w:rFonts w:hint="eastAsia" w:ascii="Times New Roman" w:cs="Times New Roman"/>
        </w:rPr>
        <w:t>因此</w:t>
      </w:r>
      <w:r>
        <w:rPr>
          <w:rFonts w:ascii="Times New Roman" w:cs="Times New Roman"/>
        </w:rPr>
        <w:t>天然气最大在线量约为</w:t>
      </w:r>
      <w:r>
        <w:rPr>
          <w:rFonts w:hint="eastAsia" w:ascii="Times New Roman" w:cs="Times New Roman"/>
        </w:rPr>
        <w:t>699.72</w:t>
      </w:r>
      <w:r>
        <w:rPr>
          <w:rFonts w:ascii="Times New Roman" w:cs="Times New Roman"/>
        </w:rPr>
        <w:t>kg。</w:t>
      </w:r>
    </w:p>
    <w:p>
      <w:pPr>
        <w:pStyle w:val="112"/>
        <w:ind w:firstLine="480"/>
        <w:rPr>
          <w:bCs/>
        </w:rPr>
      </w:pPr>
      <w:r>
        <w:t>根据项目设计资料，本工程每次放空持续时间约1h，放空废气通过普陆4集气平台放空火炬燃烧后排放，燃烧排放主要污染物为氮氧化物，</w:t>
      </w:r>
      <w:r>
        <w:rPr>
          <w:bCs/>
        </w:rPr>
        <w:t>根据</w:t>
      </w:r>
      <w:r>
        <w:rPr>
          <w:bCs/>
          <w:color w:val="0000FF"/>
        </w:rPr>
        <w:t>《工业污染源产排污系数手册》</w:t>
      </w:r>
      <w:r>
        <w:rPr>
          <w:bCs/>
        </w:rPr>
        <w:t>，废气量产生系数为12.31万m</w:t>
      </w:r>
      <w:r>
        <w:rPr>
          <w:bCs/>
          <w:vertAlign w:val="superscript"/>
        </w:rPr>
        <w:t>3</w:t>
      </w:r>
      <w:r>
        <w:rPr>
          <w:bCs/>
        </w:rPr>
        <w:t>/万m</w:t>
      </w:r>
      <w:r>
        <w:rPr>
          <w:bCs/>
          <w:vertAlign w:val="superscript"/>
        </w:rPr>
        <w:t>3</w:t>
      </w:r>
      <w:r>
        <w:rPr>
          <w:bCs/>
        </w:rPr>
        <w:t>天然气，本项目放空废气量为</w:t>
      </w:r>
      <w:r>
        <w:rPr>
          <w:rFonts w:hint="eastAsia"/>
          <w:bCs/>
        </w:rPr>
        <w:t>2.19</w:t>
      </w:r>
      <w:r>
        <w:rPr>
          <w:bCs/>
        </w:rPr>
        <w:t>万m</w:t>
      </w:r>
      <w:r>
        <w:rPr>
          <w:bCs/>
          <w:vertAlign w:val="superscript"/>
        </w:rPr>
        <w:t>3</w:t>
      </w:r>
      <w:r>
        <w:rPr>
          <w:bCs/>
        </w:rPr>
        <w:t>；天然气燃烧NOx产污系数为18.71kg/10</w:t>
      </w:r>
      <w:r>
        <w:rPr>
          <w:bCs/>
          <w:vertAlign w:val="superscript"/>
        </w:rPr>
        <w:t>4</w:t>
      </w:r>
      <w:r>
        <w:rPr>
          <w:bCs/>
        </w:rPr>
        <w:t>m</w:t>
      </w:r>
      <w:r>
        <w:rPr>
          <w:bCs/>
          <w:vertAlign w:val="superscript"/>
        </w:rPr>
        <w:t>3</w:t>
      </w:r>
      <w:r>
        <w:rPr>
          <w:bCs/>
        </w:rPr>
        <w:t>计算，NOx产生量分别为</w:t>
      </w:r>
      <w:r>
        <w:rPr>
          <w:rFonts w:hint="eastAsia"/>
          <w:bCs/>
        </w:rPr>
        <w:t>3.31</w:t>
      </w:r>
      <w:r>
        <w:rPr>
          <w:bCs/>
        </w:rPr>
        <w:t>kg。</w:t>
      </w:r>
      <w:r>
        <w:rPr>
          <w:rFonts w:hint="eastAsia"/>
          <w:bCs/>
        </w:rPr>
        <w:t>事故放空频率较低，并且</w:t>
      </w:r>
      <w:r>
        <w:rPr>
          <w:bCs/>
        </w:rPr>
        <w:t>放空废气经点火燃烧后排放，加之当地地势开阔，大气扩散条件良好，故放空废气不会对周边环境造成明显不利影响。</w:t>
      </w:r>
    </w:p>
    <w:p>
      <w:pPr>
        <w:pStyle w:val="4"/>
        <w:rPr>
          <w:rFonts w:eastAsia="宋体"/>
        </w:rPr>
      </w:pPr>
      <w:r>
        <w:rPr>
          <w:rFonts w:eastAsia="宋体"/>
        </w:rPr>
        <w:t>4.2.3 废水产生情况及治理措施</w:t>
      </w:r>
    </w:p>
    <w:p>
      <w:pPr>
        <w:pStyle w:val="112"/>
        <w:ind w:firstLine="480"/>
      </w:pPr>
      <w:r>
        <w:rPr>
          <w:rFonts w:hint="eastAsia"/>
        </w:rPr>
        <w:t>开井前期采出气中含返排酸液，通过建设井口临时分酸分离器进行分离，分离出的酸液依托现有排污池收集，并及时</w:t>
      </w:r>
      <w:r>
        <w:t>拉运至大湾403污水站处理达标后管输至毛开1井回注站回注</w:t>
      </w:r>
      <w:r>
        <w:rPr>
          <w:rFonts w:hint="eastAsia"/>
        </w:rPr>
        <w:t>，</w:t>
      </w:r>
      <w:r>
        <w:t>此部分污水已在施工期进行了分析</w:t>
      </w:r>
      <w:r>
        <w:rPr>
          <w:rFonts w:hint="eastAsia"/>
        </w:rPr>
        <w:t>，</w:t>
      </w:r>
      <w:r>
        <w:t>因此运营期不再进行核算和分析</w:t>
      </w:r>
      <w:r>
        <w:rPr>
          <w:rFonts w:hint="eastAsia"/>
        </w:rPr>
        <w:t>。</w:t>
      </w:r>
    </w:p>
    <w:p>
      <w:pPr>
        <w:pStyle w:val="112"/>
        <w:ind w:firstLine="480"/>
      </w:pPr>
      <w:r>
        <w:t>本项目集气管道采用埋地敷设方式，在正常运行过程中集气管道不会产生废水。普陆4集气平台为</w:t>
      </w:r>
      <w:r>
        <w:rPr>
          <w:rFonts w:hint="eastAsia"/>
        </w:rPr>
        <w:t>有人</w:t>
      </w:r>
      <w:r>
        <w:t>值守站</w:t>
      </w:r>
      <w:r>
        <w:rPr>
          <w:rFonts w:hint="eastAsia"/>
        </w:rPr>
        <w:t>，本项目设计劳动定员4人</w:t>
      </w:r>
      <w:r>
        <w:t>。</w:t>
      </w:r>
    </w:p>
    <w:p>
      <w:pPr>
        <w:pStyle w:val="112"/>
        <w:ind w:firstLine="482"/>
        <w:rPr>
          <w:szCs w:val="22"/>
        </w:rPr>
      </w:pPr>
      <w:r>
        <w:rPr>
          <w:b/>
          <w:bCs/>
        </w:rPr>
        <w:t>1、气田水</w:t>
      </w:r>
    </w:p>
    <w:p>
      <w:pPr>
        <w:pStyle w:val="112"/>
        <w:ind w:firstLine="480"/>
      </w:pPr>
      <w:r>
        <w:rPr>
          <w:rFonts w:hint="eastAsia"/>
          <w:szCs w:val="22"/>
        </w:rPr>
        <w:t>类比普光气田工程实际情况，本项目</w:t>
      </w:r>
      <w:r>
        <w:rPr>
          <w:szCs w:val="22"/>
        </w:rPr>
        <w:t>气田水产生量为</w:t>
      </w:r>
      <w:r>
        <w:rPr>
          <w:rFonts w:hint="eastAsia"/>
          <w:szCs w:val="22"/>
        </w:rPr>
        <w:t>0.5</w:t>
      </w:r>
      <w:r>
        <w:rPr>
          <w:szCs w:val="22"/>
        </w:rPr>
        <w:t>m</w:t>
      </w:r>
      <w:r>
        <w:rPr>
          <w:szCs w:val="22"/>
          <w:vertAlign w:val="superscript"/>
        </w:rPr>
        <w:t>3</w:t>
      </w:r>
      <w:r>
        <w:rPr>
          <w:szCs w:val="22"/>
        </w:rPr>
        <w:t>/d</w:t>
      </w:r>
      <w:r>
        <w:rPr>
          <w:rFonts w:hint="eastAsia"/>
          <w:szCs w:val="22"/>
        </w:rPr>
        <w:t>，主要污染物浓度为石油类</w:t>
      </w:r>
      <w:r>
        <w:rPr>
          <w:szCs w:val="22"/>
        </w:rPr>
        <w:t>200mg/L，悬浮物300mg/L，</w:t>
      </w:r>
      <w:r>
        <w:t>本项目运营期产生的气田水</w:t>
      </w:r>
      <w:r>
        <w:rPr>
          <w:rFonts w:hint="eastAsia"/>
        </w:rPr>
        <w:t>暂存于污水缓冲罐</w:t>
      </w:r>
      <w:r>
        <w:t>，然后通过密闭罐车拉运至大湾403污水站处理达到《气田水回注方法》（SY/T 6596</w:t>
      </w:r>
      <w:r>
        <w:rPr>
          <w:rFonts w:hint="eastAsia"/>
        </w:rPr>
        <w:t>-</w:t>
      </w:r>
      <w:r>
        <w:t>2016）中注入水基本要求后管输至毛开1井回注站回注处理，不外排。</w:t>
      </w:r>
    </w:p>
    <w:p>
      <w:pPr>
        <w:pStyle w:val="112"/>
        <w:ind w:firstLine="482"/>
        <w:rPr>
          <w:b/>
          <w:bCs/>
        </w:rPr>
      </w:pPr>
      <w:r>
        <w:rPr>
          <w:b/>
          <w:bCs/>
        </w:rPr>
        <w:t>2、生活污水</w:t>
      </w:r>
    </w:p>
    <w:p>
      <w:pPr>
        <w:pStyle w:val="112"/>
        <w:ind w:firstLine="480"/>
      </w:pPr>
      <w:r>
        <w:rPr>
          <w:lang w:val="zh-CN"/>
        </w:rPr>
        <w:t>项目设计劳动定员</w:t>
      </w:r>
      <w:r>
        <w:rPr>
          <w:rFonts w:hint="eastAsia"/>
        </w:rPr>
        <w:t>4</w:t>
      </w:r>
      <w:r>
        <w:t>人，在集气站内食宿，参照《四川省地方标准-用水定额》（DB51/T 2138-2016）中的用水定额标准，按120L/人·d计，每天生活用水量为</w:t>
      </w:r>
      <w:r>
        <w:rPr>
          <w:rFonts w:hint="eastAsia"/>
        </w:rPr>
        <w:t>0.48</w:t>
      </w:r>
      <w:r>
        <w:t>m</w:t>
      </w:r>
      <w:r>
        <w:rPr>
          <w:vertAlign w:val="superscript"/>
        </w:rPr>
        <w:t>3</w:t>
      </w:r>
      <w:r>
        <w:t>/d（</w:t>
      </w:r>
      <w:r>
        <w:rPr>
          <w:rFonts w:hint="eastAsia"/>
        </w:rPr>
        <w:t>175.2</w:t>
      </w:r>
      <w:r>
        <w:t>m</w:t>
      </w:r>
      <w:r>
        <w:rPr>
          <w:vertAlign w:val="superscript"/>
        </w:rPr>
        <w:t>3</w:t>
      </w:r>
      <w:r>
        <w:t>/a）；生活污水按用水量的90%计算，则生活污水产生量为</w:t>
      </w:r>
      <w:r>
        <w:rPr>
          <w:rFonts w:hint="eastAsia"/>
        </w:rPr>
        <w:t>0.432</w:t>
      </w:r>
      <w:r>
        <w:t>m</w:t>
      </w:r>
      <w:r>
        <w:rPr>
          <w:vertAlign w:val="superscript"/>
        </w:rPr>
        <w:t>3</w:t>
      </w:r>
      <w:r>
        <w:t>/d（</w:t>
      </w:r>
      <w:r>
        <w:rPr>
          <w:rFonts w:hint="eastAsia"/>
        </w:rPr>
        <w:t>157.68</w:t>
      </w:r>
      <w:r>
        <w:t>m³/a）。值班人员生活污水</w:t>
      </w:r>
      <w:r>
        <w:rPr>
          <w:rFonts w:hint="eastAsia"/>
        </w:rPr>
        <w:t>依托</w:t>
      </w:r>
      <w:r>
        <w:t>现有</w:t>
      </w:r>
      <w:r>
        <w:rPr>
          <w:rFonts w:hint="eastAsia"/>
        </w:rPr>
        <w:t>生态</w:t>
      </w:r>
      <w:r>
        <w:t>环保厕所收集后，用作周边农肥，不外排。</w:t>
      </w:r>
    </w:p>
    <w:p>
      <w:pPr>
        <w:pStyle w:val="4"/>
        <w:rPr>
          <w:rFonts w:eastAsia="宋体"/>
        </w:rPr>
      </w:pPr>
      <w:r>
        <w:rPr>
          <w:rFonts w:eastAsia="宋体"/>
        </w:rPr>
        <w:t>4.2.4 噪声产生情况及治理措施</w:t>
      </w:r>
    </w:p>
    <w:p>
      <w:pPr>
        <w:pStyle w:val="112"/>
        <w:ind w:firstLine="480"/>
      </w:pPr>
      <w:r>
        <w:t>本项目集气管道采用埋地敷设方式，在正常运行过程中集气管道不会产生噪声污染。站场噪声正常工况下主要产生于水套炉、节流阀等设备运行噪声和气流声；非正常工况下，站场噪声主要来源的于检修、事故时所产生的放空噪声。站场主要产噪设备及源强统计见下表。</w:t>
      </w:r>
    </w:p>
    <w:p>
      <w:pPr>
        <w:pStyle w:val="37"/>
        <w:rPr>
          <w:rFonts w:cs="Times New Roman"/>
        </w:rPr>
      </w:pPr>
      <w:r>
        <w:rPr>
          <w:rFonts w:cs="Times New Roman"/>
        </w:rPr>
        <w:t>表</w:t>
      </w:r>
      <w:r>
        <w:rPr>
          <w:rFonts w:cs="Times New Roman"/>
          <w:bCs/>
        </w:rPr>
        <w:t xml:space="preserve">4.2-1  </w:t>
      </w:r>
      <w:r>
        <w:rPr>
          <w:rFonts w:cs="Times New Roman"/>
        </w:rPr>
        <w:t>站场产噪设备及源强统计</w:t>
      </w:r>
    </w:p>
    <w:tbl>
      <w:tblPr>
        <w:tblStyle w:val="57"/>
        <w:tblW w:w="5000" w:type="pct"/>
        <w:jc w:val="center"/>
        <w:tblLayout w:type="autofit"/>
        <w:tblCellMar>
          <w:top w:w="0" w:type="dxa"/>
          <w:left w:w="0" w:type="dxa"/>
          <w:bottom w:w="0" w:type="dxa"/>
          <w:right w:w="0" w:type="dxa"/>
        </w:tblCellMar>
      </w:tblPr>
      <w:tblGrid>
        <w:gridCol w:w="1276"/>
        <w:gridCol w:w="1560"/>
        <w:gridCol w:w="2126"/>
        <w:gridCol w:w="1701"/>
        <w:gridCol w:w="1643"/>
      </w:tblGrid>
      <w:tr>
        <w:tblPrEx>
          <w:tblCellMar>
            <w:top w:w="0" w:type="dxa"/>
            <w:left w:w="0" w:type="dxa"/>
            <w:bottom w:w="0" w:type="dxa"/>
            <w:right w:w="0" w:type="dxa"/>
          </w:tblCellMar>
        </w:tblPrEx>
        <w:trPr>
          <w:trHeight w:val="16" w:hRule="atLeast"/>
          <w:jc w:val="center"/>
        </w:trPr>
        <w:tc>
          <w:tcPr>
            <w:tcW w:w="768" w:type="pct"/>
            <w:tcBorders>
              <w:top w:val="single" w:color="000000" w:sz="12" w:space="0"/>
              <w:left w:val="nil"/>
              <w:bottom w:val="single" w:color="000000" w:sz="4" w:space="0"/>
              <w:right w:val="single" w:color="000000" w:sz="4" w:space="0"/>
            </w:tcBorders>
            <w:vAlign w:val="center"/>
          </w:tcPr>
          <w:p>
            <w:pPr>
              <w:pStyle w:val="132"/>
              <w:rPr>
                <w:b/>
                <w:bCs/>
              </w:rPr>
            </w:pPr>
            <w:r>
              <w:rPr>
                <w:b/>
                <w:bCs/>
              </w:rPr>
              <w:t>井站</w:t>
            </w:r>
          </w:p>
        </w:tc>
        <w:tc>
          <w:tcPr>
            <w:tcW w:w="939" w:type="pct"/>
            <w:tcBorders>
              <w:top w:val="single" w:color="000000" w:sz="12" w:space="0"/>
              <w:left w:val="single" w:color="000000" w:sz="4" w:space="0"/>
              <w:bottom w:val="single" w:color="000000" w:sz="4" w:space="0"/>
              <w:right w:val="single" w:color="000000" w:sz="4" w:space="0"/>
            </w:tcBorders>
            <w:vAlign w:val="center"/>
          </w:tcPr>
          <w:p>
            <w:pPr>
              <w:pStyle w:val="119"/>
              <w:jc w:val="center"/>
              <w:rPr>
                <w:rFonts w:ascii="Times New Roman" w:hAnsi="Times New Roman" w:cs="Times New Roman"/>
                <w:b/>
                <w:bCs/>
                <w:color w:val="auto"/>
              </w:rPr>
            </w:pPr>
            <w:r>
              <w:rPr>
                <w:rFonts w:ascii="Times New Roman" w:hAnsi="Times New Roman" w:cs="Times New Roman"/>
                <w:b/>
                <w:bCs/>
                <w:color w:val="auto"/>
                <w:sz w:val="20"/>
                <w:szCs w:val="20"/>
              </w:rPr>
              <w:t>主要发声设备</w:t>
            </w:r>
          </w:p>
        </w:tc>
        <w:tc>
          <w:tcPr>
            <w:tcW w:w="1280" w:type="pct"/>
            <w:tcBorders>
              <w:top w:val="single" w:color="000000" w:sz="12" w:space="0"/>
              <w:left w:val="single" w:color="000000" w:sz="4" w:space="0"/>
              <w:bottom w:val="single" w:color="000000" w:sz="4" w:space="0"/>
              <w:right w:val="single" w:color="000000" w:sz="4" w:space="0"/>
            </w:tcBorders>
            <w:vAlign w:val="center"/>
          </w:tcPr>
          <w:p>
            <w:pPr>
              <w:pStyle w:val="119"/>
              <w:jc w:val="center"/>
              <w:rPr>
                <w:rFonts w:ascii="Times New Roman" w:hAnsi="Times New Roman" w:cs="Times New Roman"/>
                <w:b/>
                <w:bCs/>
                <w:color w:val="auto"/>
              </w:rPr>
            </w:pPr>
            <w:r>
              <w:rPr>
                <w:rFonts w:ascii="Times New Roman" w:hAnsi="Times New Roman" w:cs="Times New Roman"/>
                <w:b/>
                <w:bCs/>
                <w:color w:val="auto"/>
                <w:sz w:val="20"/>
                <w:szCs w:val="20"/>
              </w:rPr>
              <w:t>声级（dB（A））</w:t>
            </w:r>
          </w:p>
        </w:tc>
        <w:tc>
          <w:tcPr>
            <w:tcW w:w="1024" w:type="pct"/>
            <w:tcBorders>
              <w:top w:val="single" w:color="000000" w:sz="12" w:space="0"/>
              <w:left w:val="single" w:color="000000" w:sz="4" w:space="0"/>
              <w:bottom w:val="single" w:color="000000" w:sz="4" w:space="0"/>
              <w:right w:val="single" w:color="000000" w:sz="4" w:space="0"/>
            </w:tcBorders>
            <w:vAlign w:val="center"/>
          </w:tcPr>
          <w:p>
            <w:pPr>
              <w:pStyle w:val="119"/>
              <w:jc w:val="center"/>
              <w:rPr>
                <w:rFonts w:ascii="Times New Roman" w:hAnsi="Times New Roman" w:cs="Times New Roman"/>
                <w:b/>
                <w:bCs/>
                <w:color w:val="auto"/>
              </w:rPr>
            </w:pPr>
            <w:r>
              <w:rPr>
                <w:rFonts w:ascii="Times New Roman" w:hAnsi="Times New Roman" w:cs="Times New Roman"/>
                <w:b/>
                <w:bCs/>
                <w:color w:val="auto"/>
                <w:sz w:val="20"/>
                <w:szCs w:val="20"/>
              </w:rPr>
              <w:t>数量（台/套）</w:t>
            </w:r>
          </w:p>
        </w:tc>
        <w:tc>
          <w:tcPr>
            <w:tcW w:w="989" w:type="pct"/>
            <w:tcBorders>
              <w:top w:val="single" w:color="000000" w:sz="12" w:space="0"/>
              <w:left w:val="single" w:color="000000" w:sz="4" w:space="0"/>
              <w:bottom w:val="single" w:color="000000" w:sz="4" w:space="0"/>
              <w:right w:val="nil"/>
            </w:tcBorders>
            <w:vAlign w:val="center"/>
          </w:tcPr>
          <w:p>
            <w:pPr>
              <w:pStyle w:val="119"/>
              <w:jc w:val="center"/>
              <w:rPr>
                <w:rFonts w:ascii="Times New Roman" w:hAnsi="Times New Roman" w:cs="Times New Roman"/>
                <w:b/>
                <w:bCs/>
                <w:color w:val="auto"/>
              </w:rPr>
            </w:pPr>
            <w:r>
              <w:rPr>
                <w:rFonts w:ascii="Times New Roman" w:hAnsi="Times New Roman" w:cs="Times New Roman"/>
                <w:b/>
                <w:bCs/>
                <w:color w:val="auto"/>
                <w:sz w:val="20"/>
                <w:szCs w:val="20"/>
              </w:rPr>
              <w:t>运行状态</w:t>
            </w:r>
          </w:p>
        </w:tc>
      </w:tr>
      <w:tr>
        <w:tblPrEx>
          <w:tblCellMar>
            <w:top w:w="0" w:type="dxa"/>
            <w:left w:w="0" w:type="dxa"/>
            <w:bottom w:w="0" w:type="dxa"/>
            <w:right w:w="0" w:type="dxa"/>
          </w:tblCellMar>
        </w:tblPrEx>
        <w:trPr>
          <w:trHeight w:val="16" w:hRule="atLeast"/>
          <w:jc w:val="center"/>
        </w:trPr>
        <w:tc>
          <w:tcPr>
            <w:tcW w:w="768" w:type="pct"/>
            <w:vMerge w:val="restart"/>
            <w:tcBorders>
              <w:top w:val="single" w:color="000000" w:sz="4" w:space="0"/>
              <w:left w:val="nil"/>
              <w:right w:val="single" w:color="000000" w:sz="4" w:space="0"/>
            </w:tcBorders>
            <w:vAlign w:val="center"/>
          </w:tcPr>
          <w:p>
            <w:pPr>
              <w:pStyle w:val="132"/>
            </w:pPr>
            <w:r>
              <w:rPr>
                <w:rFonts w:hint="eastAsia"/>
              </w:rPr>
              <w:t>普陆4集气平台</w:t>
            </w:r>
          </w:p>
        </w:tc>
        <w:tc>
          <w:tcPr>
            <w:tcW w:w="939" w:type="pct"/>
            <w:tcBorders>
              <w:top w:val="single" w:color="000000" w:sz="4" w:space="0"/>
              <w:left w:val="single" w:color="000000" w:sz="4" w:space="0"/>
              <w:bottom w:val="single" w:color="000000" w:sz="4" w:space="0"/>
              <w:right w:val="single" w:color="000000" w:sz="4" w:space="0"/>
            </w:tcBorders>
            <w:vAlign w:val="center"/>
          </w:tcPr>
          <w:p>
            <w:pPr>
              <w:pStyle w:val="119"/>
              <w:jc w:val="center"/>
              <w:rPr>
                <w:rFonts w:ascii="Times New Roman" w:hAnsi="Times New Roman" w:cs="Times New Roman"/>
                <w:color w:val="auto"/>
              </w:rPr>
            </w:pPr>
            <w:r>
              <w:rPr>
                <w:rFonts w:ascii="Times New Roman" w:hAnsi="Times New Roman" w:cs="Times New Roman"/>
                <w:color w:val="auto"/>
                <w:sz w:val="20"/>
                <w:szCs w:val="20"/>
              </w:rPr>
              <w:t>分离计量器</w:t>
            </w:r>
          </w:p>
        </w:tc>
        <w:tc>
          <w:tcPr>
            <w:tcW w:w="1280" w:type="pct"/>
            <w:tcBorders>
              <w:top w:val="single" w:color="000000" w:sz="4" w:space="0"/>
              <w:left w:val="single" w:color="000000" w:sz="4" w:space="0"/>
              <w:bottom w:val="single" w:color="000000" w:sz="4" w:space="0"/>
              <w:right w:val="single" w:color="000000" w:sz="4" w:space="0"/>
            </w:tcBorders>
            <w:vAlign w:val="center"/>
          </w:tcPr>
          <w:p>
            <w:pPr>
              <w:pStyle w:val="132"/>
            </w:pPr>
            <w:r>
              <w:t>62</w:t>
            </w:r>
          </w:p>
        </w:tc>
        <w:tc>
          <w:tcPr>
            <w:tcW w:w="1024" w:type="pct"/>
            <w:tcBorders>
              <w:top w:val="single" w:color="000000" w:sz="4" w:space="0"/>
              <w:left w:val="single" w:color="000000" w:sz="4" w:space="0"/>
              <w:bottom w:val="single" w:color="000000" w:sz="4" w:space="0"/>
              <w:right w:val="single" w:color="000000" w:sz="4" w:space="0"/>
            </w:tcBorders>
            <w:vAlign w:val="center"/>
          </w:tcPr>
          <w:p>
            <w:pPr>
              <w:pStyle w:val="132"/>
            </w:pPr>
            <w:r>
              <w:t>1</w:t>
            </w:r>
          </w:p>
        </w:tc>
        <w:tc>
          <w:tcPr>
            <w:tcW w:w="989" w:type="pct"/>
            <w:vMerge w:val="restart"/>
            <w:tcBorders>
              <w:top w:val="single" w:color="000000" w:sz="4" w:space="0"/>
              <w:left w:val="single" w:color="000000" w:sz="4" w:space="0"/>
              <w:right w:val="nil"/>
            </w:tcBorders>
            <w:vAlign w:val="center"/>
          </w:tcPr>
          <w:p>
            <w:pPr>
              <w:pStyle w:val="119"/>
              <w:jc w:val="center"/>
              <w:rPr>
                <w:rFonts w:ascii="Times New Roman" w:hAnsi="Times New Roman" w:cs="Times New Roman"/>
                <w:color w:val="auto"/>
              </w:rPr>
            </w:pPr>
            <w:r>
              <w:rPr>
                <w:rFonts w:ascii="Times New Roman" w:hAnsi="Times New Roman" w:cs="Times New Roman"/>
                <w:color w:val="auto"/>
                <w:sz w:val="20"/>
                <w:szCs w:val="20"/>
              </w:rPr>
              <w:t>正常生产</w:t>
            </w:r>
          </w:p>
        </w:tc>
      </w:tr>
      <w:tr>
        <w:tblPrEx>
          <w:tblCellMar>
            <w:top w:w="0" w:type="dxa"/>
            <w:left w:w="0" w:type="dxa"/>
            <w:bottom w:w="0" w:type="dxa"/>
            <w:right w:w="0" w:type="dxa"/>
          </w:tblCellMar>
        </w:tblPrEx>
        <w:trPr>
          <w:trHeight w:val="16" w:hRule="atLeast"/>
          <w:jc w:val="center"/>
        </w:trPr>
        <w:tc>
          <w:tcPr>
            <w:tcW w:w="768" w:type="pct"/>
            <w:vMerge w:val="continue"/>
            <w:tcBorders>
              <w:top w:val="single" w:color="000000" w:sz="4" w:space="0"/>
              <w:left w:val="nil"/>
              <w:right w:val="single" w:color="000000" w:sz="4" w:space="0"/>
            </w:tcBorders>
            <w:vAlign w:val="center"/>
          </w:tcPr>
          <w:p>
            <w:pPr>
              <w:pStyle w:val="132"/>
            </w:pPr>
          </w:p>
        </w:tc>
        <w:tc>
          <w:tcPr>
            <w:tcW w:w="939" w:type="pct"/>
            <w:tcBorders>
              <w:top w:val="single" w:color="000000" w:sz="4" w:space="0"/>
              <w:left w:val="single" w:color="000000" w:sz="4" w:space="0"/>
              <w:bottom w:val="single" w:color="000000" w:sz="4" w:space="0"/>
              <w:right w:val="single" w:color="000000" w:sz="4" w:space="0"/>
            </w:tcBorders>
            <w:vAlign w:val="center"/>
          </w:tcPr>
          <w:p>
            <w:pPr>
              <w:pStyle w:val="119"/>
              <w:jc w:val="center"/>
              <w:rPr>
                <w:rFonts w:ascii="Times New Roman" w:hAnsi="Times New Roman" w:cs="Times New Roman"/>
                <w:color w:val="auto"/>
                <w:sz w:val="20"/>
                <w:szCs w:val="20"/>
              </w:rPr>
            </w:pPr>
            <w:r>
              <w:rPr>
                <w:rFonts w:ascii="Times New Roman" w:hAnsi="Times New Roman" w:cs="Times New Roman"/>
                <w:color w:val="auto"/>
                <w:sz w:val="20"/>
                <w:szCs w:val="20"/>
              </w:rPr>
              <w:t>水套炉</w:t>
            </w:r>
          </w:p>
        </w:tc>
        <w:tc>
          <w:tcPr>
            <w:tcW w:w="1280" w:type="pct"/>
            <w:tcBorders>
              <w:top w:val="single" w:color="000000" w:sz="4" w:space="0"/>
              <w:left w:val="single" w:color="000000" w:sz="4" w:space="0"/>
              <w:bottom w:val="single" w:color="000000" w:sz="4" w:space="0"/>
              <w:right w:val="single" w:color="000000" w:sz="4" w:space="0"/>
            </w:tcBorders>
            <w:vAlign w:val="center"/>
          </w:tcPr>
          <w:p>
            <w:pPr>
              <w:pStyle w:val="132"/>
            </w:pPr>
            <w:r>
              <w:t>67</w:t>
            </w:r>
          </w:p>
        </w:tc>
        <w:tc>
          <w:tcPr>
            <w:tcW w:w="1024" w:type="pct"/>
            <w:tcBorders>
              <w:top w:val="single" w:color="000000" w:sz="4" w:space="0"/>
              <w:left w:val="single" w:color="000000" w:sz="4" w:space="0"/>
              <w:bottom w:val="single" w:color="000000" w:sz="4" w:space="0"/>
              <w:right w:val="single" w:color="000000" w:sz="4" w:space="0"/>
            </w:tcBorders>
            <w:vAlign w:val="center"/>
          </w:tcPr>
          <w:p>
            <w:pPr>
              <w:pStyle w:val="132"/>
            </w:pPr>
            <w:r>
              <w:rPr>
                <w:rFonts w:hint="eastAsia"/>
              </w:rPr>
              <w:t>1</w:t>
            </w:r>
          </w:p>
        </w:tc>
        <w:tc>
          <w:tcPr>
            <w:tcW w:w="989" w:type="pct"/>
            <w:vMerge w:val="continue"/>
            <w:tcBorders>
              <w:left w:val="single" w:color="000000" w:sz="4" w:space="0"/>
              <w:right w:val="nil"/>
            </w:tcBorders>
            <w:vAlign w:val="center"/>
          </w:tcPr>
          <w:p>
            <w:pPr>
              <w:pStyle w:val="119"/>
              <w:jc w:val="center"/>
              <w:rPr>
                <w:rFonts w:ascii="Times New Roman" w:hAnsi="Times New Roman" w:cs="Times New Roman"/>
                <w:color w:val="auto"/>
                <w:sz w:val="20"/>
                <w:szCs w:val="20"/>
              </w:rPr>
            </w:pPr>
          </w:p>
        </w:tc>
      </w:tr>
      <w:tr>
        <w:tblPrEx>
          <w:tblCellMar>
            <w:top w:w="0" w:type="dxa"/>
            <w:left w:w="0" w:type="dxa"/>
            <w:bottom w:w="0" w:type="dxa"/>
            <w:right w:w="0" w:type="dxa"/>
          </w:tblCellMar>
        </w:tblPrEx>
        <w:trPr>
          <w:trHeight w:val="16" w:hRule="atLeast"/>
          <w:jc w:val="center"/>
        </w:trPr>
        <w:tc>
          <w:tcPr>
            <w:tcW w:w="768" w:type="pct"/>
            <w:vMerge w:val="continue"/>
            <w:tcBorders>
              <w:top w:val="single" w:color="000000" w:sz="4" w:space="0"/>
              <w:left w:val="nil"/>
              <w:right w:val="single" w:color="000000" w:sz="4" w:space="0"/>
            </w:tcBorders>
            <w:vAlign w:val="center"/>
          </w:tcPr>
          <w:p>
            <w:pPr>
              <w:pStyle w:val="132"/>
            </w:pPr>
          </w:p>
        </w:tc>
        <w:tc>
          <w:tcPr>
            <w:tcW w:w="939" w:type="pct"/>
            <w:tcBorders>
              <w:top w:val="single" w:color="000000" w:sz="4" w:space="0"/>
              <w:left w:val="single" w:color="000000" w:sz="4" w:space="0"/>
              <w:bottom w:val="single" w:color="000000" w:sz="4" w:space="0"/>
              <w:right w:val="single" w:color="000000" w:sz="4" w:space="0"/>
            </w:tcBorders>
            <w:vAlign w:val="center"/>
          </w:tcPr>
          <w:p>
            <w:pPr>
              <w:pStyle w:val="119"/>
              <w:jc w:val="center"/>
              <w:rPr>
                <w:rFonts w:ascii="Times New Roman" w:hAnsi="Times New Roman" w:cs="Times New Roman"/>
                <w:color w:val="auto"/>
                <w:sz w:val="20"/>
                <w:szCs w:val="20"/>
              </w:rPr>
            </w:pPr>
            <w:r>
              <w:rPr>
                <w:rFonts w:ascii="Times New Roman" w:hAnsi="Times New Roman" w:cs="Times New Roman"/>
                <w:color w:val="auto"/>
                <w:sz w:val="20"/>
                <w:szCs w:val="20"/>
              </w:rPr>
              <w:t>节流阀</w:t>
            </w:r>
          </w:p>
        </w:tc>
        <w:tc>
          <w:tcPr>
            <w:tcW w:w="1280" w:type="pct"/>
            <w:tcBorders>
              <w:top w:val="single" w:color="000000" w:sz="4" w:space="0"/>
              <w:left w:val="single" w:color="000000" w:sz="4" w:space="0"/>
              <w:bottom w:val="single" w:color="000000" w:sz="4" w:space="0"/>
              <w:right w:val="single" w:color="000000" w:sz="4" w:space="0"/>
            </w:tcBorders>
            <w:vAlign w:val="center"/>
          </w:tcPr>
          <w:p>
            <w:pPr>
              <w:pStyle w:val="132"/>
            </w:pPr>
            <w:r>
              <w:t>68</w:t>
            </w:r>
          </w:p>
        </w:tc>
        <w:tc>
          <w:tcPr>
            <w:tcW w:w="1024" w:type="pct"/>
            <w:tcBorders>
              <w:top w:val="single" w:color="000000" w:sz="4" w:space="0"/>
              <w:left w:val="single" w:color="000000" w:sz="4" w:space="0"/>
              <w:bottom w:val="single" w:color="000000" w:sz="4" w:space="0"/>
              <w:right w:val="single" w:color="000000" w:sz="4" w:space="0"/>
            </w:tcBorders>
            <w:vAlign w:val="center"/>
          </w:tcPr>
          <w:p>
            <w:pPr>
              <w:pStyle w:val="132"/>
            </w:pPr>
            <w:r>
              <w:t>1</w:t>
            </w:r>
          </w:p>
        </w:tc>
        <w:tc>
          <w:tcPr>
            <w:tcW w:w="989" w:type="pct"/>
            <w:vMerge w:val="continue"/>
            <w:tcBorders>
              <w:left w:val="single" w:color="000000" w:sz="4" w:space="0"/>
              <w:right w:val="nil"/>
            </w:tcBorders>
            <w:vAlign w:val="center"/>
          </w:tcPr>
          <w:p>
            <w:pPr>
              <w:pStyle w:val="119"/>
              <w:jc w:val="center"/>
              <w:rPr>
                <w:rFonts w:ascii="Times New Roman" w:hAnsi="Times New Roman" w:cs="Times New Roman"/>
                <w:color w:val="auto"/>
                <w:sz w:val="20"/>
                <w:szCs w:val="20"/>
              </w:rPr>
            </w:pPr>
          </w:p>
        </w:tc>
      </w:tr>
      <w:tr>
        <w:tblPrEx>
          <w:tblCellMar>
            <w:top w:w="0" w:type="dxa"/>
            <w:left w:w="0" w:type="dxa"/>
            <w:bottom w:w="0" w:type="dxa"/>
            <w:right w:w="0" w:type="dxa"/>
          </w:tblCellMar>
        </w:tblPrEx>
        <w:trPr>
          <w:trHeight w:val="16" w:hRule="atLeast"/>
          <w:jc w:val="center"/>
        </w:trPr>
        <w:tc>
          <w:tcPr>
            <w:tcW w:w="768" w:type="pct"/>
            <w:vMerge w:val="continue"/>
            <w:tcBorders>
              <w:left w:val="nil"/>
              <w:bottom w:val="single" w:color="000000" w:sz="12" w:space="0"/>
              <w:right w:val="single" w:color="000000" w:sz="4" w:space="0"/>
            </w:tcBorders>
            <w:vAlign w:val="center"/>
          </w:tcPr>
          <w:p>
            <w:pPr>
              <w:pStyle w:val="132"/>
            </w:pPr>
          </w:p>
        </w:tc>
        <w:tc>
          <w:tcPr>
            <w:tcW w:w="939" w:type="pct"/>
            <w:tcBorders>
              <w:top w:val="single" w:color="000000" w:sz="4" w:space="0"/>
              <w:left w:val="single" w:color="000000" w:sz="4" w:space="0"/>
              <w:bottom w:val="single" w:color="000000" w:sz="12" w:space="0"/>
              <w:right w:val="single" w:color="000000" w:sz="4" w:space="0"/>
            </w:tcBorders>
            <w:vAlign w:val="center"/>
          </w:tcPr>
          <w:p>
            <w:pPr>
              <w:pStyle w:val="132"/>
            </w:pPr>
            <w:r>
              <w:t>放空系统</w:t>
            </w:r>
          </w:p>
        </w:tc>
        <w:tc>
          <w:tcPr>
            <w:tcW w:w="1280" w:type="pct"/>
            <w:tcBorders>
              <w:top w:val="single" w:color="000000" w:sz="4" w:space="0"/>
              <w:left w:val="single" w:color="000000" w:sz="4" w:space="0"/>
              <w:bottom w:val="single" w:color="000000" w:sz="12" w:space="0"/>
              <w:right w:val="single" w:color="000000" w:sz="4" w:space="0"/>
            </w:tcBorders>
            <w:vAlign w:val="center"/>
          </w:tcPr>
          <w:p>
            <w:pPr>
              <w:pStyle w:val="132"/>
            </w:pPr>
            <w:r>
              <w:t>90</w:t>
            </w:r>
          </w:p>
        </w:tc>
        <w:tc>
          <w:tcPr>
            <w:tcW w:w="1024" w:type="pct"/>
            <w:tcBorders>
              <w:top w:val="single" w:color="000000" w:sz="4" w:space="0"/>
              <w:left w:val="single" w:color="000000" w:sz="4" w:space="0"/>
              <w:bottom w:val="single" w:color="000000" w:sz="12" w:space="0"/>
              <w:right w:val="single" w:color="000000" w:sz="4" w:space="0"/>
            </w:tcBorders>
            <w:vAlign w:val="center"/>
          </w:tcPr>
          <w:p>
            <w:pPr>
              <w:pStyle w:val="132"/>
            </w:pPr>
            <w:r>
              <w:t>1</w:t>
            </w:r>
          </w:p>
        </w:tc>
        <w:tc>
          <w:tcPr>
            <w:tcW w:w="989" w:type="pct"/>
            <w:tcBorders>
              <w:top w:val="single" w:color="000000" w:sz="4" w:space="0"/>
              <w:left w:val="single" w:color="000000" w:sz="4" w:space="0"/>
              <w:bottom w:val="single" w:color="000000" w:sz="12" w:space="0"/>
              <w:right w:val="nil"/>
            </w:tcBorders>
            <w:vAlign w:val="center"/>
          </w:tcPr>
          <w:p>
            <w:pPr>
              <w:pStyle w:val="119"/>
              <w:jc w:val="center"/>
              <w:rPr>
                <w:rFonts w:ascii="Times New Roman" w:hAnsi="Times New Roman" w:cs="Times New Roman"/>
                <w:color w:val="auto"/>
              </w:rPr>
            </w:pPr>
            <w:r>
              <w:rPr>
                <w:rFonts w:ascii="Times New Roman" w:hAnsi="Times New Roman" w:cs="Times New Roman"/>
                <w:color w:val="auto"/>
                <w:sz w:val="20"/>
                <w:szCs w:val="20"/>
              </w:rPr>
              <w:t>放空作业</w:t>
            </w:r>
          </w:p>
        </w:tc>
      </w:tr>
    </w:tbl>
    <w:p>
      <w:pPr>
        <w:pStyle w:val="4"/>
        <w:rPr>
          <w:rFonts w:eastAsia="宋体"/>
        </w:rPr>
      </w:pPr>
      <w:r>
        <w:rPr>
          <w:rFonts w:eastAsia="宋体"/>
        </w:rPr>
        <w:t>4.2.5 固体废物产生情况及治理措施</w:t>
      </w:r>
    </w:p>
    <w:p>
      <w:pPr>
        <w:pStyle w:val="112"/>
        <w:ind w:firstLine="480"/>
      </w:pPr>
      <w:r>
        <w:t>本项目集气管道采用埋地敷设方式，在正常运行过程中集气管道不会产生固体废物。</w:t>
      </w:r>
    </w:p>
    <w:p>
      <w:pPr>
        <w:pStyle w:val="112"/>
        <w:ind w:firstLine="480"/>
      </w:pPr>
      <w:r>
        <w:t>运营期</w:t>
      </w:r>
      <w:r>
        <w:rPr>
          <w:rFonts w:hint="eastAsia"/>
        </w:rPr>
        <w:t>普陆4集气平台</w:t>
      </w:r>
      <w:r>
        <w:t>设有</w:t>
      </w:r>
      <w:r>
        <w:rPr>
          <w:rFonts w:hint="eastAsia"/>
        </w:rPr>
        <w:t>1个</w:t>
      </w:r>
      <w:r>
        <w:t>凝析油储存罐</w:t>
      </w:r>
      <w:r>
        <w:rPr>
          <w:rFonts w:hint="eastAsia"/>
        </w:rPr>
        <w:t>（容积为50m</w:t>
      </w:r>
      <w:r>
        <w:rPr>
          <w:rFonts w:hint="eastAsia"/>
          <w:vertAlign w:val="superscript"/>
        </w:rPr>
        <w:t>3</w:t>
      </w:r>
      <w:r>
        <w:rPr>
          <w:rFonts w:hint="eastAsia"/>
        </w:rPr>
        <w:t>），</w:t>
      </w:r>
      <w:r>
        <w:rPr>
          <w:rFonts w:hint="eastAsia"/>
          <w:bCs/>
        </w:rPr>
        <w:t>闪蒸罐闪蒸分离出凝析油，根据气质成分分析，天然气中凝析油占比为13.363%，</w:t>
      </w:r>
      <w:r>
        <w:t>运营期</w:t>
      </w:r>
      <w:r>
        <w:rPr>
          <w:rFonts w:hint="eastAsia"/>
          <w:bCs/>
        </w:rPr>
        <w:t>天然气产量约为5.27万m</w:t>
      </w:r>
      <w:r>
        <w:rPr>
          <w:rFonts w:hint="eastAsia"/>
          <w:bCs/>
          <w:vertAlign w:val="superscript"/>
        </w:rPr>
        <w:t>3</w:t>
      </w:r>
      <w:r>
        <w:rPr>
          <w:rFonts w:hint="eastAsia"/>
          <w:bCs/>
        </w:rPr>
        <w:t>/d（折合1923.55万m</w:t>
      </w:r>
      <w:r>
        <w:rPr>
          <w:rFonts w:hint="eastAsia"/>
          <w:bCs/>
          <w:vertAlign w:val="superscript"/>
        </w:rPr>
        <w:t>3</w:t>
      </w:r>
      <w:r>
        <w:rPr>
          <w:rFonts w:hint="eastAsia"/>
          <w:bCs/>
        </w:rPr>
        <w:t>/a），</w:t>
      </w:r>
      <w:r>
        <w:rPr>
          <w:bCs/>
        </w:rPr>
        <w:t>天然气密度为0.7012kg/m</w:t>
      </w:r>
      <w:r>
        <w:rPr>
          <w:bCs/>
          <w:vertAlign w:val="superscript"/>
        </w:rPr>
        <w:t>3</w:t>
      </w:r>
      <w:r>
        <w:rPr>
          <w:bCs/>
        </w:rPr>
        <w:t>，则</w:t>
      </w:r>
      <w:r>
        <w:rPr>
          <w:rFonts w:hint="eastAsia"/>
          <w:bCs/>
        </w:rPr>
        <w:t>凝析油产生量约1802.39t/a，凝析油作为副产品外售</w:t>
      </w:r>
      <w:r>
        <w:t>。</w:t>
      </w:r>
    </w:p>
    <w:p>
      <w:pPr>
        <w:pStyle w:val="112"/>
        <w:ind w:firstLine="480"/>
      </w:pPr>
      <w:r>
        <w:t>普陆4集气平台设有清管收球筒，在清管作业时将在普陆4集气平台产生少量的检修废渣和清管废渣，场站清管废渣按1kg/次考虑，每年清管1次，主要为铁屑，每年产生清管废渣1kg/a；普陆4集气平台检修废渣按1kg/次考虑，每年检修1次，检修废渣主要为铁屑，每年产生检修废渣1kg/a。清管检修废渣主要为机械杂质等，</w:t>
      </w:r>
      <w:r>
        <w:rPr>
          <w:color w:val="FF0000"/>
        </w:rPr>
        <w:t>其主要成分为氧化铁粉末</w:t>
      </w:r>
      <w:r>
        <w:rPr>
          <w:rFonts w:hint="eastAsia"/>
          <w:color w:val="FF0000"/>
        </w:rPr>
        <w:t>（含凝析油）</w:t>
      </w:r>
      <w:r>
        <w:rPr>
          <w:color w:val="FF0000"/>
        </w:rPr>
        <w:t>，属</w:t>
      </w:r>
      <w:r>
        <w:rPr>
          <w:rFonts w:hint="eastAsia"/>
          <w:color w:val="FF0000"/>
        </w:rPr>
        <w:t>危险</w:t>
      </w:r>
      <w:r>
        <w:rPr>
          <w:color w:val="FF0000"/>
        </w:rPr>
        <w:t>废物，集中收集后交</w:t>
      </w:r>
      <w:r>
        <w:rPr>
          <w:rFonts w:hint="eastAsia"/>
          <w:color w:val="FF0000"/>
        </w:rPr>
        <w:t>有资质</w:t>
      </w:r>
      <w:r>
        <w:rPr>
          <w:color w:val="FF0000"/>
        </w:rPr>
        <w:t>单位集中处置。</w:t>
      </w:r>
    </w:p>
    <w:p>
      <w:pPr>
        <w:pStyle w:val="112"/>
        <w:ind w:firstLine="480"/>
      </w:pPr>
      <w:r>
        <w:t>普陆4集气平台为</w:t>
      </w:r>
      <w:r>
        <w:rPr>
          <w:rFonts w:hint="eastAsia"/>
        </w:rPr>
        <w:t>有人</w:t>
      </w:r>
      <w:r>
        <w:t>值守站，常年值班人员为</w:t>
      </w:r>
      <w:r>
        <w:rPr>
          <w:rFonts w:hint="eastAsia"/>
        </w:rPr>
        <w:t>4</w:t>
      </w:r>
      <w:r>
        <w:t>人</w:t>
      </w:r>
      <w:r>
        <w:rPr>
          <w:rFonts w:hint="eastAsia"/>
        </w:rPr>
        <w:t>，</w:t>
      </w:r>
      <w:r>
        <w:t>工作人员生活垃圾产生量按0.5kg/人.d计，项目劳动定员</w:t>
      </w:r>
      <w:r>
        <w:rPr>
          <w:rFonts w:hint="eastAsia"/>
        </w:rPr>
        <w:t>4</w:t>
      </w:r>
      <w:r>
        <w:t>人，则生产垃圾产生量为</w:t>
      </w:r>
      <w:r>
        <w:rPr>
          <w:rFonts w:hint="eastAsia"/>
        </w:rPr>
        <w:t>2</w:t>
      </w:r>
      <w:r>
        <w:t>kg/d（</w:t>
      </w:r>
      <w:r>
        <w:rPr>
          <w:rFonts w:hint="eastAsia"/>
        </w:rPr>
        <w:t>0.73</w:t>
      </w:r>
      <w:r>
        <w:t>t/a），用垃圾桶收集，委托当地环卫部门清运处置</w:t>
      </w:r>
      <w:r>
        <w:rPr>
          <w:rFonts w:hint="eastAsia"/>
        </w:rPr>
        <w:t>。</w:t>
      </w:r>
    </w:p>
    <w:p>
      <w:pPr>
        <w:pStyle w:val="3"/>
        <w:spacing w:before="120"/>
        <w:rPr>
          <w:rFonts w:cs="Times New Roman"/>
        </w:rPr>
      </w:pPr>
      <w:r>
        <w:rPr>
          <w:rFonts w:cs="Times New Roman"/>
        </w:rPr>
        <w:t>4.</w:t>
      </w:r>
      <w:r>
        <w:rPr>
          <w:rFonts w:hint="eastAsia" w:cs="Times New Roman"/>
        </w:rPr>
        <w:t>3</w:t>
      </w:r>
      <w:r>
        <w:rPr>
          <w:rFonts w:cs="Times New Roman"/>
        </w:rPr>
        <w:t xml:space="preserve"> </w:t>
      </w:r>
      <w:r>
        <w:rPr>
          <w:rFonts w:hint="eastAsia" w:cs="Times New Roman"/>
        </w:rPr>
        <w:t>退役</w:t>
      </w:r>
      <w:r>
        <w:rPr>
          <w:rFonts w:cs="Times New Roman"/>
        </w:rPr>
        <w:t>期工程分析</w:t>
      </w:r>
    </w:p>
    <w:p>
      <w:pPr>
        <w:pStyle w:val="4"/>
        <w:rPr>
          <w:rFonts w:eastAsia="宋体"/>
        </w:rPr>
      </w:pPr>
      <w:r>
        <w:rPr>
          <w:rFonts w:eastAsia="宋体"/>
        </w:rPr>
        <w:t>4.</w:t>
      </w:r>
      <w:r>
        <w:rPr>
          <w:rFonts w:hint="eastAsia" w:eastAsia="宋体"/>
        </w:rPr>
        <w:t>3</w:t>
      </w:r>
      <w:r>
        <w:rPr>
          <w:rFonts w:eastAsia="宋体"/>
        </w:rPr>
        <w:t xml:space="preserve">.1 </w:t>
      </w:r>
      <w:r>
        <w:rPr>
          <w:rFonts w:hint="eastAsia" w:eastAsia="宋体"/>
        </w:rPr>
        <w:t>退役</w:t>
      </w:r>
      <w:r>
        <w:rPr>
          <w:rFonts w:eastAsia="宋体"/>
        </w:rPr>
        <w:t>期工艺流程</w:t>
      </w:r>
    </w:p>
    <w:p>
      <w:pPr>
        <w:pStyle w:val="112"/>
        <w:ind w:firstLine="480"/>
        <w:rPr>
          <w:bCs/>
        </w:rPr>
      </w:pPr>
      <w:r>
        <w:rPr>
          <w:rFonts w:hint="eastAsia"/>
          <w:bCs/>
        </w:rPr>
        <w:t>随着天然气开采的不断进行，其储量逐渐下降，最终导致天然气井进入退</w:t>
      </w:r>
    </w:p>
    <w:p>
      <w:pPr>
        <w:pStyle w:val="112"/>
        <w:ind w:firstLine="0" w:firstLineChars="0"/>
        <w:rPr>
          <w:bCs/>
        </w:rPr>
      </w:pPr>
      <w:r>
        <w:rPr>
          <w:rFonts w:hint="eastAsia"/>
          <w:bCs/>
        </w:rPr>
        <w:t>役期。退役期内，将进行井口封固和搬迁，除在井口周围设置围墙外，其余占</w:t>
      </w:r>
    </w:p>
    <w:p>
      <w:pPr>
        <w:pStyle w:val="112"/>
        <w:ind w:firstLine="0" w:firstLineChars="0"/>
      </w:pPr>
      <w:r>
        <w:rPr>
          <w:rFonts w:hint="eastAsia"/>
          <w:bCs/>
        </w:rPr>
        <w:t>地全部进行土地功能的恢复。与此同时，还要进行永久性占地等地表植被的恢复。退役期基本工艺流程如图4.3-1所示。</w:t>
      </w:r>
    </w:p>
    <w:p>
      <w:pPr>
        <w:ind w:firstLine="480"/>
      </w:pPr>
      <w:r>
        <w:drawing>
          <wp:inline distT="0" distB="0" distL="0" distR="0">
            <wp:extent cx="4756150" cy="1102995"/>
            <wp:effectExtent l="19050" t="0" r="635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61" cstate="print"/>
                    <a:srcRect/>
                    <a:stretch>
                      <a:fillRect/>
                    </a:stretch>
                  </pic:blipFill>
                  <pic:spPr>
                    <a:xfrm>
                      <a:off x="0" y="0"/>
                      <a:ext cx="4752336" cy="1102478"/>
                    </a:xfrm>
                    <a:prstGeom prst="rect">
                      <a:avLst/>
                    </a:prstGeom>
                    <a:noFill/>
                    <a:ln w="9525">
                      <a:noFill/>
                      <a:miter lim="800000"/>
                      <a:headEnd/>
                      <a:tailEnd/>
                    </a:ln>
                  </pic:spPr>
                </pic:pic>
              </a:graphicData>
            </a:graphic>
          </wp:inline>
        </w:drawing>
      </w:r>
    </w:p>
    <w:p>
      <w:pPr>
        <w:pStyle w:val="37"/>
        <w:rPr>
          <w:rFonts w:cs="Times New Roman"/>
        </w:rPr>
      </w:pPr>
      <w:r>
        <w:rPr>
          <w:rFonts w:cs="Times New Roman"/>
        </w:rPr>
        <w:t>图</w:t>
      </w:r>
      <w:r>
        <w:rPr>
          <w:rFonts w:cs="Times New Roman"/>
          <w:bCs/>
        </w:rPr>
        <w:t xml:space="preserve">4.2-1  </w:t>
      </w:r>
      <w:r>
        <w:rPr>
          <w:rFonts w:cs="Times New Roman"/>
        </w:rPr>
        <w:t>本项目</w:t>
      </w:r>
      <w:r>
        <w:rPr>
          <w:rFonts w:hint="eastAsia" w:cs="Times New Roman"/>
        </w:rPr>
        <w:t>退役</w:t>
      </w:r>
      <w:r>
        <w:rPr>
          <w:rFonts w:cs="Times New Roman"/>
        </w:rPr>
        <w:t>期工艺流程及产污节点图</w:t>
      </w:r>
    </w:p>
    <w:p>
      <w:pPr>
        <w:pStyle w:val="4"/>
        <w:rPr>
          <w:rFonts w:eastAsia="宋体"/>
        </w:rPr>
      </w:pPr>
      <w:r>
        <w:rPr>
          <w:rFonts w:eastAsia="宋体"/>
        </w:rPr>
        <w:t>4.</w:t>
      </w:r>
      <w:r>
        <w:rPr>
          <w:rFonts w:hint="eastAsia" w:eastAsia="宋体"/>
        </w:rPr>
        <w:t>3</w:t>
      </w:r>
      <w:r>
        <w:rPr>
          <w:rFonts w:eastAsia="宋体"/>
        </w:rPr>
        <w:t>.</w:t>
      </w:r>
      <w:r>
        <w:rPr>
          <w:rFonts w:hint="eastAsia" w:eastAsia="宋体"/>
        </w:rPr>
        <w:t>2</w:t>
      </w:r>
      <w:r>
        <w:rPr>
          <w:rFonts w:eastAsia="宋体"/>
        </w:rPr>
        <w:t xml:space="preserve"> </w:t>
      </w:r>
      <w:r>
        <w:rPr>
          <w:rFonts w:hint="eastAsia" w:eastAsia="宋体"/>
        </w:rPr>
        <w:t>退役</w:t>
      </w:r>
      <w:r>
        <w:rPr>
          <w:rFonts w:eastAsia="宋体"/>
        </w:rPr>
        <w:t>期工艺流程</w:t>
      </w:r>
    </w:p>
    <w:p>
      <w:pPr>
        <w:pStyle w:val="112"/>
        <w:ind w:firstLine="480"/>
      </w:pPr>
      <w:r>
        <w:rPr>
          <w:rFonts w:hint="eastAsia"/>
          <w:bCs/>
        </w:rPr>
        <w:t>当气井开发接近尾声时，各种机械设备将停止使用，进驻其中的气田开发工作人员将陆续撤离站场，由此带来的大气污染物、生产废水、生活污水、噪声及固体废物等对环境的影响将会消失。退役期仅在井站恢复时会产生少量搬迁和生态恢复施工的噪声、粉尘、尾气和污水。</w:t>
      </w:r>
    </w:p>
    <w:p>
      <w:pPr>
        <w:pStyle w:val="3"/>
        <w:spacing w:before="120"/>
        <w:rPr>
          <w:rFonts w:cs="Times New Roman"/>
        </w:rPr>
      </w:pPr>
      <w:bookmarkStart w:id="388" w:name="_Toc19815993"/>
      <w:bookmarkStart w:id="389" w:name="_Toc12288523"/>
      <w:bookmarkStart w:id="390" w:name="_Toc81515277"/>
      <w:r>
        <w:rPr>
          <w:rFonts w:cs="Times New Roman"/>
        </w:rPr>
        <w:t>4.</w:t>
      </w:r>
      <w:r>
        <w:rPr>
          <w:rFonts w:hint="eastAsia" w:cs="Times New Roman"/>
        </w:rPr>
        <w:t>4</w:t>
      </w:r>
      <w:r>
        <w:rPr>
          <w:rFonts w:cs="Times New Roman"/>
        </w:rPr>
        <w:t xml:space="preserve"> 项目清洁</w:t>
      </w:r>
      <w:r>
        <w:rPr>
          <w:rFonts w:hint="eastAsia" w:cs="Times New Roman"/>
        </w:rPr>
        <w:t>生产</w:t>
      </w:r>
      <w:r>
        <w:rPr>
          <w:rFonts w:cs="Times New Roman"/>
        </w:rPr>
        <w:t>分析</w:t>
      </w:r>
      <w:bookmarkEnd w:id="388"/>
      <w:bookmarkEnd w:id="389"/>
      <w:bookmarkEnd w:id="390"/>
    </w:p>
    <w:p>
      <w:pPr>
        <w:pStyle w:val="4"/>
        <w:rPr>
          <w:rFonts w:eastAsia="宋体"/>
        </w:rPr>
      </w:pPr>
      <w:r>
        <w:rPr>
          <w:rFonts w:eastAsia="宋体"/>
        </w:rPr>
        <w:t>4.</w:t>
      </w:r>
      <w:r>
        <w:rPr>
          <w:rFonts w:hint="eastAsia" w:eastAsia="宋体"/>
        </w:rPr>
        <w:t>4</w:t>
      </w:r>
      <w:r>
        <w:rPr>
          <w:rFonts w:eastAsia="宋体"/>
        </w:rPr>
        <w:t>.1 清洁生产概述</w:t>
      </w:r>
    </w:p>
    <w:p>
      <w:pPr>
        <w:pStyle w:val="112"/>
        <w:ind w:firstLine="480"/>
      </w:pPr>
      <w:r>
        <w:t>本工程输送介质—天然气，本身就是一种清洁的能源，作为能源使用所产生的温室气体CO</w:t>
      </w:r>
      <w:r>
        <w:rPr>
          <w:vertAlign w:val="subscript"/>
        </w:rPr>
        <w:t>2</w:t>
      </w:r>
      <w:r>
        <w:t>的排放量比煤炭、原油、燃料油等少很多，对环境所产生的影响也相对较小，因而采用管道输送天然气，可以达到从源头上减轻环境污染的作用，符合国家节能减排的要求。</w:t>
      </w:r>
    </w:p>
    <w:p>
      <w:pPr>
        <w:pStyle w:val="112"/>
        <w:ind w:firstLine="480"/>
      </w:pPr>
      <w:r>
        <w:t>输气管道运输的能耗和成本远小于铁路、公路运输，且不受地形、气候、运力紧张、季节的影响；损耗和成本、输送产品的质量也更有保证，同样符合国家清洁生产的相关要求。</w:t>
      </w:r>
    </w:p>
    <w:p>
      <w:pPr>
        <w:pStyle w:val="4"/>
        <w:rPr>
          <w:rFonts w:eastAsia="宋体"/>
        </w:rPr>
      </w:pPr>
      <w:bookmarkStart w:id="391" w:name="_Toc12288524"/>
      <w:bookmarkStart w:id="392" w:name="_Toc19815994"/>
      <w:r>
        <w:rPr>
          <w:rFonts w:eastAsia="宋体"/>
        </w:rPr>
        <w:t>4.</w:t>
      </w:r>
      <w:r>
        <w:rPr>
          <w:rFonts w:hint="eastAsia" w:eastAsia="宋体"/>
        </w:rPr>
        <w:t>4</w:t>
      </w:r>
      <w:r>
        <w:rPr>
          <w:rFonts w:eastAsia="宋体"/>
        </w:rPr>
        <w:t xml:space="preserve">.2 </w:t>
      </w:r>
      <w:bookmarkEnd w:id="391"/>
      <w:bookmarkEnd w:id="392"/>
      <w:r>
        <w:rPr>
          <w:rFonts w:eastAsia="宋体"/>
        </w:rPr>
        <w:t>本工程清洁生产概况</w:t>
      </w:r>
    </w:p>
    <w:p>
      <w:pPr>
        <w:pStyle w:val="112"/>
        <w:ind w:firstLine="480"/>
      </w:pPr>
      <w:r>
        <w:t>作为清洁燃料，天然气广泛用于民用燃料、工业燃料和发电。与煤相比，天然气不含灰份，其燃烧后产生的NOx仅为煤的19.2%，产生的CO</w:t>
      </w:r>
      <w:r>
        <w:rPr>
          <w:sz w:val="16"/>
          <w:szCs w:val="16"/>
        </w:rPr>
        <w:t>2</w:t>
      </w:r>
      <w:r>
        <w:t>仅为煤的42.1%，极大地降低了对环境空气的污染。</w:t>
      </w:r>
    </w:p>
    <w:p>
      <w:pPr>
        <w:pStyle w:val="112"/>
        <w:ind w:firstLine="480"/>
      </w:pPr>
      <w:r>
        <w:t>在输送工艺方面，优化工艺方案，减小能源消耗；采用节能设施，减少能耗；采用合理的防腐方式，保证管道运输的安全性；采用管道完整性管理，提高整体运营水平。</w:t>
      </w:r>
    </w:p>
    <w:p>
      <w:pPr>
        <w:pStyle w:val="112"/>
        <w:ind w:firstLine="480"/>
      </w:pPr>
      <w:r>
        <w:t>在生产设备和设施方面，使用世界上较为先进的SCADA自动控制系统，使输送介质的工艺条件实现由计算机自动控制，减少了由于人工控制而产生的生产损耗，可最大限度地减少由于事故引发的环境污染事故，减少事故停运及天然气损失，提高生产技术水平、操作效率和经济效率。</w:t>
      </w:r>
    </w:p>
    <w:p>
      <w:pPr>
        <w:pStyle w:val="112"/>
        <w:ind w:firstLine="480"/>
      </w:pPr>
      <w:r>
        <w:t>在施工期，采取加强施工管理，规范施工过程，实施环境监理；确定合理的施工带宽度，减少临时占地对环境的破坏；采用先进、合理的施工方式，减少对环境的污染和破坏；采取必要措施减少施工期扬尘对沿线居民的影响；减少施工营地建设，减少污染物排放；作好生态恢复，水土保持等工作。</w:t>
      </w:r>
    </w:p>
    <w:p>
      <w:pPr>
        <w:pStyle w:val="112"/>
        <w:ind w:firstLine="480"/>
      </w:pPr>
      <w:r>
        <w:t>在运营期，做好废气、噪声、固废的达标排放工作，尽可能选择低噪声设备，满足清洁生产的要求。</w:t>
      </w:r>
    </w:p>
    <w:p>
      <w:pPr>
        <w:pStyle w:val="112"/>
        <w:ind w:firstLine="480"/>
      </w:pPr>
      <w:r>
        <w:t>本项目的清洁生产目标，除在设计、施工、运营环节中通过实施一系列清洁生产技术措施实现外，在运营管理中，也将通过采取一系列的相关措施和制度，实现持续的清洁生产。</w:t>
      </w:r>
    </w:p>
    <w:p>
      <w:pPr>
        <w:pStyle w:val="4"/>
        <w:rPr>
          <w:rFonts w:eastAsia="宋体"/>
        </w:rPr>
      </w:pPr>
      <w:bookmarkStart w:id="393" w:name="_Toc19815995"/>
      <w:bookmarkStart w:id="394" w:name="_Toc12288525"/>
      <w:r>
        <w:rPr>
          <w:rFonts w:eastAsia="宋体"/>
        </w:rPr>
        <w:t>4.</w:t>
      </w:r>
      <w:r>
        <w:rPr>
          <w:rFonts w:hint="eastAsia" w:eastAsia="宋体"/>
        </w:rPr>
        <w:t>4</w:t>
      </w:r>
      <w:r>
        <w:rPr>
          <w:rFonts w:eastAsia="宋体"/>
        </w:rPr>
        <w:t xml:space="preserve">.3 </w:t>
      </w:r>
      <w:bookmarkEnd w:id="393"/>
      <w:bookmarkEnd w:id="394"/>
      <w:r>
        <w:rPr>
          <w:rFonts w:eastAsia="宋体"/>
        </w:rPr>
        <w:t>建议</w:t>
      </w:r>
    </w:p>
    <w:p>
      <w:pPr>
        <w:pStyle w:val="6"/>
        <w:ind w:firstLine="480"/>
        <w:rPr>
          <w:rFonts w:ascii="Times New Roman" w:cs="Times New Roman"/>
        </w:rPr>
      </w:pPr>
      <w:r>
        <w:rPr>
          <w:rFonts w:ascii="Times New Roman" w:cs="Times New Roman"/>
        </w:rPr>
        <w:t>本工程要提高清洁生产的水平，除了采取先进艺、技术和设备外</w:t>
      </w:r>
      <w:r>
        <w:rPr>
          <w:rFonts w:hint="eastAsia" w:ascii="Times New Roman" w:cs="Times New Roman"/>
        </w:rPr>
        <w:t>，</w:t>
      </w:r>
      <w:r>
        <w:rPr>
          <w:rFonts w:ascii="Times New Roman" w:cs="Times New Roman"/>
        </w:rPr>
        <w:t>还应从以下几个方面进行改：</w:t>
      </w:r>
    </w:p>
    <w:p>
      <w:pPr>
        <w:pStyle w:val="6"/>
        <w:ind w:firstLine="480"/>
        <w:rPr>
          <w:rFonts w:ascii="Times New Roman" w:cs="Times New Roman"/>
        </w:rPr>
      </w:pPr>
      <w:r>
        <w:rPr>
          <w:rFonts w:hint="eastAsia" w:hAnsi="宋体"/>
        </w:rPr>
        <w:t>①</w:t>
      </w:r>
      <w:r>
        <w:rPr>
          <w:rFonts w:ascii="Times New Roman" w:cs="Times New Roman"/>
        </w:rPr>
        <w:t>建立健全的清洁生产管理机构；</w:t>
      </w:r>
    </w:p>
    <w:p>
      <w:pPr>
        <w:pStyle w:val="6"/>
        <w:ind w:firstLine="480"/>
        <w:rPr>
          <w:rFonts w:ascii="Times New Roman" w:cs="Times New Roman"/>
        </w:rPr>
      </w:pPr>
      <w:r>
        <w:rPr>
          <w:rFonts w:hint="eastAsia" w:hAnsi="宋体"/>
        </w:rPr>
        <w:t>②</w:t>
      </w:r>
      <w:r>
        <w:rPr>
          <w:rFonts w:ascii="Times New Roman" w:cs="Times New Roman"/>
        </w:rPr>
        <w:t>从源头抓起，注意工艺流程的各个环节；</w:t>
      </w:r>
    </w:p>
    <w:p>
      <w:pPr>
        <w:pStyle w:val="6"/>
        <w:ind w:firstLine="480"/>
        <w:rPr>
          <w:rFonts w:ascii="Times New Roman" w:cs="Times New Roman"/>
        </w:rPr>
      </w:pPr>
      <w:r>
        <w:rPr>
          <w:rFonts w:hint="eastAsia" w:hAnsi="宋体"/>
        </w:rPr>
        <w:t>③</w:t>
      </w:r>
      <w:r>
        <w:rPr>
          <w:rFonts w:ascii="Times New Roman" w:cs="Times New Roman"/>
        </w:rPr>
        <w:t>提高管理水平，加强环保知识宣传与培训；</w:t>
      </w:r>
    </w:p>
    <w:p>
      <w:pPr>
        <w:pStyle w:val="6"/>
        <w:ind w:firstLine="480"/>
        <w:rPr>
          <w:rFonts w:ascii="Times New Roman" w:cs="Times New Roman"/>
        </w:rPr>
      </w:pPr>
      <w:r>
        <w:rPr>
          <w:rFonts w:hint="eastAsia" w:hAnsi="宋体"/>
        </w:rPr>
        <w:t>④</w:t>
      </w:r>
      <w:r>
        <w:rPr>
          <w:rFonts w:ascii="Times New Roman" w:cs="Times New Roman"/>
        </w:rPr>
        <w:t>加强与外部的联系。</w:t>
      </w:r>
    </w:p>
    <w:p>
      <w:pPr>
        <w:pStyle w:val="3"/>
        <w:spacing w:before="120"/>
        <w:rPr>
          <w:rFonts w:cs="Times New Roman"/>
        </w:rPr>
      </w:pPr>
      <w:bookmarkStart w:id="395" w:name="_Toc19816001"/>
      <w:bookmarkStart w:id="396" w:name="_Toc12288536"/>
      <w:bookmarkStart w:id="397" w:name="_Toc81515278"/>
      <w:r>
        <w:rPr>
          <w:rFonts w:cs="Times New Roman"/>
        </w:rPr>
        <w:t>4.</w:t>
      </w:r>
      <w:r>
        <w:rPr>
          <w:rFonts w:hint="eastAsia" w:cs="Times New Roman"/>
        </w:rPr>
        <w:t>5</w:t>
      </w:r>
      <w:r>
        <w:rPr>
          <w:rFonts w:cs="Times New Roman"/>
        </w:rPr>
        <w:t xml:space="preserve"> 总量控制</w:t>
      </w:r>
      <w:bookmarkEnd w:id="395"/>
      <w:bookmarkEnd w:id="396"/>
      <w:bookmarkEnd w:id="397"/>
    </w:p>
    <w:p>
      <w:pPr>
        <w:pStyle w:val="112"/>
        <w:ind w:firstLine="480"/>
      </w:pPr>
      <w:r>
        <w:t>工程投产后，正常运行时天然气处于密闭输送状态，一般无气体污染物外排；正常工况条件下，</w:t>
      </w:r>
      <w:r>
        <w:rPr>
          <w:color w:val="0000FF"/>
        </w:rPr>
        <w:t>仅有水套炉燃料气燃烧产生的NO</w:t>
      </w:r>
      <w:r>
        <w:rPr>
          <w:color w:val="0000FF"/>
          <w:sz w:val="16"/>
          <w:szCs w:val="16"/>
        </w:rPr>
        <w:t>X</w:t>
      </w:r>
      <w:r>
        <w:rPr>
          <w:color w:val="0000FF"/>
        </w:rPr>
        <w:t>排放</w:t>
      </w:r>
      <w:r>
        <w:t>，其排放量为NO</w:t>
      </w:r>
      <w:r>
        <w:rPr>
          <w:sz w:val="16"/>
          <w:szCs w:val="16"/>
        </w:rPr>
        <w:t>X</w:t>
      </w:r>
      <w:r>
        <w:t>：35.56kg/a；营运期</w:t>
      </w:r>
      <w:r>
        <w:rPr>
          <w:rFonts w:hint="eastAsia"/>
        </w:rPr>
        <w:t>无</w:t>
      </w:r>
      <w:r>
        <w:t>生产废水和生活污水</w:t>
      </w:r>
      <w:r>
        <w:rPr>
          <w:rFonts w:hint="eastAsia"/>
        </w:rPr>
        <w:t>外排</w:t>
      </w:r>
      <w:r>
        <w:t>。</w:t>
      </w:r>
    </w:p>
    <w:p>
      <w:pPr>
        <w:pStyle w:val="112"/>
        <w:ind w:firstLine="480"/>
        <w:rPr>
          <w:color w:val="FF0000"/>
        </w:rPr>
      </w:pPr>
      <w:r>
        <w:t>综上，项目的建设虽有NO</w:t>
      </w:r>
      <w:r>
        <w:rPr>
          <w:sz w:val="16"/>
          <w:szCs w:val="16"/>
        </w:rPr>
        <w:t>X</w:t>
      </w:r>
      <w:r>
        <w:t>产生，燃料气来自净化厂净化后天然气，不含硫化氢，且氮氧化物排放量很小，</w:t>
      </w:r>
      <w:r>
        <w:rPr>
          <w:color w:val="FF0000"/>
        </w:rPr>
        <w:t>同时水套炉主要用于给产出的天然气进行加热降粘，仅在冬季环境温度较低时使用</w:t>
      </w:r>
      <w:r>
        <w:rPr>
          <w:rFonts w:hint="eastAsia"/>
          <w:color w:val="FF0000"/>
        </w:rPr>
        <w:t>，不是稳定长期使用的设备，</w:t>
      </w:r>
      <w:r>
        <w:rPr>
          <w:color w:val="FF0000"/>
        </w:rPr>
        <w:t>因此本次评价建议不设总量控制指标。</w:t>
      </w:r>
    </w:p>
    <w:p>
      <w:pPr>
        <w:ind w:firstLine="480"/>
        <w:rPr>
          <w:rFonts w:ascii="Times New Roman" w:cs="Times New Roman"/>
        </w:rPr>
        <w:sectPr>
          <w:pgSz w:w="11906" w:h="16838"/>
          <w:pgMar w:top="1440" w:right="1800" w:bottom="1440" w:left="1800" w:header="851" w:footer="992" w:gutter="0"/>
          <w:cols w:space="425" w:num="1"/>
          <w:docGrid w:type="lines" w:linePitch="312" w:charSpace="0"/>
        </w:sectPr>
      </w:pPr>
    </w:p>
    <w:p>
      <w:pPr>
        <w:pStyle w:val="2"/>
        <w:spacing w:before="0" w:beforeAutospacing="0" w:after="0" w:afterAutospacing="0"/>
        <w:rPr>
          <w:rFonts w:eastAsia="宋体"/>
        </w:rPr>
      </w:pPr>
      <w:bookmarkStart w:id="398" w:name="_Toc19816003"/>
      <w:bookmarkStart w:id="399" w:name="_Toc81515280"/>
      <w:r>
        <w:rPr>
          <w:rFonts w:eastAsia="宋体"/>
        </w:rPr>
        <w:t>5 环境质量现状调查与评价</w:t>
      </w:r>
      <w:bookmarkEnd w:id="398"/>
      <w:bookmarkEnd w:id="399"/>
    </w:p>
    <w:p>
      <w:pPr>
        <w:pStyle w:val="3"/>
        <w:spacing w:before="120"/>
        <w:rPr>
          <w:rFonts w:cs="Times New Roman"/>
        </w:rPr>
      </w:pPr>
      <w:bookmarkStart w:id="400" w:name="bookmark27"/>
      <w:bookmarkEnd w:id="400"/>
      <w:bookmarkStart w:id="401" w:name="_Toc81515281"/>
      <w:bookmarkStart w:id="402" w:name="_Toc12288539"/>
      <w:bookmarkStart w:id="403" w:name="_Toc19816004"/>
      <w:r>
        <w:rPr>
          <w:rFonts w:cs="Times New Roman"/>
        </w:rPr>
        <w:t>5.1 自然环境概况</w:t>
      </w:r>
      <w:bookmarkEnd w:id="401"/>
      <w:bookmarkEnd w:id="402"/>
      <w:bookmarkEnd w:id="403"/>
    </w:p>
    <w:p>
      <w:pPr>
        <w:pStyle w:val="4"/>
        <w:rPr>
          <w:rFonts w:eastAsia="宋体"/>
        </w:rPr>
      </w:pPr>
      <w:bookmarkStart w:id="404" w:name="_Toc19816005"/>
      <w:bookmarkStart w:id="405" w:name="_Toc12288540"/>
      <w:r>
        <w:rPr>
          <w:rFonts w:eastAsia="宋体"/>
        </w:rPr>
        <w:t>5.1.1 地理位置</w:t>
      </w:r>
      <w:bookmarkEnd w:id="404"/>
      <w:bookmarkEnd w:id="405"/>
    </w:p>
    <w:p>
      <w:pPr>
        <w:pStyle w:val="112"/>
        <w:ind w:firstLine="480"/>
      </w:pPr>
      <w:r>
        <w:t>宣汉县介于东经107°22′至108°32′和北纬31°06′～31°49′之间。东北与城口接壤，东与开县相邻，南连开江，西接达川、通川和平昌，北与万源交界，是北通陕西、东达湖北的要口。境内地形地貌复杂、山势逶迤，由东北向西南倾斜绵延，呈“七山一水两分田”总体地貌。县境东西最长110.6km，南北最78.8km，边界线总长590.6km。</w:t>
      </w:r>
    </w:p>
    <w:p>
      <w:pPr>
        <w:pStyle w:val="112"/>
        <w:ind w:firstLine="480"/>
        <w:rPr>
          <w:szCs w:val="24"/>
        </w:rPr>
      </w:pPr>
      <w:r>
        <w:t>本工程</w:t>
      </w:r>
      <w:r>
        <w:rPr>
          <w:rFonts w:hint="eastAsia"/>
        </w:rPr>
        <w:t>新</w:t>
      </w:r>
      <w:r>
        <w:t>建普陆4集气平台位于四川省达州市</w:t>
      </w:r>
      <w:r>
        <w:rPr>
          <w:rFonts w:hint="eastAsia"/>
        </w:rPr>
        <w:t>宣汉县黄金境内</w:t>
      </w:r>
      <w:r>
        <w:t>，集气管线主要途径</w:t>
      </w:r>
      <w:r>
        <w:rPr>
          <w:rFonts w:hint="eastAsia"/>
        </w:rPr>
        <w:t>黄金镇境内</w:t>
      </w:r>
      <w:r>
        <w:t>。项目地理位置见附图1。</w:t>
      </w:r>
    </w:p>
    <w:p>
      <w:pPr>
        <w:pStyle w:val="4"/>
        <w:rPr>
          <w:rFonts w:eastAsia="宋体"/>
        </w:rPr>
      </w:pPr>
      <w:bookmarkStart w:id="406" w:name="_Toc19816006"/>
      <w:bookmarkStart w:id="407" w:name="_Toc12288541"/>
      <w:r>
        <w:rPr>
          <w:rFonts w:eastAsia="宋体"/>
        </w:rPr>
        <w:t>5.1.2 地貌类型</w:t>
      </w:r>
    </w:p>
    <w:p>
      <w:pPr>
        <w:pStyle w:val="112"/>
        <w:ind w:firstLine="480"/>
      </w:pPr>
      <w:r>
        <w:t>宣汉县按地形、地貌形态可分为3区：一、丘陵河谷区，约占县境内四川地貌区划中属米仓山大巴山中山区和盆北低山区、盆东平行岭谷区的一部分，以低山和低中山为主。低山、中山面积占全县总幅员的90.2%；二、低山区，约占25%；三、低中山区，约占65.2%，可分为平坝、台地或高阶台地、浅丘陵、深丘陵、低山。</w:t>
      </w:r>
    </w:p>
    <w:p>
      <w:pPr>
        <w:pStyle w:val="112"/>
        <w:ind w:firstLine="480"/>
      </w:pPr>
      <w:r>
        <w:t>拟建管线沿线地貌为剥蚀低山地貌，该工程大部分位于斜坡上，斜坡坡角约5～45°，场地地形总体较陡，总体地势管线南高北低，总体地势偏陡，相对高差20～600m。拟建管线沿线地形条件较复杂。</w:t>
      </w:r>
    </w:p>
    <w:p>
      <w:pPr>
        <w:pStyle w:val="4"/>
        <w:rPr>
          <w:rFonts w:eastAsia="宋体"/>
        </w:rPr>
      </w:pPr>
      <w:r>
        <w:rPr>
          <w:rFonts w:eastAsia="宋体"/>
        </w:rPr>
        <w:t>5.1.3 气候</w:t>
      </w:r>
      <w:bookmarkEnd w:id="406"/>
      <w:r>
        <w:rPr>
          <w:rFonts w:eastAsia="宋体"/>
        </w:rPr>
        <w:t>气象</w:t>
      </w:r>
    </w:p>
    <w:p>
      <w:pPr>
        <w:ind w:firstLine="480"/>
        <w:rPr>
          <w:rFonts w:ascii="Times New Roman" w:cs="Times New Roman"/>
        </w:rPr>
      </w:pPr>
      <w:r>
        <w:rPr>
          <w:rFonts w:ascii="Times New Roman" w:cs="Times New Roman"/>
        </w:rPr>
        <w:t>境内气象属中亚热带湿润季风气候区，由于地处四川盆地东北缘，北有秦岭、大巴山的天然屏障，因此气候温和，热量丰富，四季分明，雨量充沛，季风气候明显，立体气候突出。冬季属大陆性气候，常受西北冷空气影响，气候干冷；夏季属海洋性季风气候，常受东南及西南暖湿空气影响，湿热多雷雨。受海拔高度影响区内立体气候明显，海拔500m以下地区春早夏热，雨水集中，旱涝交错，多风雹，秋雨，冬暖霜雪少，属四川盆地亚热带气候；海拔800m以上地区春迟秋早，夏短冬长，具有盆缘同地温带气候特征。低山、高丘云雾较多，日照较浅丘平坝少。</w:t>
      </w:r>
    </w:p>
    <w:p>
      <w:pPr>
        <w:ind w:firstLine="480"/>
        <w:rPr>
          <w:rFonts w:ascii="Times New Roman" w:cs="Times New Roman"/>
        </w:rPr>
      </w:pPr>
      <w:r>
        <w:rPr>
          <w:rFonts w:ascii="Times New Roman" w:cs="Times New Roman"/>
        </w:rPr>
        <w:t>灾害性天气主要有干旱，暴雨山洪，雷电，低温冷害，冰雹及大风等，其中暴雨山洪、大风等对管道及集气站建设构成一定危害。</w:t>
      </w:r>
    </w:p>
    <w:p>
      <w:pPr>
        <w:ind w:firstLine="480"/>
        <w:rPr>
          <w:rFonts w:ascii="Times New Roman" w:cs="Times New Roman"/>
        </w:rPr>
      </w:pPr>
      <w:r>
        <w:rPr>
          <w:rFonts w:ascii="Times New Roman" w:cs="Times New Roman"/>
        </w:rPr>
        <w:t>宣汉县多年平均降水量1132.69mm，多年平均气温16.8℃，相对湿度75%，每年5~10月份为多雨季，降水量占全年总降水量约80%，3月份为旱季，降水量约占全年降水量8~12%，无霜期长达10个月，冬季多雾，雨季多暴雨，雨后往往形成洪流。</w:t>
      </w:r>
    </w:p>
    <w:p>
      <w:pPr>
        <w:ind w:firstLine="480"/>
        <w:rPr>
          <w:rFonts w:ascii="Times New Roman" w:cs="Times New Roman"/>
        </w:rPr>
      </w:pPr>
      <w:r>
        <w:rPr>
          <w:rFonts w:ascii="Times New Roman" w:cs="Times New Roman"/>
        </w:rPr>
        <w:t>宣汉县主要气象要素见下表：</w:t>
      </w:r>
    </w:p>
    <w:p>
      <w:pPr>
        <w:pStyle w:val="37"/>
        <w:rPr>
          <w:rFonts w:cs="Times New Roman"/>
        </w:rPr>
      </w:pPr>
      <w:r>
        <w:rPr>
          <w:rFonts w:cs="Times New Roman"/>
        </w:rPr>
        <w:t>表5.1-1  宣汉县主要气象资料一览表</w:t>
      </w:r>
    </w:p>
    <w:tbl>
      <w:tblPr>
        <w:tblStyle w:val="57"/>
        <w:tblW w:w="515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901"/>
        <w:gridCol w:w="2669"/>
        <w:gridCol w:w="29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1809" w:type="pct"/>
            <w:gridSpan w:val="2"/>
            <w:tcBorders>
              <w:top w:val="single" w:color="auto" w:sz="12" w:space="0"/>
              <w:left w:val="nil"/>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气象要素</w:t>
            </w:r>
          </w:p>
        </w:tc>
        <w:tc>
          <w:tcPr>
            <w:tcW w:w="1518" w:type="pct"/>
            <w:tcBorders>
              <w:top w:val="single" w:color="auto" w:sz="12"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单位</w:t>
            </w:r>
          </w:p>
        </w:tc>
        <w:tc>
          <w:tcPr>
            <w:tcW w:w="1672" w:type="pct"/>
            <w:tcBorders>
              <w:top w:val="single" w:color="auto" w:sz="12"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数值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728" w:type="pct"/>
            <w:vMerge w:val="restart"/>
            <w:tcBorders>
              <w:top w:val="single" w:color="auto" w:sz="4" w:space="0"/>
              <w:left w:val="nil"/>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气温</w:t>
            </w: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年平均气温</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16.8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topLinePunct w:val="0"/>
              <w:adjustRightInd/>
              <w:spacing w:afterAutospacing="1" w:line="240" w:lineRule="auto"/>
              <w:ind w:firstLine="0" w:firstLineChars="0"/>
              <w:jc w:val="left"/>
              <w:rPr>
                <w:rFonts w:ascii="Times New Roman" w:cs="Times New Roman"/>
                <w:kern w:val="2"/>
                <w:sz w:val="21"/>
                <w:szCs w:val="21"/>
              </w:rPr>
            </w:pP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极端最高气温</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41.3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topLinePunct w:val="0"/>
              <w:adjustRightInd/>
              <w:spacing w:afterAutospacing="1" w:line="240" w:lineRule="auto"/>
              <w:ind w:firstLine="0" w:firstLineChars="0"/>
              <w:jc w:val="left"/>
              <w:rPr>
                <w:rFonts w:ascii="Times New Roman" w:cs="Times New Roman"/>
                <w:kern w:val="2"/>
                <w:sz w:val="21"/>
                <w:szCs w:val="21"/>
              </w:rPr>
            </w:pP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极端最低气温</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728" w:type="pct"/>
            <w:vMerge w:val="restart"/>
            <w:tcBorders>
              <w:top w:val="single" w:color="auto" w:sz="4" w:space="0"/>
              <w:left w:val="nil"/>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年降水量</w:t>
            </w: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平均</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mm</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1132.69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topLinePunct w:val="0"/>
              <w:adjustRightInd/>
              <w:spacing w:afterAutospacing="1" w:line="240" w:lineRule="auto"/>
              <w:ind w:firstLine="0" w:firstLineChars="0"/>
              <w:jc w:val="left"/>
              <w:rPr>
                <w:rFonts w:ascii="Times New Roman" w:cs="Times New Roman"/>
                <w:kern w:val="2"/>
                <w:sz w:val="21"/>
                <w:szCs w:val="21"/>
              </w:rPr>
            </w:pP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最大</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mm</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1698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topLinePunct w:val="0"/>
              <w:adjustRightInd/>
              <w:spacing w:afterAutospacing="1" w:line="240" w:lineRule="auto"/>
              <w:ind w:firstLine="0" w:firstLineChars="0"/>
              <w:jc w:val="left"/>
              <w:rPr>
                <w:rFonts w:ascii="Times New Roman" w:cs="Times New Roman"/>
                <w:kern w:val="2"/>
                <w:sz w:val="21"/>
                <w:szCs w:val="21"/>
              </w:rPr>
            </w:pP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最小</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mm</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865.9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728" w:type="pct"/>
            <w:vMerge w:val="restart"/>
            <w:tcBorders>
              <w:top w:val="single" w:color="auto" w:sz="4" w:space="0"/>
              <w:left w:val="nil"/>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风速</w:t>
            </w: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平均</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m/s</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topLinePunct w:val="0"/>
              <w:adjustRightInd/>
              <w:spacing w:afterAutospacing="1" w:line="240" w:lineRule="auto"/>
              <w:ind w:firstLine="0" w:firstLineChars="0"/>
              <w:jc w:val="left"/>
              <w:rPr>
                <w:rFonts w:ascii="Times New Roman" w:cs="Times New Roman"/>
                <w:kern w:val="2"/>
                <w:sz w:val="21"/>
                <w:szCs w:val="21"/>
              </w:rPr>
            </w:pP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最大</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m/s</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topLinePunct w:val="0"/>
              <w:adjustRightInd/>
              <w:spacing w:afterAutospacing="1" w:line="240" w:lineRule="auto"/>
              <w:ind w:firstLine="0" w:firstLineChars="0"/>
              <w:jc w:val="left"/>
              <w:rPr>
                <w:rFonts w:ascii="Times New Roman" w:cs="Times New Roman"/>
                <w:kern w:val="2"/>
                <w:sz w:val="21"/>
                <w:szCs w:val="21"/>
              </w:rPr>
            </w:pP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主导风向</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m/s</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NE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728" w:type="pct"/>
            <w:vMerge w:val="restart"/>
            <w:tcBorders>
              <w:top w:val="single" w:color="auto" w:sz="4" w:space="0"/>
              <w:left w:val="nil"/>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多年平均地温</w:t>
            </w: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地面</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18.1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topLinePunct w:val="0"/>
              <w:adjustRightInd/>
              <w:spacing w:afterAutospacing="1" w:line="240" w:lineRule="auto"/>
              <w:ind w:firstLine="0" w:firstLineChars="0"/>
              <w:jc w:val="left"/>
              <w:rPr>
                <w:rFonts w:ascii="Times New Roman" w:cs="Times New Roman"/>
                <w:kern w:val="2"/>
                <w:sz w:val="21"/>
                <w:szCs w:val="21"/>
              </w:rPr>
            </w:pP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-0.2m</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20.2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1809" w:type="pct"/>
            <w:gridSpan w:val="2"/>
            <w:tcBorders>
              <w:top w:val="single" w:color="auto" w:sz="4" w:space="0"/>
              <w:left w:val="nil"/>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年平均日照时数</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h</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1596.3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1809" w:type="pct"/>
            <w:gridSpan w:val="2"/>
            <w:tcBorders>
              <w:top w:val="single" w:color="auto" w:sz="4" w:space="0"/>
              <w:left w:val="nil"/>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年平均蒸发量</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mm</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1215.9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1809" w:type="pct"/>
            <w:gridSpan w:val="2"/>
            <w:tcBorders>
              <w:top w:val="single" w:color="auto" w:sz="4" w:space="0"/>
              <w:left w:val="nil"/>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年均无霜期</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d</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296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1809" w:type="pct"/>
            <w:gridSpan w:val="2"/>
            <w:tcBorders>
              <w:top w:val="single" w:color="auto" w:sz="4" w:space="0"/>
              <w:left w:val="nil"/>
              <w:bottom w:val="single" w:color="auto" w:sz="12"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相对湿度</w:t>
            </w:r>
          </w:p>
        </w:tc>
        <w:tc>
          <w:tcPr>
            <w:tcW w:w="1518" w:type="pct"/>
            <w:tcBorders>
              <w:top w:val="single" w:color="auto" w:sz="4" w:space="0"/>
              <w:left w:val="single" w:color="auto" w:sz="4" w:space="0"/>
              <w:bottom w:val="single" w:color="auto" w:sz="12" w:space="0"/>
              <w:right w:val="single" w:color="auto" w:sz="4" w:space="0"/>
            </w:tcBorders>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1672" w:type="pct"/>
            <w:tcBorders>
              <w:top w:val="single" w:color="auto" w:sz="4" w:space="0"/>
              <w:left w:val="single" w:color="auto" w:sz="4" w:space="0"/>
              <w:bottom w:val="single" w:color="auto" w:sz="12" w:space="0"/>
              <w:right w:val="nil"/>
            </w:tcBorders>
            <w:vAlign w:val="center"/>
          </w:tcPr>
          <w:p>
            <w:pPr>
              <w:topLinePunct w:val="0"/>
              <w:autoSpaceDE w:val="0"/>
              <w:autoSpaceDN w:val="0"/>
              <w:snapToGrid w:val="0"/>
              <w:spacing w:beforeLines="20" w:line="240" w:lineRule="auto"/>
              <w:ind w:firstLine="0" w:firstLineChars="0"/>
              <w:jc w:val="center"/>
              <w:rPr>
                <w:rFonts w:ascii="Times New Roman" w:cs="Times New Roman"/>
                <w:kern w:val="2"/>
                <w:sz w:val="21"/>
                <w:szCs w:val="21"/>
              </w:rPr>
            </w:pPr>
            <w:r>
              <w:rPr>
                <w:rFonts w:ascii="Times New Roman" w:cs="Times New Roman"/>
                <w:kern w:val="2"/>
                <w:sz w:val="21"/>
                <w:szCs w:val="21"/>
              </w:rPr>
              <w:t>77</w:t>
            </w:r>
          </w:p>
        </w:tc>
      </w:tr>
    </w:tbl>
    <w:p>
      <w:pPr>
        <w:pStyle w:val="4"/>
        <w:rPr>
          <w:rFonts w:eastAsia="宋体"/>
        </w:rPr>
      </w:pPr>
      <w:bookmarkStart w:id="408" w:name="_Toc19816009"/>
      <w:bookmarkStart w:id="409" w:name="_Toc19816007"/>
      <w:r>
        <w:rPr>
          <w:rFonts w:eastAsia="宋体"/>
        </w:rPr>
        <w:t>5.1.4 水文</w:t>
      </w:r>
      <w:bookmarkEnd w:id="408"/>
      <w:r>
        <w:rPr>
          <w:rFonts w:eastAsia="宋体"/>
        </w:rPr>
        <w:t>与地质</w:t>
      </w:r>
    </w:p>
    <w:p>
      <w:pPr>
        <w:pStyle w:val="112"/>
        <w:ind w:firstLine="482"/>
        <w:rPr>
          <w:rStyle w:val="61"/>
          <w:spacing w:val="0"/>
          <w:position w:val="0"/>
          <w:sz w:val="24"/>
        </w:rPr>
      </w:pPr>
      <w:r>
        <w:rPr>
          <w:rStyle w:val="61"/>
          <w:spacing w:val="0"/>
          <w:position w:val="0"/>
          <w:sz w:val="24"/>
        </w:rPr>
        <w:t>1、地表水</w:t>
      </w:r>
    </w:p>
    <w:p>
      <w:pPr>
        <w:pStyle w:val="112"/>
        <w:ind w:firstLine="480"/>
      </w:pPr>
      <w:r>
        <w:t>达州市河流主要属长江支流的嘉陵江水系，发源于大巴山，由北而南呈树枝状分布。前河、中河、后河汇成州河后与巴河在渠县三汇镇汇合成渠江，南流300km入长江。境内流域面积在100km</w:t>
      </w:r>
      <w:r>
        <w:rPr>
          <w:vertAlign w:val="superscript"/>
        </w:rPr>
        <w:t>2</w:t>
      </w:r>
      <w:r>
        <w:t>以上的河流有53条，1000km</w:t>
      </w:r>
      <w:r>
        <w:rPr>
          <w:vertAlign w:val="superscript"/>
        </w:rPr>
        <w:t>2</w:t>
      </w:r>
      <w:r>
        <w:t>以上的干流有15条。共有通航河流9条，分别是渠江、州河、巴河、前河、后河、中河、铁溪河、清溪河、林岗溪，基本形成以渠江、州河、巴河这主干流的水路运输网络，流域覆盖达州市四个县（市）。各河流可通航里程不等，运载量在100t以下。本项目</w:t>
      </w:r>
      <w:r>
        <w:rPr>
          <w:rFonts w:hint="eastAsia"/>
        </w:rPr>
        <w:t>所在</w:t>
      </w:r>
      <w:r>
        <w:t>区域水系的后河、中河、白沙河均属渠江水系。</w:t>
      </w:r>
    </w:p>
    <w:p>
      <w:pPr>
        <w:pStyle w:val="112"/>
        <w:ind w:firstLine="480"/>
      </w:pPr>
      <w:r>
        <w:t>后河：属渠江上游二级支流，发源于皮窝乡大横山白龙洞处，源头海拔高1480m，由北向南纵贯全县，流经皮窝、梨树、官渡、太平镇、红旗、石岗、青花、长坝、花楼、罗文等10个乡镇，在罗文大水涵出口，海拔高352m，至宣汉县普光寺与中河汇合，全长148km（境内104.3km，境外43.7km，控制集雨面积1394km</w:t>
      </w:r>
      <w:r>
        <w:rPr>
          <w:vertAlign w:val="superscript"/>
        </w:rPr>
        <w:t>2</w:t>
      </w:r>
      <w:r>
        <w:t>（境内972.3km</w:t>
      </w:r>
      <w:r>
        <w:rPr>
          <w:vertAlign w:val="superscript"/>
        </w:rPr>
        <w:t>2</w:t>
      </w:r>
      <w:r>
        <w:t>，境外421.7km</w:t>
      </w:r>
      <w:r>
        <w:rPr>
          <w:vertAlign w:val="superscript"/>
        </w:rPr>
        <w:t>2</w:t>
      </w:r>
      <w:r>
        <w:t>），自然落差1128m，平均比降10.8%，多年平均流量34.43m</w:t>
      </w:r>
      <w:r>
        <w:rPr>
          <w:vertAlign w:val="superscript"/>
        </w:rPr>
        <w:t>3</w:t>
      </w:r>
      <w:r>
        <w:t>/s。</w:t>
      </w:r>
    </w:p>
    <w:p>
      <w:pPr>
        <w:pStyle w:val="6"/>
        <w:ind w:firstLine="482"/>
        <w:rPr>
          <w:rStyle w:val="64"/>
          <w:rFonts w:cs="Times New Roman"/>
        </w:rPr>
      </w:pPr>
      <w:bookmarkStart w:id="410" w:name="_Toc19816012"/>
      <w:r>
        <w:rPr>
          <w:rStyle w:val="64"/>
          <w:rFonts w:cs="Times New Roman"/>
        </w:rPr>
        <w:t>2、</w:t>
      </w:r>
      <w:bookmarkEnd w:id="410"/>
      <w:r>
        <w:rPr>
          <w:rStyle w:val="64"/>
          <w:rFonts w:cs="Times New Roman"/>
        </w:rPr>
        <w:t>地下水</w:t>
      </w:r>
    </w:p>
    <w:p>
      <w:pPr>
        <w:pStyle w:val="112"/>
        <w:ind w:firstLine="480"/>
      </w:pPr>
      <w:r>
        <w:t>本工程建设区域内地下水类型可划分为两类：第四系松散堆积层孔隙水和基岩裂隙水。主要分布于剥蚀平台和沟谷-斜坡地带，含水层为侏罗系中统上沙溪庙组（J2s）风化泥质粉砂岩、细砂岩，水文地质条件较简单，地下水以风化带网状裂隙赋存、运移，地层富水性差、水量较小，水位埋深一般大于10m。</w:t>
      </w:r>
    </w:p>
    <w:p>
      <w:pPr>
        <w:pStyle w:val="4"/>
        <w:rPr>
          <w:rFonts w:eastAsia="宋体"/>
        </w:rPr>
      </w:pPr>
      <w:bookmarkStart w:id="411" w:name="_Toc19816008"/>
      <w:r>
        <w:rPr>
          <w:rFonts w:eastAsia="宋体"/>
        </w:rPr>
        <w:t xml:space="preserve">5.1.5 </w:t>
      </w:r>
      <w:bookmarkEnd w:id="411"/>
      <w:r>
        <w:rPr>
          <w:rFonts w:eastAsia="宋体"/>
        </w:rPr>
        <w:t>地质构造与地震</w:t>
      </w:r>
    </w:p>
    <w:p>
      <w:pPr>
        <w:pStyle w:val="6"/>
        <w:ind w:firstLine="482"/>
        <w:rPr>
          <w:rFonts w:ascii="Times New Roman" w:cs="Times New Roman"/>
          <w:b/>
          <w:bCs/>
        </w:rPr>
      </w:pPr>
      <w:r>
        <w:rPr>
          <w:rFonts w:ascii="Times New Roman" w:cs="Times New Roman"/>
          <w:b/>
          <w:bCs/>
        </w:rPr>
        <w:t>1、地质构造</w:t>
      </w:r>
    </w:p>
    <w:p>
      <w:pPr>
        <w:snapToGrid w:val="0"/>
        <w:spacing w:line="500" w:lineRule="exact"/>
        <w:ind w:firstLine="480"/>
        <w:rPr>
          <w:rFonts w:ascii="Times New Roman" w:cs="Times New Roman"/>
        </w:rPr>
      </w:pPr>
      <w:r>
        <w:rPr>
          <w:rFonts w:ascii="Times New Roman" w:cs="Times New Roman"/>
        </w:rPr>
        <w:t>宣汉县内地质构造的展布轮廊清楚，具有一定的方向和方位。断层走向和褶皱轴呈弧形展布，从西南向东北岩层倾角渐增，褶皱渐趋紧密，卷入地层渐老，褶皱的规模也由小到大，一般轴向长几公里至几十公里，并且多以复背斜形式出现。宣汉县境东北部的北西向构造有八台山-大宁厂向斜，渔沙-建楼冲断复背斜，满月冲断向斜，石塘坝-添子城复背斜，斜水园背斜等，这些构造的规模都较大，县境内只是其局部地段。其复背斜轴部最老地层为志留系徐家坪组砂岩、砂质页岩，两翼为二迭系和三迭系灰岩、白云质灰岩；向斜核部最新地层为三迭系嘉陵江组灰岩，褶皱紧闭，并伴随逆冲断层产生。县境西部的北西向构造规模最小，一般都在10公里以内。</w:t>
      </w:r>
    </w:p>
    <w:p>
      <w:pPr>
        <w:snapToGrid w:val="0"/>
        <w:spacing w:line="500" w:lineRule="exact"/>
        <w:ind w:firstLine="480"/>
        <w:rPr>
          <w:rFonts w:ascii="Times New Roman" w:cs="Times New Roman"/>
        </w:rPr>
      </w:pPr>
      <w:r>
        <w:rPr>
          <w:rFonts w:ascii="Times New Roman" w:cs="Times New Roman"/>
        </w:rPr>
        <w:t>根据钻井揭示及地表露头，普光地区下古生界地层较完整，仅缺失志留系上统。上古生界缺失了泥盆系全部和石炭系大部，仅残留中石炭统黄龙组，二叠系保留较全。中生界三叠系、侏罗系保留较全，白垩系仅局部有少量残留，新生界基本缺失。</w:t>
      </w:r>
    </w:p>
    <w:p>
      <w:pPr>
        <w:snapToGrid w:val="0"/>
        <w:spacing w:line="500" w:lineRule="exact"/>
        <w:ind w:firstLine="482"/>
        <w:rPr>
          <w:rFonts w:ascii="Times New Roman" w:cs="Times New Roman"/>
          <w:b/>
          <w:bCs/>
        </w:rPr>
      </w:pPr>
      <w:r>
        <w:rPr>
          <w:rFonts w:ascii="Times New Roman" w:cs="Times New Roman"/>
          <w:b/>
          <w:bCs/>
        </w:rPr>
        <w:t>2、地震</w:t>
      </w:r>
    </w:p>
    <w:p>
      <w:pPr>
        <w:pStyle w:val="112"/>
        <w:ind w:firstLine="480"/>
      </w:pPr>
      <w:r>
        <w:rPr>
          <w:rStyle w:val="61"/>
          <w:b w:val="0"/>
          <w:bCs w:val="0"/>
          <w:spacing w:val="0"/>
          <w:position w:val="0"/>
          <w:sz w:val="24"/>
        </w:rPr>
        <w:t>根据《建筑抗震设计规范》（GB50011-2010），宣汉抗震设防烈度为6度，设计基本地震加速度值为0.05g，属第一组，可不考虑地震液化问题。另查阅县志，整个宣汉县境尚无地震活动的记载。因此总体上区域稳定性良好，适宜工程修建。</w:t>
      </w:r>
    </w:p>
    <w:bookmarkEnd w:id="407"/>
    <w:bookmarkEnd w:id="409"/>
    <w:p>
      <w:pPr>
        <w:pStyle w:val="4"/>
        <w:rPr>
          <w:rFonts w:eastAsia="宋体"/>
        </w:rPr>
      </w:pPr>
      <w:bookmarkStart w:id="412" w:name="_Toc19816010"/>
      <w:bookmarkStart w:id="413" w:name="_Toc12288548"/>
      <w:r>
        <w:rPr>
          <w:rFonts w:eastAsia="宋体"/>
        </w:rPr>
        <w:t>5.1.6 土壤</w:t>
      </w:r>
    </w:p>
    <w:p>
      <w:pPr>
        <w:pStyle w:val="112"/>
        <w:ind w:firstLine="480"/>
      </w:pPr>
      <w:r>
        <w:t>线路所经地面以冲洪积砂质粘土夹砾岩为主，次为残坡积和崩坡积之砂质粘土夹碎块石，局部有小卵石混杂其中。区内土壤多由灰岩和砂页岩发育而成的砾石土、砾质土为主。土壤质地与母岩和地形关系密切，一般由砂岩发育的多为沙质土；由砂页岩互层发育的多为壤质土；泥岩和灰岩发育的多为粘质土，陡坡地和二迭系以前母岩发育的多为砾石土和砾质土。土壤剖面各发生层的质地上下变化较小，仅少数土壤剖面物粘含量有随深度增加而增加的趋势。</w:t>
      </w:r>
    </w:p>
    <w:p>
      <w:pPr>
        <w:pStyle w:val="112"/>
        <w:ind w:firstLine="480"/>
      </w:pPr>
      <w:r>
        <w:t>土壤以中性和微酸性为主，其次是微碱性，少数酸性。pH值在4.5～5.4之间的占6.4%；5.5～6.4之间的占34%；6.5～7.5之间的占34.2%；7.6～8.5之间的占25.3%。</w:t>
      </w:r>
    </w:p>
    <w:p>
      <w:pPr>
        <w:pStyle w:val="112"/>
        <w:ind w:firstLine="480"/>
      </w:pPr>
      <w:r>
        <w:t>工程区域地层岩性较为单一，上部主要为第四系松散覆盖层，包括残坡积层、崩坡积层，下伏基岩为侏罗系中统沙溪庙组（J</w:t>
      </w:r>
      <w:r>
        <w:rPr>
          <w:vertAlign w:val="subscript"/>
        </w:rPr>
        <w:t>2</w:t>
      </w:r>
      <w:r>
        <w:t>S）。沿线出露地层由上至下分别为：</w:t>
      </w:r>
    </w:p>
    <w:p>
      <w:pPr>
        <w:pStyle w:val="112"/>
        <w:ind w:firstLine="480"/>
      </w:pPr>
      <w:r>
        <w:t>1）第四系残坡积层：</w:t>
      </w:r>
    </w:p>
    <w:p>
      <w:pPr>
        <w:pStyle w:val="112"/>
        <w:ind w:firstLine="480"/>
      </w:pPr>
      <w:r>
        <w:t>主要为砂土、砂质粘土、粘土，干燥，松散，分布很广。坡体及坡体上覆盖层厚度很薄，一般0.2～0.5m。沟谷中为砂质粘土、粘土。厚度较大，一般为1.0～2.5m左右，为可塑状。</w:t>
      </w:r>
    </w:p>
    <w:p>
      <w:pPr>
        <w:pStyle w:val="112"/>
        <w:ind w:firstLine="480"/>
      </w:pPr>
      <w:r>
        <w:t>2）第四系崩坡积层：</w:t>
      </w:r>
    </w:p>
    <w:p>
      <w:pPr>
        <w:pStyle w:val="112"/>
        <w:ind w:firstLine="480"/>
      </w:pPr>
      <w:r>
        <w:t>主要分布于陡坡下部，为含碎块石土，厚度一般为1.0～3.0m。碎块石成份主要为砂岩碎块石，另外可见巨大孤石。</w:t>
      </w:r>
    </w:p>
    <w:p>
      <w:pPr>
        <w:pStyle w:val="112"/>
        <w:ind w:firstLine="480"/>
      </w:pPr>
      <w:r>
        <w:t>3）基岩</w:t>
      </w:r>
    </w:p>
    <w:p>
      <w:pPr>
        <w:pStyle w:val="112"/>
        <w:ind w:firstLine="480"/>
      </w:pPr>
      <w:r>
        <w:t>侏罗系中统沙溪庙组为含钙质结核的紫红色砂质泥岩、粉砂岩、泥质粉砂岩与黄灰色块状长石岩屑石英砂岩不等厚互层。砂岩坚硬性脆，常形成陡坎陡崖，泥岩易风化剥落，多形成缓坡。</w:t>
      </w:r>
    </w:p>
    <w:p>
      <w:pPr>
        <w:pStyle w:val="4"/>
        <w:rPr>
          <w:rFonts w:eastAsia="宋体"/>
        </w:rPr>
      </w:pPr>
      <w:r>
        <w:rPr>
          <w:rFonts w:eastAsia="宋体"/>
        </w:rPr>
        <w:t>5.1.7 自然资源</w:t>
      </w:r>
    </w:p>
    <w:p>
      <w:pPr>
        <w:ind w:firstLine="482"/>
        <w:rPr>
          <w:rFonts w:ascii="Times New Roman" w:cs="Times New Roman"/>
          <w:b/>
          <w:bCs/>
        </w:rPr>
      </w:pPr>
      <w:r>
        <w:rPr>
          <w:rFonts w:ascii="Times New Roman" w:cs="Times New Roman"/>
          <w:b/>
          <w:bCs/>
        </w:rPr>
        <w:t>1、植物资源</w:t>
      </w:r>
    </w:p>
    <w:p>
      <w:pPr>
        <w:pStyle w:val="112"/>
        <w:ind w:firstLine="480"/>
      </w:pPr>
      <w:r>
        <w:t>宣汉县自然地带性植物为亚热带常绿阔叶林，自然植被分布较为广泛，其群落结构和优势树种依山形地和土地利用现状而有所不同。境内有乔木、灌木、藤木、草木等各种植物700多种，乔木以马尾松为主，分布在县境内三低山区，杉木、柏木、栎类等马尾松林类散生分布，浅丘、平坝多为桉树、千丈、桤木、泡桐等，初步查清乔木树种有38个科、63个属、223个种；灌木主要有马桑、黄刺、杜鹊、水红子等14个种；竹类主要有慈竹、白夹竹、水竹、楠竹、斑竹等50多个竹种；草本有艾蒿、茅草、芭茅、苔藓、蕨类等；还有菌类低等植物。稀有植物有银杏、红豆、香樟、楠木、水杉等。</w:t>
      </w:r>
    </w:p>
    <w:p>
      <w:pPr>
        <w:pStyle w:val="112"/>
        <w:ind w:firstLine="480"/>
      </w:pPr>
      <w:r>
        <w:t>宣汉县截至2019年末，现有林业用地面积380万亩，森林面积350万亩，活立木储蓄量1267万立方米；宣汉县境内植被多样，野生植物3000余种，桫椤、崖柏、银杏、黄连、天麻、杜仲等国家重点保护植物达10余种。2016年完成造林面积800公顷，年末森林面积256797公顷，森林覆盖率达60.1%。</w:t>
      </w:r>
    </w:p>
    <w:p>
      <w:pPr>
        <w:pStyle w:val="112"/>
        <w:ind w:firstLine="482"/>
        <w:rPr>
          <w:b/>
          <w:bCs/>
        </w:rPr>
      </w:pPr>
      <w:r>
        <w:rPr>
          <w:b/>
          <w:bCs/>
        </w:rPr>
        <w:t>据调查，评价区域内无需特殊保护的珍稀濒危野生动植物及名木古树。</w:t>
      </w:r>
    </w:p>
    <w:p>
      <w:pPr>
        <w:ind w:firstLine="482"/>
        <w:rPr>
          <w:rFonts w:ascii="Times New Roman" w:cs="Times New Roman"/>
          <w:b/>
          <w:bCs/>
        </w:rPr>
      </w:pPr>
      <w:r>
        <w:rPr>
          <w:rFonts w:ascii="Times New Roman" w:cs="Times New Roman"/>
          <w:b/>
          <w:bCs/>
        </w:rPr>
        <w:t>2、动物资源</w:t>
      </w:r>
    </w:p>
    <w:p>
      <w:pPr>
        <w:ind w:firstLine="480"/>
        <w:rPr>
          <w:rFonts w:ascii="Times New Roman" w:cs="Times New Roman"/>
        </w:rPr>
      </w:pPr>
      <w:r>
        <w:rPr>
          <w:rFonts w:ascii="Times New Roman" w:cs="Times New Roman"/>
        </w:rPr>
        <w:t>宣汉县野生动物较多，兽类有麂、刺猬、果子狸、狐狸、水獭、黄鼠狼、野兔、松鼠等；鸟类有鹭鸶、鹰、鹧鸪、燕子、野鸡、斑鸠、猫头鹰、喜鹊等；蛇虫类有乌梢蛇、螳螂、蜻蜓、蜜蜂、蝴蝶、蜘蛛、蚂蚁等；水生动物有鱼、虾、蚌、蟹、蛙等。</w:t>
      </w:r>
    </w:p>
    <w:p>
      <w:pPr>
        <w:ind w:firstLine="480"/>
        <w:rPr>
          <w:rFonts w:ascii="Times New Roman" w:cs="Times New Roman"/>
          <w:b/>
          <w:bCs/>
        </w:rPr>
      </w:pPr>
      <w:r>
        <w:rPr>
          <w:rFonts w:ascii="Times New Roman" w:cs="Times New Roman"/>
        </w:rPr>
        <w:t>经现场踏勘，本项目评价范围内未发现国家保护的珍稀植物分布。本项目附近的野生动物主要是适合栖息于农田、居民点周边的种类，如农田常见的啮齿类、两栖类、爬行类和画眉、麻雀等常见鸟类，无大型陆生野生动物，也无国家保护的陆生珍稀野生动物。经调查访问和沿途观察，本项目所在区域的自然植被受人为活动影响不复存在，区域内无需保护的珍稀动、植物及古树名木。</w:t>
      </w:r>
    </w:p>
    <w:p>
      <w:pPr>
        <w:pStyle w:val="4"/>
        <w:rPr>
          <w:rFonts w:eastAsia="宋体"/>
        </w:rPr>
      </w:pPr>
      <w:r>
        <w:rPr>
          <w:rFonts w:eastAsia="宋体"/>
        </w:rPr>
        <w:t>5.1.8 矿产资源</w:t>
      </w:r>
      <w:bookmarkEnd w:id="412"/>
    </w:p>
    <w:p>
      <w:pPr>
        <w:pStyle w:val="112"/>
        <w:ind w:firstLine="480"/>
      </w:pPr>
      <w:r>
        <w:t>截至2018年，宣汉县共探测到的资源达28种，主要矿产资源概括为：一煤（煤炭），二气（石油、天然气），三土（粘土、高岭土、膨润土），五石（滑石、长石、大理石、石英石、石灰石），八矿（铁、砷、硅、硫磺、石膏、铝、卤钾、岩盐）。天然气预测储量高达1.5万亿立方米，居中国第2位，已探明开发储量达3000-6000亿立方米，系西南地区天然气气田中心、国家“西气东输工程”重要基地。原煤储量达1.6亿吨，发热量6000大卡以上。富钾卤水储量达1.3亿立方米，是国家盐化工业基地自贡黑卤的10倍。此外，还有大理石30亿立方米，石灰石30亿立方米，石英石3000万立方米，硫磺矿867万吨，铁矿1800万吨等。</w:t>
      </w:r>
    </w:p>
    <w:bookmarkEnd w:id="413"/>
    <w:p>
      <w:pPr>
        <w:pStyle w:val="3"/>
        <w:spacing w:before="120"/>
        <w:rPr>
          <w:rFonts w:cs="Times New Roman"/>
        </w:rPr>
      </w:pPr>
      <w:bookmarkStart w:id="414" w:name="bookmark28"/>
      <w:bookmarkEnd w:id="414"/>
      <w:bookmarkStart w:id="415" w:name="_Toc81515282"/>
      <w:bookmarkStart w:id="416" w:name="_Toc12288559"/>
      <w:bookmarkStart w:id="417" w:name="_Toc19816013"/>
      <w:r>
        <w:rPr>
          <w:rFonts w:cs="Times New Roman"/>
        </w:rPr>
        <w:t>5.2 生态环境调查与评价</w:t>
      </w:r>
      <w:bookmarkEnd w:id="415"/>
    </w:p>
    <w:p>
      <w:pPr>
        <w:pStyle w:val="112"/>
        <w:ind w:firstLine="480"/>
      </w:pPr>
      <w:r>
        <w:t>生态现状调查是生态现状评价、影响预测的基础和依据，本次工程生态现状调查的主要内容包括：生态功能区划、主要生态问题、土地利用现状、基本农田现状、植被分布现状、土壤侵蚀现状、评价区野生动植物和沿线生态敏感区分布等生态背景和生态问题。区域的主要生态问题为水土流失问题。调查查明了水土流失的成因、空间分布和发生特点。</w:t>
      </w:r>
    </w:p>
    <w:p>
      <w:pPr>
        <w:tabs>
          <w:tab w:val="left" w:pos="0"/>
        </w:tabs>
        <w:ind w:firstLine="480"/>
        <w:rPr>
          <w:rFonts w:ascii="Times New Roman" w:cs="Times New Roman"/>
        </w:rPr>
      </w:pPr>
      <w:r>
        <w:t>本项目生态影响评价等级为</w:t>
      </w:r>
      <w:r>
        <w:rPr>
          <w:rFonts w:hint="eastAsia"/>
        </w:rPr>
        <w:t>二</w:t>
      </w:r>
      <w:r>
        <w:t>级，</w:t>
      </w:r>
      <w:r>
        <w:rPr>
          <w:rFonts w:ascii="Times New Roman" w:cs="Times New Roman"/>
        </w:rPr>
        <w:t>根据《环境影响评价技术导则 生态影响》（HJ19-2022）、</w:t>
      </w:r>
      <w:r>
        <w:rPr>
          <w:rFonts w:ascii="Times New Roman" w:cs="Times New Roman"/>
          <w:color w:val="0000FF"/>
        </w:rPr>
        <w:t>《环境影响评价技术导则 陆地石油天然气开发建设项目》（HJ349-20</w:t>
      </w:r>
      <w:r>
        <w:rPr>
          <w:rFonts w:hint="eastAsia" w:ascii="Times New Roman" w:cs="Times New Roman"/>
          <w:color w:val="0000FF"/>
        </w:rPr>
        <w:t>23</w:t>
      </w:r>
      <w:r>
        <w:rPr>
          <w:rFonts w:ascii="Times New Roman" w:cs="Times New Roman"/>
          <w:color w:val="0000FF"/>
        </w:rPr>
        <w:t>）</w:t>
      </w:r>
      <w:r>
        <w:rPr>
          <w:rFonts w:ascii="Times New Roman" w:cs="Times New Roman"/>
        </w:rPr>
        <w:t>中关于评价范围的划分原则和本项目现场踏勘调查实际情况，确定本评价范围如下：</w:t>
      </w:r>
    </w:p>
    <w:p>
      <w:pPr>
        <w:pStyle w:val="112"/>
        <w:ind w:firstLine="480"/>
        <w:rPr>
          <w:szCs w:val="24"/>
        </w:rPr>
      </w:pPr>
      <w:r>
        <w:rPr>
          <w:rFonts w:hint="eastAsia"/>
        </w:rPr>
        <w:t>外输管线</w:t>
      </w:r>
      <w:r>
        <w:rPr>
          <w:szCs w:val="24"/>
        </w:rPr>
        <w:t>两侧</w:t>
      </w:r>
      <w:r>
        <w:rPr>
          <w:rFonts w:hint="eastAsia"/>
          <w:szCs w:val="24"/>
        </w:rPr>
        <w:t>2</w:t>
      </w:r>
      <w:r>
        <w:rPr>
          <w:szCs w:val="24"/>
        </w:rPr>
        <w:t>00m</w:t>
      </w:r>
      <w:r>
        <w:rPr>
          <w:rFonts w:hint="eastAsia"/>
          <w:szCs w:val="24"/>
        </w:rPr>
        <w:t>、</w:t>
      </w:r>
      <w:r>
        <w:rPr>
          <w:szCs w:val="24"/>
        </w:rPr>
        <w:t>站场</w:t>
      </w:r>
      <w:r>
        <w:rPr>
          <w:rFonts w:hint="eastAsia"/>
          <w:szCs w:val="24"/>
        </w:rPr>
        <w:t>（</w:t>
      </w:r>
      <w:r>
        <w:rPr>
          <w:szCs w:val="24"/>
        </w:rPr>
        <w:t>井场工程</w:t>
      </w:r>
      <w:r>
        <w:rPr>
          <w:rFonts w:hint="eastAsia"/>
          <w:szCs w:val="24"/>
        </w:rPr>
        <w:t>、</w:t>
      </w:r>
      <w:r>
        <w:rPr>
          <w:szCs w:val="24"/>
        </w:rPr>
        <w:t>放喷池</w:t>
      </w:r>
      <w:r>
        <w:rPr>
          <w:rFonts w:hint="eastAsia"/>
          <w:szCs w:val="24"/>
        </w:rPr>
        <w:t>、</w:t>
      </w:r>
      <w:r>
        <w:rPr>
          <w:szCs w:val="24"/>
        </w:rPr>
        <w:t>放喷通道</w:t>
      </w:r>
      <w:r>
        <w:rPr>
          <w:rFonts w:hint="eastAsia"/>
          <w:szCs w:val="24"/>
        </w:rPr>
        <w:t>、</w:t>
      </w:r>
      <w:r>
        <w:rPr>
          <w:szCs w:val="24"/>
        </w:rPr>
        <w:t>火炬区</w:t>
      </w:r>
      <w:r>
        <w:rPr>
          <w:rFonts w:hint="eastAsia"/>
          <w:szCs w:val="24"/>
        </w:rPr>
        <w:t>、</w:t>
      </w:r>
      <w:r>
        <w:rPr>
          <w:szCs w:val="24"/>
        </w:rPr>
        <w:t>巡检通道</w:t>
      </w:r>
      <w:r>
        <w:rPr>
          <w:rFonts w:hint="eastAsia"/>
          <w:szCs w:val="24"/>
        </w:rPr>
        <w:t>、</w:t>
      </w:r>
      <w:r>
        <w:rPr>
          <w:szCs w:val="24"/>
        </w:rPr>
        <w:t>生活区</w:t>
      </w:r>
      <w:r>
        <w:rPr>
          <w:rFonts w:hint="eastAsia"/>
          <w:szCs w:val="24"/>
        </w:rPr>
        <w:t>等）</w:t>
      </w:r>
      <w:r>
        <w:rPr>
          <w:szCs w:val="24"/>
        </w:rPr>
        <w:t>周边2000m</w:t>
      </w:r>
      <w:r>
        <w:rPr>
          <w:rFonts w:hint="eastAsia"/>
          <w:szCs w:val="24"/>
        </w:rPr>
        <w:t>，面积1257.02hm</w:t>
      </w:r>
      <w:r>
        <w:rPr>
          <w:rFonts w:hint="eastAsia"/>
          <w:szCs w:val="24"/>
          <w:vertAlign w:val="superscript"/>
        </w:rPr>
        <w:t>2</w:t>
      </w:r>
      <w:r>
        <w:rPr>
          <w:szCs w:val="24"/>
        </w:rPr>
        <w:t>。</w:t>
      </w:r>
    </w:p>
    <w:p>
      <w:pPr>
        <w:pStyle w:val="4"/>
        <w:rPr>
          <w:rFonts w:eastAsia="宋体"/>
        </w:rPr>
      </w:pPr>
      <w:bookmarkStart w:id="418" w:name="_Toc12288582"/>
      <w:r>
        <w:rPr>
          <w:rFonts w:eastAsia="宋体"/>
        </w:rPr>
        <w:t>5.2.1 生态系统类型及主要生态环境问题</w:t>
      </w:r>
    </w:p>
    <w:p>
      <w:pPr>
        <w:pStyle w:val="112"/>
        <w:ind w:firstLine="480"/>
      </w:pPr>
      <w:r>
        <w:t>拟建管道沿线经过宣汉县，根据《四川省生态功能区划》（2010版），管线穿越地区的生态功能区划见下表。</w:t>
      </w:r>
    </w:p>
    <w:p>
      <w:pPr>
        <w:pStyle w:val="37"/>
        <w:rPr>
          <w:rFonts w:cs="Times New Roman"/>
        </w:rPr>
      </w:pPr>
      <w:r>
        <w:rPr>
          <w:rFonts w:cs="Times New Roman"/>
        </w:rPr>
        <w:t>表5.2-1  管线穿越的生态功能区</w:t>
      </w:r>
    </w:p>
    <w:tbl>
      <w:tblPr>
        <w:tblStyle w:val="57"/>
        <w:tblW w:w="526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51"/>
        <w:gridCol w:w="1080"/>
        <w:gridCol w:w="1143"/>
        <w:gridCol w:w="1322"/>
        <w:gridCol w:w="1134"/>
        <w:gridCol w:w="322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 w:hRule="atLeast"/>
          <w:jc w:val="center"/>
        </w:trPr>
        <w:tc>
          <w:tcPr>
            <w:tcW w:w="486" w:type="pct"/>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生态区</w:t>
            </w:r>
          </w:p>
        </w:tc>
        <w:tc>
          <w:tcPr>
            <w:tcW w:w="617" w:type="pct"/>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生态亚区</w:t>
            </w:r>
          </w:p>
        </w:tc>
        <w:tc>
          <w:tcPr>
            <w:tcW w:w="653" w:type="pct"/>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生态功能区</w:t>
            </w:r>
          </w:p>
        </w:tc>
        <w:tc>
          <w:tcPr>
            <w:tcW w:w="755" w:type="pct"/>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主要环境问题</w:t>
            </w:r>
          </w:p>
        </w:tc>
        <w:tc>
          <w:tcPr>
            <w:tcW w:w="648" w:type="pct"/>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服务功能</w:t>
            </w:r>
          </w:p>
        </w:tc>
        <w:tc>
          <w:tcPr>
            <w:tcW w:w="1841" w:type="pct"/>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保护与发展</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 w:hRule="atLeast"/>
          <w:jc w:val="center"/>
        </w:trPr>
        <w:tc>
          <w:tcPr>
            <w:tcW w:w="486" w:type="pct"/>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I四川盆地亚热带湿润气候生态区</w:t>
            </w:r>
          </w:p>
        </w:tc>
        <w:tc>
          <w:tcPr>
            <w:tcW w:w="617" w:type="pct"/>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I-3盆北秦巴山地常绿阔叶林-针阔混交林生态亚区</w:t>
            </w:r>
          </w:p>
        </w:tc>
        <w:tc>
          <w:tcPr>
            <w:tcW w:w="653" w:type="pct"/>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I-3-2大巴山水源涵养与土壤保持生态功能区</w:t>
            </w:r>
          </w:p>
        </w:tc>
        <w:tc>
          <w:tcPr>
            <w:tcW w:w="755" w:type="pct"/>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多洪灾，滑坡崩塌强烈发育，水土流失严重</w:t>
            </w:r>
          </w:p>
        </w:tc>
        <w:tc>
          <w:tcPr>
            <w:tcW w:w="648" w:type="pct"/>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水源涵养功能，土壤保持功能</w:t>
            </w:r>
          </w:p>
        </w:tc>
        <w:tc>
          <w:tcPr>
            <w:tcW w:w="1841" w:type="pct"/>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保护森林植被和生物多样性，巩固长江上游防护林建设、天然林保护和退耕还林成果。合理开发和利用自然资源，发展特色农业，绿色和有机农产品。拓展生态农业产业链，培育新的经济增长点。规范和严格管理矿产、水电、生物资源的开发，防止对生态环境和生态系统的不利影响</w:t>
            </w:r>
          </w:p>
        </w:tc>
      </w:tr>
    </w:tbl>
    <w:p>
      <w:pPr>
        <w:pStyle w:val="112"/>
        <w:ind w:firstLine="480"/>
      </w:pPr>
      <w:r>
        <w:t>本项目位于四川盆地亚热带湿润气候生态区，属于大巴山水源涵养与土壤保持生态功能区（I-3-2），该生态功能区的主导功能是水源涵养功能，土壤保持功能。面临的主要环境问题是多洪灾，滑坡崩塌强烈发育，水土流失严重。</w:t>
      </w:r>
    </w:p>
    <w:p>
      <w:pPr>
        <w:pStyle w:val="4"/>
        <w:rPr>
          <w:rFonts w:eastAsia="宋体"/>
        </w:rPr>
      </w:pPr>
      <w:r>
        <w:rPr>
          <w:rFonts w:eastAsia="宋体"/>
        </w:rPr>
        <w:t>5.2.2</w:t>
      </w:r>
      <w:r>
        <w:rPr>
          <w:rFonts w:hint="eastAsia" w:eastAsia="宋体"/>
        </w:rPr>
        <w:t>生态环境现状调查方法</w:t>
      </w:r>
    </w:p>
    <w:p>
      <w:pPr>
        <w:spacing w:line="480" w:lineRule="exact"/>
        <w:ind w:firstLine="472" w:firstLineChars="196"/>
        <w:rPr>
          <w:rFonts w:ascii="Times New Roman" w:cs="Times New Roman"/>
          <w:b/>
          <w:bCs/>
        </w:rPr>
      </w:pPr>
      <w:r>
        <w:rPr>
          <w:rFonts w:ascii="Times New Roman" w:cs="Times New Roman"/>
          <w:b/>
          <w:bCs/>
        </w:rPr>
        <w:t>1、基础资料收集</w:t>
      </w:r>
    </w:p>
    <w:p>
      <w:pPr>
        <w:pStyle w:val="469"/>
        <w:spacing w:line="480" w:lineRule="exact"/>
        <w:ind w:left="0" w:firstLine="480" w:firstLineChars="200"/>
        <w:rPr>
          <w:rFonts w:ascii="Times New Roman" w:hAnsi="Times New Roman" w:eastAsia="宋体"/>
          <w:sz w:val="24"/>
          <w:szCs w:val="24"/>
        </w:rPr>
      </w:pPr>
      <w:r>
        <w:rPr>
          <w:rFonts w:ascii="Times New Roman" w:hAnsi="Times New Roman" w:eastAsia="宋体"/>
          <w:sz w:val="24"/>
          <w:szCs w:val="24"/>
        </w:rPr>
        <w:t>收集整理项目涉及区域现有生物资料，包括市志、统计年鉴以及林业、环保、水利、农业、国土资源等部门提供的相关资料，并且参考《中国植物志》、《中国高等植物图鉴》、《四川植物志》和《四川资源动物志》系列等专著。</w:t>
      </w:r>
    </w:p>
    <w:p>
      <w:pPr>
        <w:spacing w:line="480" w:lineRule="exact"/>
        <w:ind w:firstLine="472" w:firstLineChars="196"/>
        <w:rPr>
          <w:rFonts w:ascii="Times New Roman" w:cs="Times New Roman"/>
          <w:b/>
          <w:bCs/>
        </w:rPr>
      </w:pPr>
      <w:r>
        <w:rPr>
          <w:rFonts w:ascii="Times New Roman" w:cs="Times New Roman"/>
          <w:b/>
          <w:bCs/>
        </w:rPr>
        <w:t>2、生物资源调查方法</w:t>
      </w:r>
    </w:p>
    <w:p>
      <w:pPr>
        <w:spacing w:line="480" w:lineRule="exact"/>
        <w:ind w:firstLine="472" w:firstLineChars="196"/>
        <w:rPr>
          <w:rFonts w:ascii="Times New Roman" w:cs="Times New Roman"/>
          <w:b/>
          <w:bCs/>
        </w:rPr>
      </w:pPr>
      <w:r>
        <w:rPr>
          <w:rFonts w:ascii="Times New Roman" w:cs="Times New Roman"/>
          <w:b/>
          <w:bCs/>
        </w:rPr>
        <w:t>（1）野外生态信息数据的采集与处理</w:t>
      </w:r>
    </w:p>
    <w:p>
      <w:pPr>
        <w:pStyle w:val="469"/>
        <w:spacing w:line="480" w:lineRule="exact"/>
        <w:ind w:left="0" w:firstLine="480" w:firstLineChars="200"/>
        <w:rPr>
          <w:rFonts w:ascii="Times New Roman" w:hAnsi="Times New Roman" w:eastAsia="宋体"/>
          <w:sz w:val="24"/>
          <w:szCs w:val="24"/>
        </w:rPr>
      </w:pPr>
      <w:r>
        <w:rPr>
          <w:rFonts w:ascii="Times New Roman" w:hAnsi="Times New Roman" w:eastAsia="宋体"/>
          <w:sz w:val="24"/>
        </w:rPr>
        <w:t>野外生态信息数据的采集主要借助HOLUX M-241蓝牙GPS记录器获取及尼康单反数码相机。HOLUX M-241蓝牙GPS纪录器可以记录高达13万个位置，每个位置都含有经度、纬度、时间和高度资料；野外生态考察中开机让记</w:t>
      </w:r>
      <w:r>
        <w:rPr>
          <w:rFonts w:ascii="Times New Roman" w:hAnsi="Times New Roman" w:eastAsia="宋体"/>
          <w:sz w:val="24"/>
          <w:szCs w:val="24"/>
        </w:rPr>
        <w:t>录器始终处于运行状态，每5秒自动存储一个GPS点位，以保证野外考察中生态信息采集的完整性，同时于不同生态系统及重要生态考察点上采集照片。</w:t>
      </w:r>
    </w:p>
    <w:p>
      <w:pPr>
        <w:pStyle w:val="469"/>
        <w:spacing w:line="480" w:lineRule="exact"/>
        <w:ind w:left="0" w:firstLine="480" w:firstLineChars="200"/>
        <w:rPr>
          <w:rFonts w:ascii="Times New Roman" w:hAnsi="Times New Roman" w:eastAsia="宋体"/>
          <w:sz w:val="24"/>
          <w:szCs w:val="24"/>
        </w:rPr>
      </w:pPr>
      <w:r>
        <w:rPr>
          <w:rFonts w:ascii="Times New Roman" w:hAnsi="Times New Roman" w:eastAsia="宋体"/>
          <w:sz w:val="24"/>
          <w:szCs w:val="24"/>
        </w:rPr>
        <w:t>将野外采集的GPS轨迹及照片导入电脑，运用GPicSync软件将航迹文件中各个记录点的时间信息与照片中exif信息中的时间信息进行匹配，当某个记录点的时间与某张照片中的时间匹配时（匹配的精度可以任意设置，软件默认300秒），即认为航迹文件中这个点的坐标即为照片拍摄地点的坐标，并将这个坐标写入照片的exif信息中并形成kml格式文件。最后可在ArcGIS及Google earth中调取相应生态考察点照片并结合卫片判读考察点生态现状，同时也为土地利用、水土流失、植被类型等生态图件的编绘提供依据并校正相应图件。</w:t>
      </w:r>
    </w:p>
    <w:p>
      <w:pPr>
        <w:pStyle w:val="469"/>
        <w:spacing w:line="480" w:lineRule="exact"/>
        <w:ind w:left="0" w:firstLine="472" w:firstLineChars="196"/>
        <w:rPr>
          <w:rFonts w:ascii="Times New Roman" w:hAnsi="Times New Roman" w:eastAsia="宋体"/>
          <w:b/>
          <w:bCs/>
          <w:sz w:val="24"/>
          <w:szCs w:val="24"/>
        </w:rPr>
      </w:pPr>
      <w:r>
        <w:rPr>
          <w:rFonts w:ascii="Times New Roman" w:hAnsi="Times New Roman" w:eastAsia="宋体"/>
          <w:b/>
          <w:bCs/>
          <w:sz w:val="24"/>
          <w:szCs w:val="24"/>
        </w:rPr>
        <w:t>（2）GPS地面类型及植被调查取样</w:t>
      </w:r>
    </w:p>
    <w:p>
      <w:pPr>
        <w:pStyle w:val="469"/>
        <w:spacing w:line="480" w:lineRule="exact"/>
        <w:ind w:left="0" w:firstLine="480" w:firstLineChars="200"/>
        <w:rPr>
          <w:rFonts w:ascii="Times New Roman" w:hAnsi="Times New Roman" w:eastAsia="宋体"/>
          <w:sz w:val="24"/>
          <w:szCs w:val="24"/>
        </w:rPr>
      </w:pPr>
      <w:r>
        <w:rPr>
          <w:rFonts w:ascii="Times New Roman" w:hAnsi="Times New Roman" w:eastAsia="宋体"/>
          <w:sz w:val="24"/>
          <w:szCs w:val="24"/>
        </w:rPr>
        <w:t>GPS样点是卫星遥感影像判读各种景观类型的基础，根据室内判读的植被与土地利用类型图，现场核实判读的正误率，并对每个GPS取样点作如下记录：</w:t>
      </w:r>
    </w:p>
    <w:p>
      <w:pPr>
        <w:pStyle w:val="469"/>
        <w:spacing w:line="480" w:lineRule="exact"/>
        <w:ind w:left="0" w:firstLine="480" w:firstLineChars="200"/>
        <w:rPr>
          <w:rFonts w:ascii="Times New Roman" w:hAnsi="Times New Roman" w:eastAsia="宋体"/>
          <w:sz w:val="24"/>
          <w:szCs w:val="24"/>
        </w:rPr>
      </w:pPr>
      <w:r>
        <w:rPr>
          <w:rFonts w:ascii="Times New Roman" w:hAnsi="Times New Roman" w:eastAsia="宋体"/>
          <w:sz w:val="24"/>
          <w:szCs w:val="24"/>
        </w:rPr>
        <w:t>1）GPS读出测点的海拔值和经纬度；</w:t>
      </w:r>
    </w:p>
    <w:p>
      <w:pPr>
        <w:pStyle w:val="469"/>
        <w:spacing w:line="480" w:lineRule="exact"/>
        <w:ind w:left="0" w:firstLine="480" w:firstLineChars="200"/>
        <w:rPr>
          <w:rFonts w:ascii="Times New Roman" w:hAnsi="Times New Roman" w:eastAsia="宋体"/>
          <w:sz w:val="24"/>
          <w:szCs w:val="24"/>
        </w:rPr>
      </w:pPr>
      <w:r>
        <w:rPr>
          <w:rFonts w:ascii="Times New Roman" w:hAnsi="Times New Roman" w:eastAsia="宋体"/>
          <w:sz w:val="24"/>
          <w:szCs w:val="24"/>
        </w:rPr>
        <w:t>2）记录样点植被类型，以群系或群丛为单位，同时记录样点坡向、坡度；</w:t>
      </w:r>
    </w:p>
    <w:p>
      <w:pPr>
        <w:pStyle w:val="469"/>
        <w:spacing w:line="480" w:lineRule="exact"/>
        <w:ind w:left="0" w:firstLine="480" w:firstLineChars="200"/>
        <w:rPr>
          <w:rFonts w:ascii="Times New Roman" w:hAnsi="Times New Roman" w:eastAsia="宋体"/>
          <w:sz w:val="24"/>
          <w:szCs w:val="24"/>
        </w:rPr>
      </w:pPr>
      <w:r>
        <w:rPr>
          <w:rFonts w:ascii="Times New Roman" w:hAnsi="Times New Roman" w:eastAsia="宋体"/>
          <w:sz w:val="24"/>
          <w:szCs w:val="24"/>
        </w:rPr>
        <w:t>3）记录样点优势植物以及观察动物活动的情况；</w:t>
      </w:r>
    </w:p>
    <w:p>
      <w:pPr>
        <w:pStyle w:val="469"/>
        <w:spacing w:line="480" w:lineRule="exact"/>
        <w:ind w:left="0" w:firstLine="480" w:firstLineChars="200"/>
        <w:rPr>
          <w:rFonts w:ascii="Times New Roman" w:hAnsi="Times New Roman" w:eastAsia="宋体"/>
          <w:sz w:val="24"/>
          <w:szCs w:val="24"/>
        </w:rPr>
      </w:pPr>
      <w:r>
        <w:rPr>
          <w:rFonts w:ascii="Times New Roman" w:hAnsi="Times New Roman" w:eastAsia="宋体"/>
          <w:sz w:val="24"/>
          <w:szCs w:val="24"/>
        </w:rPr>
        <w:t>4）拍摄典型植被外貌与结构特征。</w:t>
      </w:r>
    </w:p>
    <w:p>
      <w:pPr>
        <w:pStyle w:val="469"/>
        <w:spacing w:line="480" w:lineRule="exact"/>
        <w:ind w:left="0" w:firstLine="472" w:firstLineChars="196"/>
        <w:rPr>
          <w:rFonts w:ascii="Times New Roman" w:hAnsi="Times New Roman" w:eastAsia="宋体"/>
          <w:b/>
          <w:bCs/>
          <w:sz w:val="24"/>
          <w:szCs w:val="24"/>
        </w:rPr>
      </w:pPr>
      <w:r>
        <w:rPr>
          <w:rFonts w:ascii="Times New Roman" w:hAnsi="Times New Roman" w:eastAsia="宋体"/>
          <w:b/>
          <w:bCs/>
          <w:sz w:val="24"/>
          <w:szCs w:val="24"/>
        </w:rPr>
        <w:t>（3）陆生植被调查</w:t>
      </w:r>
    </w:p>
    <w:p>
      <w:pPr>
        <w:pStyle w:val="469"/>
        <w:spacing w:line="480" w:lineRule="exact"/>
        <w:ind w:left="0" w:firstLine="480" w:firstLineChars="200"/>
        <w:rPr>
          <w:rFonts w:ascii="Times New Roman" w:hAnsi="Times New Roman" w:eastAsia="宋体"/>
          <w:sz w:val="24"/>
          <w:szCs w:val="24"/>
        </w:rPr>
      </w:pPr>
      <w:r>
        <w:rPr>
          <w:rFonts w:ascii="Times New Roman" w:hAnsi="Times New Roman" w:eastAsia="宋体"/>
          <w:sz w:val="24"/>
          <w:szCs w:val="24"/>
        </w:rPr>
        <w:t>在调查过程中，确定评价范围内的植物种类及资源状况、经济植物种类及资源状况、珍稀濒危植物的种类及生存状况等。实地调查采取路线调查与重点调查相结合的方法，对于没有原生植被的区域采取路线调查，在项目占地范围以及植被状况良好的区域实行重点调查；重点调查采取样方调查方法，记录评价范围内的常见植物种类，同时记录坡向、坡度、土壤、岩石类型等环境特征，拍摄典型植被外貌与结构特征；对保护植物、古树名木调查采取现场调查和民间查访相结合的方法进行；对有疑问的植物和珍稀濒危植物采集凭证标本并拍摄照片。</w:t>
      </w:r>
    </w:p>
    <w:p>
      <w:pPr>
        <w:pStyle w:val="469"/>
        <w:spacing w:line="480" w:lineRule="exact"/>
        <w:ind w:left="0" w:firstLine="480" w:firstLineChars="200"/>
        <w:rPr>
          <w:rFonts w:ascii="Times New Roman" w:hAnsi="Times New Roman" w:eastAsia="宋体"/>
          <w:sz w:val="24"/>
          <w:szCs w:val="24"/>
        </w:rPr>
      </w:pPr>
      <w:r>
        <w:rPr>
          <w:rFonts w:ascii="Times New Roman" w:hAnsi="Times New Roman" w:eastAsia="宋体"/>
          <w:sz w:val="24"/>
          <w:szCs w:val="24"/>
        </w:rPr>
        <w:t>样方布点原则：</w:t>
      </w:r>
    </w:p>
    <w:p>
      <w:pPr>
        <w:pStyle w:val="469"/>
        <w:spacing w:line="480" w:lineRule="exact"/>
        <w:ind w:left="0" w:firstLine="480" w:firstLineChars="200"/>
        <w:rPr>
          <w:rFonts w:ascii="Times New Roman" w:hAnsi="Times New Roman" w:eastAsia="宋体"/>
          <w:sz w:val="24"/>
          <w:szCs w:val="24"/>
        </w:rPr>
      </w:pPr>
      <w:r>
        <w:rPr>
          <w:rFonts w:ascii="Times New Roman" w:hAnsi="Times New Roman" w:eastAsia="宋体"/>
          <w:sz w:val="24"/>
          <w:szCs w:val="24"/>
        </w:rPr>
        <w:t>植被调查取样的目的是要通过样地的研究准确地推测评价范围植被的总体情况，所选取的样地要具有代表性，能通过尽可能少的抽样获得较为准确的评价范围内植被总体的特征。按照如下原则：</w:t>
      </w:r>
      <w:r>
        <w:rPr>
          <w:rFonts w:ascii="Times New Roman" w:hAnsi="Times New Roman" w:eastAsia="宋体"/>
          <w:sz w:val="24"/>
          <w:szCs w:val="24"/>
        </w:rPr>
        <w:fldChar w:fldCharType="begin"/>
      </w:r>
      <w:r>
        <w:rPr>
          <w:rFonts w:ascii="Times New Roman" w:hAnsi="Times New Roman" w:eastAsia="宋体"/>
          <w:sz w:val="24"/>
          <w:szCs w:val="24"/>
        </w:rPr>
        <w:instrText xml:space="preserve"> = 1 \* GB3 </w:instrText>
      </w:r>
      <w:r>
        <w:rPr>
          <w:rFonts w:ascii="Times New Roman" w:hAnsi="Times New Roman" w:eastAsia="宋体"/>
          <w:sz w:val="24"/>
          <w:szCs w:val="24"/>
        </w:rPr>
        <w:fldChar w:fldCharType="separate"/>
      </w:r>
      <w:r>
        <w:rPr>
          <w:rFonts w:ascii="Times New Roman" w:hAnsi="Times New Roman" w:eastAsia="宋体"/>
          <w:sz w:val="24"/>
          <w:szCs w:val="24"/>
          <w:lang w:val="zh-CN"/>
        </w:rPr>
        <w:t>①</w:t>
      </w:r>
      <w:r>
        <w:rPr>
          <w:rFonts w:ascii="Times New Roman" w:hAnsi="Times New Roman" w:eastAsia="宋体"/>
          <w:sz w:val="24"/>
          <w:szCs w:val="24"/>
        </w:rPr>
        <w:fldChar w:fldCharType="end"/>
      </w:r>
      <w:r>
        <w:rPr>
          <w:rFonts w:ascii="Times New Roman" w:hAnsi="Times New Roman" w:eastAsia="宋体"/>
          <w:sz w:val="24"/>
          <w:szCs w:val="24"/>
        </w:rPr>
        <w:t>尽量在对生态影响较大区域内设置样地，并考虑评价范围内布点的均匀性、不同植被类型的全面性等特点；②样方设置避免对同一种植被类型进行重复设点，特别是对植物变化较大的地段进行增加设点。</w:t>
      </w:r>
    </w:p>
    <w:p>
      <w:pPr>
        <w:pStyle w:val="469"/>
        <w:spacing w:line="480" w:lineRule="exact"/>
        <w:ind w:left="0" w:firstLine="480" w:firstLineChars="200"/>
        <w:rPr>
          <w:rFonts w:ascii="Times New Roman" w:hAnsi="Times New Roman" w:eastAsia="宋体"/>
          <w:sz w:val="24"/>
          <w:szCs w:val="24"/>
        </w:rPr>
      </w:pPr>
      <w:r>
        <w:rPr>
          <w:rFonts w:ascii="Times New Roman" w:hAnsi="Times New Roman" w:eastAsia="宋体"/>
          <w:sz w:val="24"/>
          <w:szCs w:val="24"/>
        </w:rPr>
        <w:t>样方调查方法：</w:t>
      </w:r>
    </w:p>
    <w:p>
      <w:pPr>
        <w:pStyle w:val="27"/>
        <w:spacing w:line="360" w:lineRule="auto"/>
        <w:ind w:left="0" w:leftChars="0" w:firstLine="0" w:firstLineChars="0"/>
        <w:rPr>
          <w:rFonts w:ascii="Times New Roman" w:hAnsi="Times New Roman" w:eastAsia="宋体" w:cs="Times New Roman"/>
          <w:sz w:val="24"/>
        </w:rPr>
      </w:pPr>
      <w:r>
        <w:rPr>
          <w:rFonts w:hint="eastAsia"/>
        </w:rPr>
        <w:t xml:space="preserve">  </w:t>
      </w:r>
      <w:r>
        <w:rPr>
          <w:rFonts w:ascii="Times New Roman" w:hAnsi="Times New Roman" w:cs="Times New Roman" w:eastAsiaTheme="minorEastAsia"/>
        </w:rPr>
        <w:t xml:space="preserve"> </w:t>
      </w:r>
      <w:r>
        <w:rPr>
          <w:rFonts w:ascii="Times New Roman" w:hAnsi="Times New Roman" w:eastAsia="宋体" w:cs="Times New Roman"/>
          <w:sz w:val="24"/>
        </w:rPr>
        <w:t>根据评价范围内不同植被类型设置调查样地，并对典型样地进行拍照，对评价范围植被类型、农业生态环境、野生动植物资源进行较为详细的勘察。</w:t>
      </w:r>
    </w:p>
    <w:p>
      <w:pPr>
        <w:pStyle w:val="112"/>
        <w:ind w:firstLine="480"/>
        <w:rPr>
          <w:szCs w:val="24"/>
          <w:lang w:val="zh-CN"/>
        </w:rPr>
      </w:pPr>
      <w:r>
        <w:rPr>
          <w:kern w:val="2"/>
          <w:szCs w:val="24"/>
        </w:rPr>
        <w:t>乔木林</w:t>
      </w:r>
      <w:r>
        <w:rPr>
          <w:rFonts w:hint="eastAsia"/>
          <w:kern w:val="2"/>
          <w:szCs w:val="24"/>
        </w:rPr>
        <w:t>样方</w:t>
      </w:r>
      <w:r>
        <w:rPr>
          <w:kern w:val="2"/>
          <w:szCs w:val="24"/>
        </w:rPr>
        <w:t>面积为20×20m，灌草丛</w:t>
      </w:r>
      <w:r>
        <w:rPr>
          <w:rFonts w:hint="eastAsia"/>
          <w:kern w:val="2"/>
          <w:szCs w:val="24"/>
        </w:rPr>
        <w:t>样方</w:t>
      </w:r>
      <w:r>
        <w:rPr>
          <w:kern w:val="2"/>
          <w:szCs w:val="24"/>
        </w:rPr>
        <w:t>为5×5m，草丛</w:t>
      </w:r>
      <w:r>
        <w:rPr>
          <w:rFonts w:hint="eastAsia"/>
          <w:kern w:val="2"/>
          <w:szCs w:val="24"/>
        </w:rPr>
        <w:t>样方</w:t>
      </w:r>
      <w:r>
        <w:rPr>
          <w:kern w:val="2"/>
          <w:szCs w:val="24"/>
        </w:rPr>
        <w:t>设置为1×1m，根据实际情况可以略有改变。乔木林对乔木层进行全面调查，再设置小样方调查灌木层和草本层；灌草丛和草丛对样地内植物进行全面调查。本次调查</w:t>
      </w:r>
      <w:r>
        <w:rPr>
          <w:rFonts w:hint="eastAsia"/>
          <w:kern w:val="2"/>
          <w:szCs w:val="24"/>
        </w:rPr>
        <w:t>根据群系分布特点</w:t>
      </w:r>
      <w:r>
        <w:rPr>
          <w:kern w:val="2"/>
          <w:szCs w:val="24"/>
        </w:rPr>
        <w:t>共设置</w:t>
      </w:r>
      <w:r>
        <w:rPr>
          <w:rFonts w:hint="eastAsia"/>
          <w:kern w:val="2"/>
          <w:szCs w:val="24"/>
        </w:rPr>
        <w:t>植被群落</w:t>
      </w:r>
      <w:r>
        <w:rPr>
          <w:kern w:val="2"/>
          <w:szCs w:val="24"/>
        </w:rPr>
        <w:t>样地</w:t>
      </w:r>
      <w:r>
        <w:rPr>
          <w:rFonts w:hint="eastAsia"/>
          <w:kern w:val="2"/>
          <w:szCs w:val="24"/>
        </w:rPr>
        <w:t>9</w:t>
      </w:r>
      <w:r>
        <w:rPr>
          <w:kern w:val="2"/>
          <w:szCs w:val="24"/>
        </w:rPr>
        <w:t>个，</w:t>
      </w:r>
      <w:r>
        <w:rPr>
          <w:rFonts w:hint="eastAsia"/>
          <w:kern w:val="2"/>
          <w:szCs w:val="24"/>
        </w:rPr>
        <w:t>每个样地设置样方3个，</w:t>
      </w:r>
      <w:r>
        <w:rPr>
          <w:kern w:val="2"/>
          <w:szCs w:val="24"/>
        </w:rPr>
        <w:t>涵盖乔灌草多种地类，</w:t>
      </w:r>
      <w:r>
        <w:rPr>
          <w:rFonts w:hint="eastAsia"/>
          <w:kern w:val="2"/>
          <w:szCs w:val="24"/>
        </w:rPr>
        <w:t>样地布点</w:t>
      </w:r>
      <w:r>
        <w:rPr>
          <w:kern w:val="2"/>
          <w:szCs w:val="24"/>
        </w:rPr>
        <w:t>情况详见表</w:t>
      </w:r>
      <w:r>
        <w:rPr>
          <w:rFonts w:hint="eastAsia"/>
          <w:szCs w:val="24"/>
        </w:rPr>
        <w:t>5</w:t>
      </w:r>
      <w:r>
        <w:rPr>
          <w:szCs w:val="24"/>
        </w:rPr>
        <w:t>.</w:t>
      </w:r>
      <w:r>
        <w:rPr>
          <w:rFonts w:hint="eastAsia"/>
          <w:szCs w:val="24"/>
        </w:rPr>
        <w:t>2</w:t>
      </w:r>
      <w:r>
        <w:rPr>
          <w:szCs w:val="24"/>
        </w:rPr>
        <w:t>-2</w:t>
      </w:r>
      <w:r>
        <w:rPr>
          <w:szCs w:val="24"/>
          <w:lang w:val="zh-CN"/>
        </w:rPr>
        <w:t>。</w:t>
      </w:r>
    </w:p>
    <w:p>
      <w:pPr>
        <w:pStyle w:val="112"/>
        <w:ind w:firstLine="480"/>
        <w:rPr>
          <w:szCs w:val="24"/>
          <w:lang w:val="zh-CN"/>
        </w:rPr>
      </w:pPr>
    </w:p>
    <w:p>
      <w:pPr>
        <w:pStyle w:val="112"/>
        <w:ind w:firstLine="480"/>
      </w:pPr>
    </w:p>
    <w:p>
      <w:pPr>
        <w:topLinePunct w:val="0"/>
        <w:autoSpaceDE w:val="0"/>
        <w:autoSpaceDN w:val="0"/>
        <w:spacing w:beforeLines="50" w:line="240" w:lineRule="auto"/>
        <w:ind w:firstLine="0" w:firstLineChars="0"/>
        <w:jc w:val="center"/>
        <w:rPr>
          <w:rFonts w:ascii="Times New Roman" w:cs="Times New Roman"/>
          <w:b/>
          <w:sz w:val="21"/>
        </w:rPr>
      </w:pPr>
      <w:r>
        <w:rPr>
          <w:rFonts w:ascii="Times New Roman" w:cs="Times New Roman"/>
          <w:b/>
          <w:sz w:val="21"/>
        </w:rPr>
        <w:t>表</w:t>
      </w:r>
      <w:r>
        <w:rPr>
          <w:rFonts w:hint="eastAsia" w:ascii="Times New Roman" w:cs="Times New Roman"/>
          <w:b/>
          <w:sz w:val="21"/>
        </w:rPr>
        <w:t>5</w:t>
      </w:r>
      <w:r>
        <w:rPr>
          <w:rFonts w:ascii="Times New Roman" w:cs="Times New Roman"/>
          <w:b/>
          <w:sz w:val="21"/>
        </w:rPr>
        <w:t>.</w:t>
      </w:r>
      <w:r>
        <w:rPr>
          <w:rFonts w:hint="eastAsia" w:ascii="Times New Roman" w:cs="Times New Roman"/>
          <w:b/>
          <w:sz w:val="21"/>
        </w:rPr>
        <w:t>2</w:t>
      </w:r>
      <w:r>
        <w:rPr>
          <w:rFonts w:ascii="Times New Roman" w:cs="Times New Roman"/>
          <w:b/>
          <w:sz w:val="21"/>
        </w:rPr>
        <w:t>-2 项目评价范围内植被群系</w:t>
      </w:r>
      <w:r>
        <w:rPr>
          <w:rFonts w:ascii="Times New Roman" w:cs="Times New Roman"/>
          <w:b/>
          <w:color w:val="FF0000"/>
          <w:sz w:val="21"/>
        </w:rPr>
        <w:t>样地</w:t>
      </w:r>
      <w:r>
        <w:rPr>
          <w:rFonts w:ascii="Times New Roman" w:cs="Times New Roman"/>
          <w:b/>
          <w:sz w:val="21"/>
        </w:rPr>
        <w:t>调查点分布情况</w:t>
      </w:r>
    </w:p>
    <w:tbl>
      <w:tblPr>
        <w:tblStyle w:val="57"/>
        <w:tblW w:w="8787"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519"/>
        <w:gridCol w:w="1026"/>
        <w:gridCol w:w="1764"/>
        <w:gridCol w:w="2279"/>
        <w:gridCol w:w="1133"/>
        <w:gridCol w:w="206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733" w:hRule="atLeast"/>
          <w:jc w:val="center"/>
        </w:trPr>
        <w:tc>
          <w:tcPr>
            <w:tcW w:w="519" w:type="dxa"/>
            <w:textDirection w:val="tbRlV"/>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序号</w:t>
            </w:r>
          </w:p>
        </w:tc>
        <w:tc>
          <w:tcPr>
            <w:tcW w:w="1026"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样方面积</w:t>
            </w:r>
          </w:p>
        </w:tc>
        <w:tc>
          <w:tcPr>
            <w:tcW w:w="1764"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经纬度</w:t>
            </w:r>
          </w:p>
        </w:tc>
        <w:tc>
          <w:tcPr>
            <w:tcW w:w="2279"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群落名称</w:t>
            </w:r>
          </w:p>
        </w:tc>
        <w:tc>
          <w:tcPr>
            <w:tcW w:w="1133"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关键种、建群种</w:t>
            </w:r>
          </w:p>
        </w:tc>
        <w:tc>
          <w:tcPr>
            <w:tcW w:w="2066"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优势种</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04" w:hRule="atLeast"/>
          <w:jc w:val="center"/>
        </w:trPr>
        <w:tc>
          <w:tcPr>
            <w:tcW w:w="519"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1</w:t>
            </w:r>
          </w:p>
        </w:tc>
        <w:tc>
          <w:tcPr>
            <w:tcW w:w="1026"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sz w:val="21"/>
                <w:szCs w:val="21"/>
              </w:rPr>
              <w:t>20</w:t>
            </w:r>
            <w:r>
              <w:rPr>
                <w:rFonts w:ascii="Times New Roman" w:cs="Times New Roman"/>
                <w:bCs/>
                <w:sz w:val="21"/>
                <w:szCs w:val="21"/>
              </w:rPr>
              <w:t>m×</w:t>
            </w:r>
            <w:r>
              <w:rPr>
                <w:rFonts w:hint="eastAsia" w:ascii="Times New Roman" w:cs="Times New Roman"/>
                <w:bCs/>
                <w:sz w:val="21"/>
                <w:szCs w:val="21"/>
              </w:rPr>
              <w:t>20</w:t>
            </w:r>
            <w:r>
              <w:rPr>
                <w:rFonts w:ascii="Times New Roman" w:cs="Times New Roman"/>
                <w:bCs/>
                <w:sz w:val="21"/>
                <w:szCs w:val="21"/>
              </w:rPr>
              <w:t>m</w:t>
            </w:r>
          </w:p>
        </w:tc>
        <w:tc>
          <w:tcPr>
            <w:tcW w:w="1764" w:type="dxa"/>
            <w:vAlign w:val="center"/>
          </w:tcPr>
          <w:p>
            <w:pPr>
              <w:topLinePunct w:val="0"/>
              <w:spacing w:line="240" w:lineRule="auto"/>
              <w:ind w:firstLine="0" w:firstLineChars="0"/>
              <w:textAlignment w:val="baseline"/>
              <w:rPr>
                <w:rFonts w:ascii="Times New Roman" w:cs="Times New Roman"/>
                <w:bCs/>
                <w:sz w:val="21"/>
                <w:szCs w:val="21"/>
              </w:rPr>
            </w:pPr>
            <w:r>
              <w:rPr>
                <w:rFonts w:hint="eastAsia" w:ascii="Times New Roman" w:cs="Times New Roman"/>
                <w:bCs/>
                <w:kern w:val="2"/>
                <w:sz w:val="21"/>
                <w:szCs w:val="21"/>
              </w:rPr>
              <w:t>107.8119，31.5648</w:t>
            </w:r>
          </w:p>
        </w:tc>
        <w:tc>
          <w:tcPr>
            <w:tcW w:w="2279"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sz w:val="21"/>
                <w:szCs w:val="21"/>
              </w:rPr>
              <w:t>马尾松群落</w:t>
            </w:r>
          </w:p>
        </w:tc>
        <w:tc>
          <w:tcPr>
            <w:tcW w:w="1133"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sz w:val="21"/>
                <w:szCs w:val="21"/>
              </w:rPr>
              <w:t>马尾松</w:t>
            </w:r>
          </w:p>
        </w:tc>
        <w:tc>
          <w:tcPr>
            <w:tcW w:w="2066"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马尾松</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PrEx>
        <w:trPr>
          <w:trHeight w:val="478" w:hRule="atLeast"/>
          <w:jc w:val="center"/>
        </w:trPr>
        <w:tc>
          <w:tcPr>
            <w:tcW w:w="519"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sz w:val="21"/>
                <w:szCs w:val="21"/>
              </w:rPr>
              <w:t>2</w:t>
            </w:r>
          </w:p>
        </w:tc>
        <w:tc>
          <w:tcPr>
            <w:tcW w:w="1026"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sz w:val="21"/>
                <w:szCs w:val="21"/>
              </w:rPr>
              <w:t>20</w:t>
            </w:r>
            <w:r>
              <w:rPr>
                <w:rFonts w:ascii="Times New Roman" w:cs="Times New Roman"/>
                <w:bCs/>
                <w:sz w:val="21"/>
                <w:szCs w:val="21"/>
              </w:rPr>
              <w:t>m×</w:t>
            </w:r>
            <w:r>
              <w:rPr>
                <w:rFonts w:hint="eastAsia" w:ascii="Times New Roman" w:cs="Times New Roman"/>
                <w:bCs/>
                <w:sz w:val="21"/>
                <w:szCs w:val="21"/>
              </w:rPr>
              <w:t>20</w:t>
            </w:r>
            <w:r>
              <w:rPr>
                <w:rFonts w:ascii="Times New Roman" w:cs="Times New Roman"/>
                <w:bCs/>
                <w:sz w:val="21"/>
                <w:szCs w:val="21"/>
              </w:rPr>
              <w:t>m</w:t>
            </w:r>
          </w:p>
        </w:tc>
        <w:tc>
          <w:tcPr>
            <w:tcW w:w="1764"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kern w:val="2"/>
                <w:sz w:val="21"/>
                <w:szCs w:val="21"/>
              </w:rPr>
              <w:t>107.8153，31.5661</w:t>
            </w:r>
          </w:p>
        </w:tc>
        <w:tc>
          <w:tcPr>
            <w:tcW w:w="2279"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sz w:val="21"/>
                <w:szCs w:val="21"/>
              </w:rPr>
              <w:t>杉木、</w:t>
            </w:r>
            <w:r>
              <w:rPr>
                <w:rFonts w:ascii="Times New Roman" w:cs="Times New Roman"/>
                <w:bCs/>
                <w:sz w:val="21"/>
                <w:szCs w:val="21"/>
              </w:rPr>
              <w:t>柏木</w:t>
            </w:r>
            <w:r>
              <w:rPr>
                <w:rFonts w:hint="eastAsia" w:ascii="Times New Roman" w:cs="Times New Roman"/>
                <w:bCs/>
                <w:sz w:val="21"/>
                <w:szCs w:val="21"/>
              </w:rPr>
              <w:t>群落</w:t>
            </w:r>
          </w:p>
        </w:tc>
        <w:tc>
          <w:tcPr>
            <w:tcW w:w="1133"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sz w:val="21"/>
                <w:szCs w:val="21"/>
              </w:rPr>
              <w:t>杉木、</w:t>
            </w:r>
            <w:r>
              <w:rPr>
                <w:rFonts w:ascii="Times New Roman" w:cs="Times New Roman"/>
                <w:bCs/>
                <w:sz w:val="21"/>
                <w:szCs w:val="21"/>
              </w:rPr>
              <w:t>柏木</w:t>
            </w:r>
          </w:p>
        </w:tc>
        <w:tc>
          <w:tcPr>
            <w:tcW w:w="2066"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sz w:val="21"/>
                <w:szCs w:val="21"/>
              </w:rPr>
              <w:t>杉木、</w:t>
            </w:r>
            <w:r>
              <w:rPr>
                <w:rFonts w:ascii="Times New Roman" w:cs="Times New Roman"/>
                <w:bCs/>
                <w:sz w:val="21"/>
                <w:szCs w:val="21"/>
              </w:rPr>
              <w:t>柏木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PrEx>
        <w:trPr>
          <w:trHeight w:val="464" w:hRule="atLeast"/>
          <w:jc w:val="center"/>
        </w:trPr>
        <w:tc>
          <w:tcPr>
            <w:tcW w:w="519"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sz w:val="21"/>
                <w:szCs w:val="21"/>
              </w:rPr>
              <w:t>3</w:t>
            </w:r>
          </w:p>
        </w:tc>
        <w:tc>
          <w:tcPr>
            <w:tcW w:w="1026"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sz w:val="21"/>
                <w:szCs w:val="21"/>
              </w:rPr>
              <w:t>20</w:t>
            </w:r>
            <w:r>
              <w:rPr>
                <w:rFonts w:ascii="Times New Roman" w:cs="Times New Roman"/>
                <w:bCs/>
                <w:sz w:val="21"/>
                <w:szCs w:val="21"/>
              </w:rPr>
              <w:t>m×</w:t>
            </w:r>
            <w:r>
              <w:rPr>
                <w:rFonts w:hint="eastAsia" w:ascii="Times New Roman" w:cs="Times New Roman"/>
                <w:bCs/>
                <w:sz w:val="21"/>
                <w:szCs w:val="21"/>
              </w:rPr>
              <w:t>20</w:t>
            </w:r>
            <w:r>
              <w:rPr>
                <w:rFonts w:ascii="Times New Roman" w:cs="Times New Roman"/>
                <w:bCs/>
                <w:sz w:val="21"/>
                <w:szCs w:val="21"/>
              </w:rPr>
              <w:t>m</w:t>
            </w:r>
          </w:p>
        </w:tc>
        <w:tc>
          <w:tcPr>
            <w:tcW w:w="1764"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kern w:val="2"/>
                <w:sz w:val="21"/>
                <w:szCs w:val="21"/>
              </w:rPr>
              <w:t>107.8174，31.5689</w:t>
            </w:r>
          </w:p>
        </w:tc>
        <w:tc>
          <w:tcPr>
            <w:tcW w:w="2279"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麻栎、</w:t>
            </w:r>
            <w:r>
              <w:rPr>
                <w:rFonts w:hint="eastAsia" w:ascii="Times New Roman" w:cs="Times New Roman"/>
                <w:bCs/>
                <w:sz w:val="21"/>
                <w:szCs w:val="21"/>
              </w:rPr>
              <w:t>青冈、</w:t>
            </w:r>
            <w:r>
              <w:rPr>
                <w:rFonts w:ascii="Times New Roman" w:cs="Times New Roman"/>
                <w:bCs/>
                <w:sz w:val="21"/>
                <w:szCs w:val="21"/>
              </w:rPr>
              <w:t>栓皮栎</w:t>
            </w:r>
            <w:r>
              <w:rPr>
                <w:rFonts w:hint="eastAsia" w:ascii="Times New Roman" w:cs="Times New Roman"/>
                <w:bCs/>
                <w:sz w:val="21"/>
                <w:szCs w:val="21"/>
              </w:rPr>
              <w:t>群落</w:t>
            </w:r>
          </w:p>
        </w:tc>
        <w:tc>
          <w:tcPr>
            <w:tcW w:w="1133"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麻栎</w:t>
            </w:r>
          </w:p>
        </w:tc>
        <w:tc>
          <w:tcPr>
            <w:tcW w:w="2066"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麻栎、</w:t>
            </w:r>
            <w:r>
              <w:rPr>
                <w:rFonts w:hint="eastAsia" w:ascii="Times New Roman" w:cs="Times New Roman"/>
                <w:bCs/>
                <w:sz w:val="21"/>
                <w:szCs w:val="21"/>
              </w:rPr>
              <w:t>青冈、</w:t>
            </w:r>
            <w:r>
              <w:rPr>
                <w:rFonts w:ascii="Times New Roman" w:cs="Times New Roman"/>
                <w:bCs/>
                <w:sz w:val="21"/>
                <w:szCs w:val="21"/>
              </w:rPr>
              <w:t>栓皮栎</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PrEx>
        <w:trPr>
          <w:trHeight w:val="590" w:hRule="atLeast"/>
          <w:jc w:val="center"/>
        </w:trPr>
        <w:tc>
          <w:tcPr>
            <w:tcW w:w="519"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sz w:val="21"/>
                <w:szCs w:val="21"/>
              </w:rPr>
              <w:t>4</w:t>
            </w:r>
          </w:p>
        </w:tc>
        <w:tc>
          <w:tcPr>
            <w:tcW w:w="1026"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5</w:t>
            </w:r>
            <w:r>
              <w:rPr>
                <w:rFonts w:ascii="Times New Roman" w:cs="Times New Roman"/>
                <w:bCs/>
                <w:sz w:val="21"/>
                <w:szCs w:val="21"/>
                <w:lang w:val="zh-CN"/>
              </w:rPr>
              <w:t>×</w:t>
            </w:r>
            <w:r>
              <w:rPr>
                <w:rFonts w:ascii="Times New Roman" w:cs="Times New Roman"/>
                <w:bCs/>
                <w:sz w:val="21"/>
                <w:szCs w:val="21"/>
              </w:rPr>
              <w:t>5</w:t>
            </w:r>
            <w:r>
              <w:rPr>
                <w:rFonts w:ascii="Times New Roman" w:cs="Times New Roman"/>
                <w:bCs/>
                <w:sz w:val="21"/>
                <w:szCs w:val="21"/>
                <w:lang w:val="zh-CN"/>
              </w:rPr>
              <w:t>m</w:t>
            </w:r>
          </w:p>
        </w:tc>
        <w:tc>
          <w:tcPr>
            <w:tcW w:w="1764"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kern w:val="2"/>
                <w:sz w:val="21"/>
                <w:szCs w:val="21"/>
              </w:rPr>
              <w:t>107.8167，31.5518</w:t>
            </w:r>
          </w:p>
        </w:tc>
        <w:tc>
          <w:tcPr>
            <w:tcW w:w="2279"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槲栎灌丛</w:t>
            </w:r>
            <w:r>
              <w:rPr>
                <w:rFonts w:hint="eastAsia" w:ascii="Times New Roman" w:cs="Times New Roman"/>
                <w:bCs/>
                <w:sz w:val="21"/>
                <w:szCs w:val="21"/>
              </w:rPr>
              <w:t>群落</w:t>
            </w:r>
          </w:p>
        </w:tc>
        <w:tc>
          <w:tcPr>
            <w:tcW w:w="1133"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槲栎</w:t>
            </w:r>
          </w:p>
        </w:tc>
        <w:tc>
          <w:tcPr>
            <w:tcW w:w="2066"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槲栎</w:t>
            </w:r>
            <w:r>
              <w:rPr>
                <w:rFonts w:hint="eastAsia" w:ascii="Times New Roman" w:cs="Times New Roman"/>
                <w:bCs/>
                <w:sz w:val="21"/>
                <w:szCs w:val="21"/>
              </w:rPr>
              <w:t>、</w:t>
            </w:r>
            <w:r>
              <w:rPr>
                <w:rFonts w:ascii="Times New Roman" w:cs="Times New Roman"/>
                <w:bCs/>
                <w:sz w:val="21"/>
                <w:szCs w:val="21"/>
              </w:rPr>
              <w:t>毛黄栌</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PrEx>
        <w:trPr>
          <w:trHeight w:val="590" w:hRule="atLeast"/>
          <w:jc w:val="center"/>
        </w:trPr>
        <w:tc>
          <w:tcPr>
            <w:tcW w:w="519"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sz w:val="21"/>
                <w:szCs w:val="21"/>
              </w:rPr>
              <w:t>5</w:t>
            </w:r>
          </w:p>
        </w:tc>
        <w:tc>
          <w:tcPr>
            <w:tcW w:w="1026"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5</w:t>
            </w:r>
            <w:r>
              <w:rPr>
                <w:rFonts w:ascii="Times New Roman" w:cs="Times New Roman"/>
                <w:bCs/>
                <w:sz w:val="21"/>
                <w:szCs w:val="21"/>
                <w:lang w:val="zh-CN"/>
              </w:rPr>
              <w:t>×</w:t>
            </w:r>
            <w:r>
              <w:rPr>
                <w:rFonts w:ascii="Times New Roman" w:cs="Times New Roman"/>
                <w:bCs/>
                <w:sz w:val="21"/>
                <w:szCs w:val="21"/>
              </w:rPr>
              <w:t>5</w:t>
            </w:r>
            <w:r>
              <w:rPr>
                <w:rFonts w:ascii="Times New Roman" w:cs="Times New Roman"/>
                <w:bCs/>
                <w:sz w:val="21"/>
                <w:szCs w:val="21"/>
                <w:lang w:val="zh-CN"/>
              </w:rPr>
              <w:t>m</w:t>
            </w:r>
          </w:p>
        </w:tc>
        <w:tc>
          <w:tcPr>
            <w:tcW w:w="1764" w:type="dxa"/>
            <w:vAlign w:val="center"/>
          </w:tcPr>
          <w:p>
            <w:pPr>
              <w:topLinePunct w:val="0"/>
              <w:spacing w:line="240" w:lineRule="auto"/>
              <w:ind w:firstLine="0" w:firstLineChars="0"/>
              <w:jc w:val="center"/>
              <w:textAlignment w:val="baseline"/>
              <w:rPr>
                <w:rFonts w:ascii="Times New Roman" w:cs="Times New Roman"/>
                <w:bCs/>
                <w:kern w:val="2"/>
                <w:sz w:val="21"/>
                <w:szCs w:val="21"/>
              </w:rPr>
            </w:pPr>
            <w:r>
              <w:rPr>
                <w:rFonts w:hint="eastAsia" w:ascii="Times New Roman" w:cs="Times New Roman"/>
                <w:bCs/>
                <w:kern w:val="2"/>
                <w:sz w:val="21"/>
                <w:szCs w:val="21"/>
              </w:rPr>
              <w:t>107.8189，31.5527</w:t>
            </w:r>
          </w:p>
        </w:tc>
        <w:tc>
          <w:tcPr>
            <w:tcW w:w="2279"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sz w:val="21"/>
                <w:szCs w:val="21"/>
              </w:rPr>
              <w:t>马桑</w:t>
            </w:r>
            <w:r>
              <w:rPr>
                <w:rFonts w:ascii="Times New Roman" w:cs="Times New Roman"/>
                <w:bCs/>
                <w:sz w:val="21"/>
                <w:szCs w:val="21"/>
              </w:rPr>
              <w:t>灌丛</w:t>
            </w:r>
            <w:r>
              <w:rPr>
                <w:rFonts w:hint="eastAsia" w:ascii="Times New Roman" w:cs="Times New Roman"/>
                <w:bCs/>
                <w:sz w:val="21"/>
                <w:szCs w:val="21"/>
              </w:rPr>
              <w:t>群落</w:t>
            </w:r>
          </w:p>
        </w:tc>
        <w:tc>
          <w:tcPr>
            <w:tcW w:w="1133"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sz w:val="21"/>
                <w:szCs w:val="21"/>
              </w:rPr>
              <w:t>马桑</w:t>
            </w:r>
          </w:p>
        </w:tc>
        <w:tc>
          <w:tcPr>
            <w:tcW w:w="2066"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sz w:val="21"/>
                <w:szCs w:val="21"/>
              </w:rPr>
              <w:t>马桑</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PrEx>
        <w:trPr>
          <w:trHeight w:val="570" w:hRule="atLeast"/>
          <w:jc w:val="center"/>
        </w:trPr>
        <w:tc>
          <w:tcPr>
            <w:tcW w:w="519"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sz w:val="21"/>
                <w:szCs w:val="21"/>
              </w:rPr>
              <w:t>6</w:t>
            </w:r>
          </w:p>
        </w:tc>
        <w:tc>
          <w:tcPr>
            <w:tcW w:w="1026"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5</w:t>
            </w:r>
            <w:r>
              <w:rPr>
                <w:rFonts w:ascii="Times New Roman" w:cs="Times New Roman"/>
                <w:bCs/>
                <w:sz w:val="21"/>
                <w:szCs w:val="21"/>
                <w:lang w:val="zh-CN"/>
              </w:rPr>
              <w:t>×</w:t>
            </w:r>
            <w:r>
              <w:rPr>
                <w:rFonts w:ascii="Times New Roman" w:cs="Times New Roman"/>
                <w:bCs/>
                <w:sz w:val="21"/>
                <w:szCs w:val="21"/>
              </w:rPr>
              <w:t>5</w:t>
            </w:r>
            <w:r>
              <w:rPr>
                <w:rFonts w:ascii="Times New Roman" w:cs="Times New Roman"/>
                <w:bCs/>
                <w:sz w:val="21"/>
                <w:szCs w:val="21"/>
                <w:lang w:val="zh-CN"/>
              </w:rPr>
              <w:t>m</w:t>
            </w:r>
          </w:p>
        </w:tc>
        <w:tc>
          <w:tcPr>
            <w:tcW w:w="1764"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kern w:val="2"/>
                <w:sz w:val="21"/>
                <w:szCs w:val="21"/>
              </w:rPr>
              <w:t>107.8219，31.5529</w:t>
            </w:r>
          </w:p>
        </w:tc>
        <w:tc>
          <w:tcPr>
            <w:tcW w:w="2279"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马桑、黄荆、火棘</w:t>
            </w:r>
            <w:r>
              <w:rPr>
                <w:rFonts w:hint="eastAsia" w:ascii="Times New Roman" w:cs="Times New Roman"/>
                <w:bCs/>
                <w:sz w:val="21"/>
                <w:szCs w:val="21"/>
              </w:rPr>
              <w:t>群落</w:t>
            </w:r>
          </w:p>
        </w:tc>
        <w:tc>
          <w:tcPr>
            <w:tcW w:w="1133"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马桑</w:t>
            </w:r>
          </w:p>
        </w:tc>
        <w:tc>
          <w:tcPr>
            <w:tcW w:w="2066"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马桑、黄荆、火棘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70" w:hRule="atLeast"/>
          <w:jc w:val="center"/>
        </w:trPr>
        <w:tc>
          <w:tcPr>
            <w:tcW w:w="519"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sz w:val="21"/>
                <w:szCs w:val="21"/>
              </w:rPr>
              <w:t>7</w:t>
            </w:r>
          </w:p>
        </w:tc>
        <w:tc>
          <w:tcPr>
            <w:tcW w:w="1026"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1×1m</w:t>
            </w:r>
          </w:p>
        </w:tc>
        <w:tc>
          <w:tcPr>
            <w:tcW w:w="1764" w:type="dxa"/>
            <w:vAlign w:val="center"/>
          </w:tcPr>
          <w:p>
            <w:pPr>
              <w:topLinePunct w:val="0"/>
              <w:spacing w:line="240" w:lineRule="auto"/>
              <w:ind w:firstLine="0" w:firstLineChars="0"/>
              <w:jc w:val="center"/>
              <w:textAlignment w:val="baseline"/>
              <w:rPr>
                <w:rFonts w:ascii="Times New Roman" w:cs="Times New Roman"/>
                <w:bCs/>
                <w:kern w:val="2"/>
                <w:sz w:val="21"/>
                <w:szCs w:val="21"/>
              </w:rPr>
            </w:pPr>
            <w:r>
              <w:rPr>
                <w:rFonts w:hint="eastAsia" w:ascii="Times New Roman" w:cs="Times New Roman"/>
                <w:bCs/>
                <w:kern w:val="2"/>
                <w:sz w:val="21"/>
                <w:szCs w:val="21"/>
              </w:rPr>
              <w:t>107.8265，31.5620</w:t>
            </w:r>
          </w:p>
        </w:tc>
        <w:tc>
          <w:tcPr>
            <w:tcW w:w="2279"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白茅</w:t>
            </w:r>
            <w:r>
              <w:rPr>
                <w:rFonts w:hint="eastAsia" w:ascii="Times New Roman" w:cs="Times New Roman"/>
                <w:bCs/>
                <w:sz w:val="21"/>
                <w:szCs w:val="21"/>
              </w:rPr>
              <w:t>草丛群落</w:t>
            </w:r>
          </w:p>
        </w:tc>
        <w:tc>
          <w:tcPr>
            <w:tcW w:w="1133"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白茅</w:t>
            </w:r>
          </w:p>
        </w:tc>
        <w:tc>
          <w:tcPr>
            <w:tcW w:w="2066"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白茅</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99" w:hRule="atLeast"/>
          <w:jc w:val="center"/>
        </w:trPr>
        <w:tc>
          <w:tcPr>
            <w:tcW w:w="519"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sz w:val="21"/>
                <w:szCs w:val="21"/>
              </w:rPr>
              <w:t>8</w:t>
            </w:r>
          </w:p>
        </w:tc>
        <w:tc>
          <w:tcPr>
            <w:tcW w:w="1026"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1×1m</w:t>
            </w:r>
          </w:p>
        </w:tc>
        <w:tc>
          <w:tcPr>
            <w:tcW w:w="1764"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kern w:val="2"/>
                <w:sz w:val="21"/>
                <w:szCs w:val="21"/>
              </w:rPr>
              <w:t>107.8300，31.5621</w:t>
            </w:r>
          </w:p>
        </w:tc>
        <w:tc>
          <w:tcPr>
            <w:tcW w:w="2279"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白茅、五节芒、野古草、斑茅</w:t>
            </w:r>
            <w:r>
              <w:rPr>
                <w:rFonts w:hint="eastAsia" w:ascii="Times New Roman" w:cs="Times New Roman"/>
                <w:bCs/>
                <w:sz w:val="21"/>
                <w:szCs w:val="21"/>
              </w:rPr>
              <w:t>群落</w:t>
            </w:r>
          </w:p>
        </w:tc>
        <w:tc>
          <w:tcPr>
            <w:tcW w:w="1133"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白茅</w:t>
            </w:r>
          </w:p>
        </w:tc>
        <w:tc>
          <w:tcPr>
            <w:tcW w:w="2066"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白茅、五节芒、野古草、斑茅</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PrEx>
        <w:trPr>
          <w:trHeight w:val="599" w:hRule="atLeast"/>
          <w:jc w:val="center"/>
        </w:trPr>
        <w:tc>
          <w:tcPr>
            <w:tcW w:w="519"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sz w:val="21"/>
                <w:szCs w:val="21"/>
              </w:rPr>
              <w:t>9</w:t>
            </w:r>
          </w:p>
        </w:tc>
        <w:tc>
          <w:tcPr>
            <w:tcW w:w="1026"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1×1m</w:t>
            </w:r>
          </w:p>
        </w:tc>
        <w:tc>
          <w:tcPr>
            <w:tcW w:w="1764"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hint="eastAsia" w:ascii="Times New Roman" w:cs="Times New Roman"/>
                <w:bCs/>
                <w:kern w:val="2"/>
                <w:sz w:val="21"/>
                <w:szCs w:val="21"/>
              </w:rPr>
              <w:t>107.8315，31.5600</w:t>
            </w:r>
          </w:p>
        </w:tc>
        <w:tc>
          <w:tcPr>
            <w:tcW w:w="2279"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芒、蕨、芒萁</w:t>
            </w:r>
            <w:r>
              <w:rPr>
                <w:rFonts w:hint="eastAsia" w:ascii="Times New Roman" w:cs="Times New Roman"/>
                <w:bCs/>
                <w:sz w:val="21"/>
                <w:szCs w:val="21"/>
              </w:rPr>
              <w:t>群落</w:t>
            </w:r>
          </w:p>
        </w:tc>
        <w:tc>
          <w:tcPr>
            <w:tcW w:w="1133"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芒</w:t>
            </w:r>
          </w:p>
        </w:tc>
        <w:tc>
          <w:tcPr>
            <w:tcW w:w="2066" w:type="dxa"/>
            <w:vAlign w:val="center"/>
          </w:tcPr>
          <w:p>
            <w:pPr>
              <w:topLinePunct w:val="0"/>
              <w:spacing w:line="240" w:lineRule="auto"/>
              <w:ind w:firstLine="0" w:firstLineChars="0"/>
              <w:jc w:val="center"/>
              <w:textAlignment w:val="baseline"/>
              <w:rPr>
                <w:rFonts w:ascii="Times New Roman" w:cs="Times New Roman"/>
                <w:bCs/>
                <w:sz w:val="21"/>
                <w:szCs w:val="21"/>
              </w:rPr>
            </w:pPr>
            <w:r>
              <w:rPr>
                <w:rFonts w:ascii="Times New Roman" w:cs="Times New Roman"/>
                <w:bCs/>
                <w:sz w:val="21"/>
                <w:szCs w:val="21"/>
              </w:rPr>
              <w:t>芒、蕨、芒萁</w:t>
            </w:r>
          </w:p>
        </w:tc>
      </w:tr>
    </w:tbl>
    <w:p>
      <w:pPr>
        <w:topLinePunct w:val="0"/>
        <w:adjustRightInd/>
        <w:spacing w:line="480" w:lineRule="exact"/>
        <w:ind w:firstLine="482"/>
        <w:rPr>
          <w:rFonts w:ascii="Times New Roman" w:cs="Times New Roman"/>
          <w:b/>
          <w:bCs/>
          <w:kern w:val="2"/>
        </w:rPr>
      </w:pPr>
      <w:r>
        <w:rPr>
          <w:rFonts w:ascii="Times New Roman" w:cs="Times New Roman"/>
          <w:b/>
          <w:bCs/>
          <w:kern w:val="2"/>
        </w:rPr>
        <w:t>（4）景观生态和生态系统类型调查</w:t>
      </w:r>
    </w:p>
    <w:p>
      <w:pPr>
        <w:topLinePunct w:val="0"/>
        <w:adjustRightInd/>
        <w:spacing w:line="480" w:lineRule="exact"/>
        <w:ind w:firstLine="480"/>
        <w:rPr>
          <w:rFonts w:ascii="Times New Roman" w:cs="Times New Roman"/>
          <w:kern w:val="2"/>
        </w:rPr>
      </w:pPr>
      <w:r>
        <w:rPr>
          <w:rFonts w:ascii="Times New Roman" w:cs="Times New Roman"/>
          <w:kern w:val="2"/>
        </w:rPr>
        <w:t>以能够获得的近期卫星影像图为工作用图，采用路线调查法和主要景观地段重点观测相结合，区划记录评价范围不同自然景观类型、范围、特征及生态系统类型，以此分析生态系统服务功能。</w:t>
      </w:r>
    </w:p>
    <w:p>
      <w:pPr>
        <w:topLinePunct w:val="0"/>
        <w:adjustRightInd/>
        <w:spacing w:line="480" w:lineRule="exact"/>
        <w:ind w:firstLine="482"/>
        <w:rPr>
          <w:rFonts w:ascii="Times New Roman" w:cs="Times New Roman"/>
          <w:b/>
          <w:bCs/>
          <w:kern w:val="2"/>
        </w:rPr>
      </w:pPr>
      <w:r>
        <w:rPr>
          <w:rFonts w:ascii="Times New Roman" w:cs="Times New Roman"/>
          <w:b/>
          <w:bCs/>
          <w:kern w:val="2"/>
        </w:rPr>
        <w:t>（5）陆生野生动物调查</w:t>
      </w:r>
    </w:p>
    <w:p>
      <w:pPr>
        <w:topLinePunct w:val="0"/>
        <w:adjustRightInd/>
        <w:spacing w:line="480" w:lineRule="exact"/>
        <w:ind w:firstLine="480"/>
        <w:rPr>
          <w:rFonts w:ascii="Times New Roman" w:cs="Times New Roman"/>
          <w:kern w:val="2"/>
        </w:rPr>
      </w:pPr>
      <w:r>
        <w:rPr>
          <w:rFonts w:ascii="Times New Roman" w:cs="Times New Roman"/>
          <w:kern w:val="2"/>
        </w:rPr>
        <w:t>野生动物调查采用野外实地调查、访问、查阅相关文献资料等</w:t>
      </w:r>
      <w:r>
        <w:rPr>
          <w:rFonts w:ascii="Times New Roman" w:cs="Times New Roman"/>
          <w:spacing w:val="-2"/>
          <w:kern w:val="2"/>
        </w:rPr>
        <w:t>三种方式</w:t>
      </w:r>
      <w:r>
        <w:rPr>
          <w:rFonts w:ascii="Times New Roman" w:cs="Times New Roman"/>
          <w:kern w:val="2"/>
        </w:rPr>
        <w:t>进行，记录到种。</w:t>
      </w:r>
    </w:p>
    <w:p>
      <w:pPr>
        <w:topLinePunct w:val="0"/>
        <w:adjustRightInd/>
        <w:spacing w:line="480" w:lineRule="exact"/>
        <w:ind w:firstLine="480"/>
        <w:rPr>
          <w:rFonts w:ascii="Times New Roman" w:cs="Times New Roman"/>
          <w:kern w:val="2"/>
        </w:rPr>
      </w:pPr>
      <w:r>
        <w:rPr>
          <w:rFonts w:ascii="Times New Roman" w:cs="Times New Roman"/>
          <w:kern w:val="2"/>
        </w:rPr>
        <w:t>资料检索法：主要收集、查阅项目区域相关</w:t>
      </w:r>
      <w:r>
        <w:rPr>
          <w:rFonts w:ascii="Times New Roman" w:cs="Times New Roman"/>
          <w:spacing w:val="-2"/>
          <w:kern w:val="2"/>
        </w:rPr>
        <w:t>科学研究和野外调查资料</w:t>
      </w:r>
      <w:r>
        <w:rPr>
          <w:rFonts w:ascii="Times New Roman" w:cs="Times New Roman"/>
          <w:kern w:val="2"/>
        </w:rPr>
        <w:t>以及其它专家、学者发表的涉及项目区域的学术论文。应用这些文献资料时，尤其是在动物物种多样性方面，属当时调查获得的资料，直接引用或应用；属查阅资料获得的信息</w:t>
      </w:r>
      <w:r>
        <w:rPr>
          <w:rFonts w:ascii="Times New Roman" w:cs="Times New Roman"/>
          <w:spacing w:val="-2"/>
          <w:kern w:val="2"/>
        </w:rPr>
        <w:t>，</w:t>
      </w:r>
      <w:r>
        <w:rPr>
          <w:rFonts w:ascii="Times New Roman" w:cs="Times New Roman"/>
          <w:kern w:val="2"/>
        </w:rPr>
        <w:t>如有其它文献资料佐证的也应用，否则，不应用。</w:t>
      </w:r>
    </w:p>
    <w:p>
      <w:pPr>
        <w:topLinePunct w:val="0"/>
        <w:adjustRightInd/>
        <w:spacing w:line="480" w:lineRule="exact"/>
        <w:ind w:firstLine="480"/>
        <w:rPr>
          <w:rFonts w:ascii="Times New Roman" w:cs="Times New Roman"/>
          <w:kern w:val="2"/>
        </w:rPr>
      </w:pPr>
      <w:r>
        <w:rPr>
          <w:rFonts w:ascii="Times New Roman" w:cs="Times New Roman"/>
          <w:kern w:val="2"/>
        </w:rPr>
        <w:t>访谈法：通过对当地林业及野生动物保护工作者、有野外经验的农民等进行访问和调查，与当地林业部门和林场的管理人员的有关同志进行交谈，了解当地动物的种类分布、数量情况。访谈时，先让访谈对象列举在当地见过哪些动物，再请其初步描述动物的形态特征和生活习性，最后提供动物图片供其辨认以确定具体种类。访谈时，调查人员避免诱导性提问，尽可能获得客观信息。调查人员对访谈对象提供的信息进行综合分析，确定物种的有无情况。访谈法可以快速了解野生动物在调查范围内的种类、分布情况及大致数量等信息，是对野外调查的重要补充，有利于了解整个评价区的动物资源状况。</w:t>
      </w:r>
    </w:p>
    <w:p>
      <w:pPr>
        <w:topLinePunct w:val="0"/>
        <w:adjustRightInd/>
        <w:spacing w:line="480" w:lineRule="exact"/>
        <w:ind w:firstLine="480"/>
        <w:rPr>
          <w:rFonts w:ascii="Times New Roman" w:cs="Times New Roman"/>
          <w:kern w:val="2"/>
        </w:rPr>
      </w:pPr>
      <w:r>
        <w:rPr>
          <w:rFonts w:ascii="Times New Roman" w:cs="Times New Roman"/>
          <w:kern w:val="2"/>
        </w:rPr>
        <w:t>野外实地调查方法：主要为样线法，辅以样方法进行，具体如下：</w:t>
      </w:r>
    </w:p>
    <w:p>
      <w:pPr>
        <w:topLinePunct w:val="0"/>
        <w:adjustRightInd/>
        <w:spacing w:line="480" w:lineRule="exact"/>
        <w:ind w:firstLine="480"/>
        <w:rPr>
          <w:rFonts w:ascii="Times New Roman" w:cs="Times New Roman"/>
          <w:kern w:val="2"/>
        </w:rPr>
      </w:pPr>
      <w:r>
        <w:rPr>
          <w:rFonts w:ascii="Times New Roman" w:cs="Times New Roman"/>
          <w:kern w:val="2"/>
        </w:rPr>
        <w:t>1）兽类</w:t>
      </w:r>
    </w:p>
    <w:p>
      <w:pPr>
        <w:topLinePunct w:val="0"/>
        <w:adjustRightInd/>
        <w:spacing w:line="480" w:lineRule="exact"/>
        <w:ind w:firstLine="480"/>
        <w:rPr>
          <w:rFonts w:ascii="Times New Roman" w:cs="Times New Roman"/>
          <w:kern w:val="2"/>
        </w:rPr>
      </w:pPr>
      <w:r>
        <w:rPr>
          <w:rFonts w:ascii="Times New Roman" w:cs="Times New Roman"/>
          <w:kern w:val="2"/>
        </w:rPr>
        <w:t>在评价区内采用样线法进行调查，现场记录遇见的动物，并对粪便、毛发、脚印和其它痕迹进行采样及识别。小型兽类调查采用设置样方法，并在样方内用铗日法进行调查；调查主要哺乳动物的种类时，则以现地调查结合座谈访问为主，并参考《四川兽类原色图鉴》进行确认，同时结合文献资料进行整理和分析。</w:t>
      </w:r>
    </w:p>
    <w:p>
      <w:pPr>
        <w:topLinePunct w:val="0"/>
        <w:adjustRightInd/>
        <w:spacing w:line="480" w:lineRule="exact"/>
        <w:ind w:firstLine="480"/>
        <w:rPr>
          <w:rFonts w:ascii="Times New Roman" w:cs="Times New Roman"/>
          <w:kern w:val="2"/>
        </w:rPr>
      </w:pPr>
      <w:r>
        <w:rPr>
          <w:rFonts w:ascii="Times New Roman" w:cs="Times New Roman"/>
          <w:kern w:val="2"/>
        </w:rPr>
        <w:t>2）鸟类</w:t>
      </w:r>
    </w:p>
    <w:p>
      <w:pPr>
        <w:topLinePunct w:val="0"/>
        <w:adjustRightInd/>
        <w:spacing w:line="480" w:lineRule="exact"/>
        <w:ind w:firstLine="480"/>
        <w:rPr>
          <w:rFonts w:ascii="Times New Roman" w:cs="Times New Roman"/>
          <w:kern w:val="2"/>
        </w:rPr>
      </w:pPr>
      <w:r>
        <w:rPr>
          <w:rFonts w:ascii="Times New Roman" w:cs="Times New Roman"/>
          <w:kern w:val="2"/>
        </w:rPr>
        <w:t>在评价区内用样线法统计调查鸟类鸣声、羽毛和个体等行经，同时结合文献资料确定其种类组成及其种群数量。此外对珍稀鸟类或大型鸟类则进行访问调查，并参考《四川鸟类原色图鉴》进行确认，同时结合文献资料进行整理和分析。</w:t>
      </w:r>
    </w:p>
    <w:p>
      <w:pPr>
        <w:topLinePunct w:val="0"/>
        <w:adjustRightInd/>
        <w:spacing w:line="480" w:lineRule="exact"/>
        <w:ind w:firstLine="480"/>
        <w:rPr>
          <w:rFonts w:ascii="Times New Roman" w:cs="Times New Roman"/>
          <w:kern w:val="2"/>
        </w:rPr>
      </w:pPr>
      <w:r>
        <w:rPr>
          <w:rFonts w:ascii="Times New Roman" w:cs="Times New Roman"/>
          <w:kern w:val="2"/>
        </w:rPr>
        <w:t>3）两栖、爬行类</w:t>
      </w:r>
    </w:p>
    <w:p>
      <w:pPr>
        <w:topLinePunct w:val="0"/>
        <w:adjustRightInd/>
        <w:spacing w:line="480" w:lineRule="exact"/>
        <w:ind w:firstLine="480"/>
        <w:rPr>
          <w:rFonts w:ascii="Times New Roman" w:cs="Times New Roman"/>
          <w:kern w:val="2"/>
        </w:rPr>
      </w:pPr>
      <w:r>
        <w:rPr>
          <w:rFonts w:ascii="Times New Roman" w:cs="Times New Roman"/>
          <w:kern w:val="2"/>
        </w:rPr>
        <w:t>两栖、爬行动物行动慢，活动范围小，对水环境的依赖性强，采用沿评价区附近溪河布设样线，辅以足够数量的样方于傍晚进行调查，依据看到的动物实体或痕迹并结合访问、文献资料进行分析整理，并参考《四川两栖类原色图鉴》、《四川爬行类动物原色图鉴》确定其种类。</w:t>
      </w:r>
    </w:p>
    <w:p>
      <w:pPr>
        <w:topLinePunct w:val="0"/>
        <w:adjustRightInd/>
        <w:spacing w:line="480" w:lineRule="exact"/>
        <w:ind w:firstLine="480"/>
        <w:rPr>
          <w:rFonts w:ascii="Times New Roman" w:cs="Times New Roman"/>
          <w:kern w:val="2"/>
        </w:rPr>
      </w:pPr>
      <w:r>
        <w:rPr>
          <w:rFonts w:ascii="Times New Roman" w:cs="Times New Roman"/>
          <w:kern w:val="2"/>
        </w:rPr>
        <w:t>综合实地调查、访问调查和资料查阅，通过分析归纳和总结，得出项目区及其周边地区动物物种、种群数量和分布资料，为评价和保护提供科学依据。</w:t>
      </w:r>
    </w:p>
    <w:p>
      <w:pPr>
        <w:topLinePunct w:val="0"/>
        <w:adjustRightInd/>
        <w:spacing w:line="480" w:lineRule="exact"/>
        <w:ind w:firstLine="482"/>
        <w:rPr>
          <w:rFonts w:ascii="Times New Roman" w:cs="Times New Roman"/>
          <w:b/>
          <w:bCs/>
          <w:kern w:val="2"/>
        </w:rPr>
      </w:pPr>
      <w:r>
        <w:rPr>
          <w:rFonts w:ascii="Times New Roman" w:cs="Times New Roman"/>
          <w:b/>
          <w:bCs/>
          <w:kern w:val="2"/>
        </w:rPr>
        <w:t>3、生态制图</w:t>
      </w:r>
    </w:p>
    <w:p>
      <w:pPr>
        <w:topLinePunct w:val="0"/>
        <w:adjustRightInd/>
        <w:spacing w:line="480" w:lineRule="exact"/>
        <w:ind w:firstLine="480"/>
        <w:rPr>
          <w:rFonts w:ascii="Times New Roman" w:cs="Times New Roman"/>
          <w:kern w:val="2"/>
        </w:rPr>
      </w:pPr>
      <w:r>
        <w:rPr>
          <w:rFonts w:ascii="Times New Roman" w:cs="Times New Roman"/>
          <w:kern w:val="2"/>
        </w:rPr>
        <w:t>在现场调查和群系样地调查的基础上，采用GPS、RS和GIS相结合的空间信息技术，进行地面类型的数字化判读，统计评价范围内各植被类型、面积、土地利用现状类型及数量。完成数字化的植被类型图和土地利用现状图及土壤侵蚀图，进行景观质量和生态环境质量的定性和定量评价。</w:t>
      </w:r>
    </w:p>
    <w:p>
      <w:pPr>
        <w:pStyle w:val="112"/>
        <w:ind w:firstLine="480"/>
      </w:pPr>
      <w:r>
        <w:rPr>
          <w:kern w:val="2"/>
          <w:szCs w:val="24"/>
        </w:rPr>
        <w:t>本次研究选用国产资源卫星zy-3卫片，融合后地面精度为2.1m，采用地表植被特征的“近红外、红外、绿”三个波段，其中植被影响主要反映为红色。植被类型不同，色彩和色调都发生相应变化，因此可区分出植被亚型以上的植被类型以及农田、居民用地等地面类型。同时也参考了美国wordview卫片作为参考，分辨率1.24米能较好地满足调查需求，但是，植被类型的确定需结合不同植被类型分布的生态学特征，不能单纯依靠色彩进行划分，对监督分类产生的植被初图，结合路线调查记录和等高线、坡度、坡向等信息，对植被图进行目视解译校正，得到符合精度的植被图。在植被图的基础上，进一步合并有关地面类型，得到土地利用类型图。</w:t>
      </w:r>
    </w:p>
    <w:p>
      <w:pPr>
        <w:pStyle w:val="112"/>
        <w:ind w:firstLine="480"/>
      </w:pPr>
      <w:r>
        <w:rPr>
          <w:szCs w:val="24"/>
        </w:rPr>
        <w:t>评价范围内植被概况见表</w:t>
      </w:r>
      <w:r>
        <w:rPr>
          <w:rFonts w:hint="eastAsia"/>
          <w:szCs w:val="24"/>
        </w:rPr>
        <w:t>5</w:t>
      </w:r>
      <w:r>
        <w:rPr>
          <w:szCs w:val="24"/>
        </w:rPr>
        <w:t>.</w:t>
      </w:r>
      <w:r>
        <w:rPr>
          <w:rFonts w:hint="eastAsia"/>
          <w:szCs w:val="24"/>
        </w:rPr>
        <w:t>2</w:t>
      </w:r>
      <w:r>
        <w:rPr>
          <w:szCs w:val="24"/>
        </w:rPr>
        <w:t>-3及《附图 评价区植被类型图》。</w:t>
      </w:r>
    </w:p>
    <w:p>
      <w:pPr>
        <w:topLinePunct w:val="0"/>
        <w:adjustRightInd/>
        <w:spacing w:line="500" w:lineRule="exact"/>
        <w:ind w:left="60" w:right="100" w:firstLine="482" w:firstLineChars="0"/>
        <w:jc w:val="center"/>
        <w:rPr>
          <w:rFonts w:ascii="Times New Roman" w:cs="Times New Roman"/>
          <w:b/>
          <w:kern w:val="2"/>
          <w:sz w:val="21"/>
          <w:szCs w:val="20"/>
        </w:rPr>
      </w:pPr>
      <w:r>
        <w:rPr>
          <w:rFonts w:ascii="Times New Roman" w:cs="Times New Roman"/>
          <w:b/>
          <w:kern w:val="2"/>
          <w:sz w:val="21"/>
          <w:szCs w:val="20"/>
        </w:rPr>
        <w:t>表4.3-3 评价范围内主要植被类型面积统计表</w:t>
      </w:r>
    </w:p>
    <w:tbl>
      <w:tblPr>
        <w:tblStyle w:val="5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96"/>
        <w:gridCol w:w="1165"/>
        <w:gridCol w:w="11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2" w:hRule="exact"/>
          <w:jc w:val="center"/>
        </w:trPr>
        <w:tc>
          <w:tcPr>
            <w:tcW w:w="0" w:type="auto"/>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植被类型</w:t>
            </w:r>
          </w:p>
        </w:tc>
        <w:tc>
          <w:tcPr>
            <w:tcW w:w="0" w:type="auto"/>
            <w:vAlign w:val="center"/>
          </w:tcPr>
          <w:p>
            <w:pPr>
              <w:widowControl/>
              <w:topLinePunct w:val="0"/>
              <w:adjustRightInd/>
              <w:spacing w:line="240" w:lineRule="auto"/>
              <w:ind w:firstLine="0" w:firstLineChars="0"/>
              <w:jc w:val="center"/>
              <w:rPr>
                <w:rFonts w:ascii="Times New Roman" w:cs="Times New Roman"/>
                <w:sz w:val="21"/>
                <w:szCs w:val="21"/>
              </w:rPr>
            </w:pPr>
            <w:r>
              <w:rPr>
                <w:rFonts w:hint="eastAsia" w:ascii="Times New Roman" w:cs="Times New Roman"/>
                <w:sz w:val="21"/>
                <w:szCs w:val="21"/>
              </w:rPr>
              <w:t>（</w:t>
            </w:r>
            <w:r>
              <w:rPr>
                <w:rFonts w:ascii="Times New Roman" w:cs="Times New Roman"/>
                <w:sz w:val="21"/>
                <w:szCs w:val="21"/>
              </w:rPr>
              <w:t>面积hm</w:t>
            </w:r>
            <w:r>
              <w:rPr>
                <w:rFonts w:ascii="Times New Roman" w:cs="Times New Roman"/>
                <w:sz w:val="21"/>
                <w:szCs w:val="21"/>
                <w:vertAlign w:val="superscript"/>
              </w:rPr>
              <w:t>2</w:t>
            </w:r>
            <w:r>
              <w:rPr>
                <w:rFonts w:hint="eastAsia" w:ascii="Times New Roman" w:cs="Times New Roman"/>
                <w:sz w:val="21"/>
                <w:szCs w:val="21"/>
              </w:rPr>
              <w:t>）</w:t>
            </w:r>
          </w:p>
        </w:tc>
        <w:tc>
          <w:tcPr>
            <w:tcW w:w="0" w:type="auto"/>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百分比</w:t>
            </w:r>
            <w:r>
              <w:rPr>
                <w:rFonts w:hint="eastAsia" w:ascii="Times New Roman" w:cs="Times New Roman"/>
                <w:sz w:val="21"/>
                <w:szCs w:val="21"/>
              </w:rPr>
              <w:t>（</w:t>
            </w:r>
            <w:r>
              <w:rPr>
                <w:rFonts w:ascii="Times New Roman" w:cs="Times New Roman"/>
                <w:sz w:val="21"/>
                <w:szCs w:val="21"/>
              </w:rPr>
              <w:t>%</w:t>
            </w:r>
            <w:r>
              <w:rPr>
                <w:rFonts w:hint="eastAsia" w:ascii="Times New Roman"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0" w:type="auto"/>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以马尾松、杉木、柏木为主的</w:t>
            </w:r>
            <w:r>
              <w:rPr>
                <w:rFonts w:ascii="Times New Roman" w:cs="Times New Roman"/>
                <w:kern w:val="2"/>
                <w:sz w:val="21"/>
                <w:szCs w:val="21"/>
              </w:rPr>
              <w:t>针叶林植被</w:t>
            </w:r>
          </w:p>
        </w:tc>
        <w:tc>
          <w:tcPr>
            <w:tcW w:w="1165"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 xml:space="preserve">373.94 </w:t>
            </w:r>
          </w:p>
        </w:tc>
        <w:tc>
          <w:tcPr>
            <w:tcW w:w="1161"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 xml:space="preserve">29.75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0" w:type="auto"/>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以麻栎、青冈、栓皮栎、枫香、响叶杨等为主的</w:t>
            </w:r>
            <w:r>
              <w:rPr>
                <w:rFonts w:ascii="Times New Roman" w:cs="Times New Roman"/>
                <w:kern w:val="2"/>
                <w:sz w:val="21"/>
                <w:szCs w:val="21"/>
              </w:rPr>
              <w:t>阔叶林植被</w:t>
            </w:r>
          </w:p>
        </w:tc>
        <w:tc>
          <w:tcPr>
            <w:tcW w:w="1165"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 xml:space="preserve">488.75 </w:t>
            </w:r>
          </w:p>
        </w:tc>
        <w:tc>
          <w:tcPr>
            <w:tcW w:w="1161"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 xml:space="preserve">38.88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0" w:type="auto"/>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以</w:t>
            </w:r>
            <w:r>
              <w:rPr>
                <w:rFonts w:hint="eastAsia" w:ascii="Times New Roman" w:cs="Times New Roman"/>
                <w:kern w:val="2"/>
                <w:sz w:val="21"/>
                <w:szCs w:val="21"/>
              </w:rPr>
              <w:t>槲栎、马桑、黄荆、火棘、荚蒾、盐肤木</w:t>
            </w:r>
            <w:r>
              <w:rPr>
                <w:rFonts w:ascii="Times New Roman" w:cs="Times New Roman"/>
                <w:kern w:val="2"/>
                <w:sz w:val="21"/>
                <w:szCs w:val="21"/>
              </w:rPr>
              <w:t>为主的灌丛植被</w:t>
            </w:r>
          </w:p>
        </w:tc>
        <w:tc>
          <w:tcPr>
            <w:tcW w:w="1165"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 xml:space="preserve">69.83 </w:t>
            </w:r>
          </w:p>
        </w:tc>
        <w:tc>
          <w:tcPr>
            <w:tcW w:w="1161"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 xml:space="preserve">5.56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5" w:hRule="exact"/>
          <w:jc w:val="center"/>
        </w:trPr>
        <w:tc>
          <w:tcPr>
            <w:tcW w:w="0" w:type="auto"/>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以</w:t>
            </w:r>
            <w:r>
              <w:rPr>
                <w:rFonts w:hint="eastAsia" w:ascii="Times New Roman" w:cs="Times New Roman"/>
                <w:kern w:val="2"/>
                <w:sz w:val="21"/>
                <w:szCs w:val="21"/>
              </w:rPr>
              <w:t>白茅、五节芒、芒、芒萁、野古草、斑茅、蕨</w:t>
            </w:r>
            <w:r>
              <w:rPr>
                <w:rFonts w:ascii="Times New Roman" w:cs="Times New Roman"/>
                <w:kern w:val="2"/>
                <w:sz w:val="21"/>
                <w:szCs w:val="21"/>
              </w:rPr>
              <w:t>等为主的草丛植被</w:t>
            </w:r>
          </w:p>
        </w:tc>
        <w:tc>
          <w:tcPr>
            <w:tcW w:w="1165"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 xml:space="preserve">0.95 </w:t>
            </w:r>
          </w:p>
        </w:tc>
        <w:tc>
          <w:tcPr>
            <w:tcW w:w="1161"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 xml:space="preserve">0.08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0" w:type="auto"/>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水稻</w:t>
            </w:r>
            <w:r>
              <w:rPr>
                <w:rFonts w:ascii="Times New Roman" w:cs="Times New Roman"/>
                <w:kern w:val="2"/>
                <w:sz w:val="21"/>
                <w:szCs w:val="21"/>
              </w:rPr>
              <w:t>为主的水田作物植被</w:t>
            </w:r>
          </w:p>
        </w:tc>
        <w:tc>
          <w:tcPr>
            <w:tcW w:w="1165"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 xml:space="preserve">21.92  </w:t>
            </w:r>
          </w:p>
        </w:tc>
        <w:tc>
          <w:tcPr>
            <w:tcW w:w="1161"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 xml:space="preserve">1.74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exact"/>
          <w:jc w:val="center"/>
        </w:trPr>
        <w:tc>
          <w:tcPr>
            <w:tcW w:w="0" w:type="auto"/>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玉米、红苕、棉花、花生、小麦、马铃薯、豌豆</w:t>
            </w:r>
            <w:r>
              <w:rPr>
                <w:rFonts w:ascii="Times New Roman" w:cs="Times New Roman"/>
                <w:kern w:val="2"/>
                <w:sz w:val="21"/>
                <w:szCs w:val="21"/>
              </w:rPr>
              <w:t>为主的旱地作物植被</w:t>
            </w:r>
          </w:p>
        </w:tc>
        <w:tc>
          <w:tcPr>
            <w:tcW w:w="1165"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 xml:space="preserve">227.79 </w:t>
            </w:r>
          </w:p>
        </w:tc>
        <w:tc>
          <w:tcPr>
            <w:tcW w:w="1161"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 xml:space="preserve">18.12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0" w:type="auto"/>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无植被</w:t>
            </w:r>
          </w:p>
        </w:tc>
        <w:tc>
          <w:tcPr>
            <w:tcW w:w="1165"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 xml:space="preserve">73.84 </w:t>
            </w:r>
          </w:p>
        </w:tc>
        <w:tc>
          <w:tcPr>
            <w:tcW w:w="1161"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 xml:space="preserve">5.86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0" w:type="auto"/>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合计</w:t>
            </w:r>
          </w:p>
        </w:tc>
        <w:tc>
          <w:tcPr>
            <w:tcW w:w="1165"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 xml:space="preserve">1257.02 </w:t>
            </w:r>
          </w:p>
        </w:tc>
        <w:tc>
          <w:tcPr>
            <w:tcW w:w="1161"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 xml:space="preserve">100.00 </w:t>
            </w:r>
          </w:p>
        </w:tc>
      </w:tr>
    </w:tbl>
    <w:p>
      <w:pPr>
        <w:pStyle w:val="112"/>
        <w:ind w:firstLine="480"/>
      </w:pPr>
      <w:r>
        <w:t>由表</w:t>
      </w:r>
      <w:r>
        <w:rPr>
          <w:rFonts w:hint="eastAsia"/>
        </w:rPr>
        <w:t>5</w:t>
      </w:r>
      <w:r>
        <w:t>.</w:t>
      </w:r>
      <w:r>
        <w:rPr>
          <w:rFonts w:hint="eastAsia"/>
        </w:rPr>
        <w:t>2</w:t>
      </w:r>
      <w:r>
        <w:t>-3可看出，本次评价范围内</w:t>
      </w:r>
      <w:r>
        <w:rPr>
          <w:rFonts w:hint="eastAsia"/>
        </w:rPr>
        <w:t>以麻栎、青冈、栓皮栎、枫香、响叶杨等为主的</w:t>
      </w:r>
      <w:r>
        <w:t>阔叶林植被占比最大，占评价面积的</w:t>
      </w:r>
      <w:r>
        <w:rPr>
          <w:rFonts w:hint="eastAsia"/>
        </w:rPr>
        <w:t>38.88</w:t>
      </w:r>
      <w:r>
        <w:t>%，</w:t>
      </w:r>
      <w:r>
        <w:rPr>
          <w:rFonts w:hint="eastAsia"/>
        </w:rPr>
        <w:t>其次以马尾松、杉木、柏木为主的</w:t>
      </w:r>
      <w:r>
        <w:t>针叶林植被，占评价面积的</w:t>
      </w:r>
      <w:r>
        <w:rPr>
          <w:rFonts w:hint="eastAsia"/>
        </w:rPr>
        <w:t>39.75%；以玉米、红苕、棉花、花生、小麦、马铃薯、豌豆为主的旱地作物植被</w:t>
      </w:r>
      <w:r>
        <w:t>，占评价面积的</w:t>
      </w:r>
      <w:r>
        <w:rPr>
          <w:rFonts w:hint="eastAsia"/>
        </w:rPr>
        <w:t>18.12</w:t>
      </w:r>
      <w:r>
        <w:t>%，</w:t>
      </w:r>
      <w:r>
        <w:rPr>
          <w:rFonts w:hint="eastAsia"/>
          <w:szCs w:val="24"/>
        </w:rPr>
        <w:t>其余类均低于10%，</w:t>
      </w:r>
      <w:r>
        <w:t>综上，本项目评价范围</w:t>
      </w:r>
      <w:r>
        <w:rPr>
          <w:rFonts w:hint="eastAsia"/>
        </w:rPr>
        <w:t>植被类型</w:t>
      </w:r>
      <w:r>
        <w:t>主要</w:t>
      </w:r>
      <w:r>
        <w:rPr>
          <w:rFonts w:hint="eastAsia"/>
        </w:rPr>
        <w:t>以阔叶林植被、针叶林植被、灌丛植被、旱地</w:t>
      </w:r>
      <w:r>
        <w:t>占优。</w:t>
      </w:r>
    </w:p>
    <w:p>
      <w:pPr>
        <w:pStyle w:val="112"/>
        <w:ind w:firstLine="472" w:firstLineChars="196"/>
        <w:rPr>
          <w:b/>
          <w:bCs/>
        </w:rPr>
      </w:pPr>
      <w:r>
        <w:rPr>
          <w:rFonts w:hint="eastAsia"/>
          <w:b/>
          <w:bCs/>
        </w:rPr>
        <w:t>（2）</w:t>
      </w:r>
      <w:r>
        <w:rPr>
          <w:b/>
          <w:bCs/>
        </w:rPr>
        <w:t>评价范围土地利用现状</w:t>
      </w:r>
    </w:p>
    <w:p>
      <w:pPr>
        <w:pStyle w:val="112"/>
        <w:ind w:firstLine="480"/>
      </w:pPr>
      <w:r>
        <w:t>评价范围内土地利用概况见表</w:t>
      </w:r>
      <w:r>
        <w:rPr>
          <w:rFonts w:hint="eastAsia"/>
        </w:rPr>
        <w:t>5</w:t>
      </w:r>
      <w:r>
        <w:t>.</w:t>
      </w:r>
      <w:r>
        <w:rPr>
          <w:rFonts w:hint="eastAsia"/>
        </w:rPr>
        <w:t>2</w:t>
      </w:r>
      <w:r>
        <w:t>-4及《附图 评价区土地利用现状图》。</w:t>
      </w:r>
    </w:p>
    <w:p>
      <w:pPr>
        <w:topLinePunct w:val="0"/>
        <w:adjustRightInd/>
        <w:spacing w:line="500" w:lineRule="exact"/>
        <w:ind w:left="60" w:right="100" w:firstLine="482" w:firstLineChars="0"/>
        <w:jc w:val="center"/>
        <w:rPr>
          <w:rFonts w:ascii="Times New Roman" w:cs="Times New Roman"/>
          <w:b/>
          <w:kern w:val="2"/>
          <w:sz w:val="21"/>
          <w:szCs w:val="20"/>
        </w:rPr>
      </w:pPr>
      <w:r>
        <w:rPr>
          <w:rFonts w:ascii="Times New Roman" w:cs="Times New Roman"/>
          <w:b/>
          <w:kern w:val="2"/>
          <w:sz w:val="21"/>
          <w:szCs w:val="20"/>
        </w:rPr>
        <w:t>表</w:t>
      </w:r>
      <w:r>
        <w:rPr>
          <w:rFonts w:hint="eastAsia" w:ascii="Times New Roman" w:cs="Times New Roman"/>
          <w:b/>
          <w:kern w:val="2"/>
          <w:sz w:val="21"/>
          <w:szCs w:val="20"/>
        </w:rPr>
        <w:t>5</w:t>
      </w:r>
      <w:r>
        <w:rPr>
          <w:rFonts w:ascii="Times New Roman" w:cs="Times New Roman"/>
          <w:b/>
          <w:kern w:val="2"/>
          <w:sz w:val="21"/>
          <w:szCs w:val="20"/>
        </w:rPr>
        <w:t>.</w:t>
      </w:r>
      <w:r>
        <w:rPr>
          <w:rFonts w:hint="eastAsia" w:ascii="Times New Roman" w:cs="Times New Roman"/>
          <w:b/>
          <w:kern w:val="2"/>
          <w:sz w:val="21"/>
          <w:szCs w:val="20"/>
        </w:rPr>
        <w:t>2</w:t>
      </w:r>
      <w:r>
        <w:rPr>
          <w:rFonts w:ascii="Times New Roman" w:cs="Times New Roman"/>
          <w:b/>
          <w:kern w:val="2"/>
          <w:sz w:val="21"/>
          <w:szCs w:val="20"/>
        </w:rPr>
        <w:t>-4 本次评价范围内土地利用现状情况</w:t>
      </w:r>
    </w:p>
    <w:tbl>
      <w:tblPr>
        <w:tblStyle w:val="5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8"/>
        <w:gridCol w:w="2587"/>
        <w:gridCol w:w="1640"/>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825" w:type="pct"/>
            <w:gridSpan w:val="2"/>
            <w:tcBorders>
              <w:top w:val="single" w:color="auto" w:sz="12"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土地利用分类</w:t>
            </w:r>
          </w:p>
        </w:tc>
        <w:tc>
          <w:tcPr>
            <w:tcW w:w="2175" w:type="pct"/>
            <w:gridSpan w:val="2"/>
            <w:tcBorders>
              <w:top w:val="single" w:color="auto" w:sz="12" w:space="0"/>
              <w:left w:val="single" w:color="auto" w:sz="4" w:space="0"/>
              <w:bottom w:val="single" w:color="auto" w:sz="4" w:space="0"/>
              <w:right w:val="nil"/>
            </w:tcBorders>
            <w:vAlign w:val="center"/>
          </w:tcPr>
          <w:p>
            <w:pPr>
              <w:widowControl/>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评价区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pct"/>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b/>
                <w:bCs/>
                <w:color w:val="000000"/>
                <w:kern w:val="2"/>
                <w:sz w:val="22"/>
                <w:szCs w:val="22"/>
              </w:rPr>
            </w:pPr>
            <w:r>
              <w:rPr>
                <w:rFonts w:ascii="Times New Roman" w:cs="Times New Roman"/>
                <w:b/>
                <w:bCs/>
                <w:color w:val="000000"/>
                <w:kern w:val="2"/>
                <w:sz w:val="22"/>
                <w:szCs w:val="22"/>
              </w:rPr>
              <w:t>一级分类</w:t>
            </w:r>
          </w:p>
        </w:tc>
        <w:tc>
          <w:tcPr>
            <w:tcW w:w="1518" w:type="pct"/>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b/>
                <w:bCs/>
                <w:color w:val="000000"/>
                <w:kern w:val="2"/>
                <w:sz w:val="22"/>
                <w:szCs w:val="22"/>
              </w:rPr>
            </w:pPr>
            <w:r>
              <w:rPr>
                <w:rFonts w:ascii="Times New Roman" w:cs="Times New Roman"/>
                <w:b/>
                <w:bCs/>
                <w:color w:val="000000"/>
                <w:kern w:val="2"/>
                <w:sz w:val="22"/>
                <w:szCs w:val="22"/>
              </w:rPr>
              <w:t>二级分类</w:t>
            </w:r>
          </w:p>
        </w:tc>
        <w:tc>
          <w:tcPr>
            <w:tcW w:w="962" w:type="pct"/>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b/>
                <w:bCs/>
                <w:color w:val="000000"/>
                <w:kern w:val="2"/>
                <w:sz w:val="22"/>
                <w:szCs w:val="22"/>
              </w:rPr>
            </w:pPr>
            <w:r>
              <w:rPr>
                <w:rFonts w:ascii="Times New Roman" w:cs="Times New Roman"/>
                <w:b/>
                <w:bCs/>
                <w:color w:val="000000"/>
                <w:kern w:val="2"/>
                <w:sz w:val="22"/>
                <w:szCs w:val="22"/>
              </w:rPr>
              <w:t>面积（hm</w:t>
            </w:r>
            <w:r>
              <w:rPr>
                <w:rFonts w:ascii="Times New Roman" w:cs="Times New Roman"/>
                <w:b/>
                <w:bCs/>
                <w:color w:val="000000"/>
                <w:kern w:val="2"/>
                <w:sz w:val="22"/>
                <w:szCs w:val="22"/>
                <w:vertAlign w:val="superscript"/>
              </w:rPr>
              <w:t>2</w:t>
            </w:r>
            <w:r>
              <w:rPr>
                <w:rFonts w:ascii="Times New Roman" w:cs="Times New Roman"/>
                <w:b/>
                <w:bCs/>
                <w:color w:val="000000"/>
                <w:kern w:val="2"/>
                <w:sz w:val="22"/>
                <w:szCs w:val="22"/>
              </w:rPr>
              <w:t>）</w:t>
            </w:r>
          </w:p>
        </w:tc>
        <w:tc>
          <w:tcPr>
            <w:tcW w:w="1213" w:type="pct"/>
            <w:tcBorders>
              <w:top w:val="single" w:color="auto" w:sz="4" w:space="0"/>
              <w:left w:val="single" w:color="auto" w:sz="4" w:space="0"/>
              <w:bottom w:val="single" w:color="auto" w:sz="4" w:space="0"/>
              <w:right w:val="nil"/>
            </w:tcBorders>
            <w:vAlign w:val="center"/>
          </w:tcPr>
          <w:p>
            <w:pPr>
              <w:widowControl/>
              <w:topLinePunct w:val="0"/>
              <w:adjustRightInd/>
              <w:spacing w:line="240" w:lineRule="auto"/>
              <w:ind w:firstLine="0" w:firstLineChars="0"/>
              <w:jc w:val="center"/>
              <w:textAlignment w:val="center"/>
              <w:rPr>
                <w:rFonts w:ascii="Times New Roman" w:cs="Times New Roman"/>
                <w:b/>
                <w:bCs/>
                <w:color w:val="000000"/>
                <w:kern w:val="2"/>
                <w:sz w:val="22"/>
                <w:szCs w:val="22"/>
              </w:rPr>
            </w:pPr>
            <w:r>
              <w:rPr>
                <w:rFonts w:ascii="Times New Roman" w:cs="Times New Roman"/>
                <w:b/>
                <w:bCs/>
                <w:color w:val="000000"/>
                <w:kern w:val="2"/>
                <w:sz w:val="22"/>
                <w:szCs w:val="22"/>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pct"/>
            <w:vMerge w:val="restart"/>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耕地</w:t>
            </w: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水田</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21.92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1.74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pct"/>
            <w:vMerge w:val="continue"/>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旱地</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216.96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17.26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pct"/>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园地</w:t>
            </w: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果园</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10.83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0.86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pct"/>
            <w:vMerge w:val="restart"/>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林地</w:t>
            </w: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乔木林地</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862.69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68.63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pct"/>
            <w:vMerge w:val="continue"/>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灌木林地</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69.83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5.56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pct"/>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草地</w:t>
            </w: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其他草地</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0.95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pct"/>
            <w:vMerge w:val="restart"/>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工矿仓储用地</w:t>
            </w: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工业用地</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6.65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0.53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07" w:type="pct"/>
            <w:vMerge w:val="continue"/>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农村宅基地</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27.30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2.17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07" w:type="pct"/>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公共管理与公共服务用地</w:t>
            </w: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教育用地</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0.52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07" w:type="pct"/>
            <w:vMerge w:val="restart"/>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交通运输用地</w:t>
            </w: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公路用地</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7.37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0.59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307" w:type="pct"/>
            <w:vMerge w:val="continue"/>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农村道路</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12.68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1.01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307" w:type="pct"/>
            <w:vMerge w:val="restart"/>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水利及水利设施用地</w:t>
            </w:r>
          </w:p>
          <w:p>
            <w:pPr>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其他土地</w:t>
            </w: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河流水面</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13.42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1.07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307" w:type="pct"/>
            <w:vMerge w:val="continue"/>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水库水面</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0.69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307" w:type="pct"/>
            <w:vMerge w:val="continue"/>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坑塘水面</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4.79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0.38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307" w:type="pct"/>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其他土地</w:t>
            </w: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裸土地</w:t>
            </w:r>
          </w:p>
        </w:tc>
        <w:tc>
          <w:tcPr>
            <w:tcW w:w="9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0.43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25" w:type="pct"/>
            <w:gridSpan w:val="2"/>
            <w:tcBorders>
              <w:top w:val="single" w:color="auto" w:sz="4" w:space="0"/>
              <w:left w:val="nil"/>
              <w:bottom w:val="single" w:color="auto" w:sz="12"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合计</w:t>
            </w:r>
          </w:p>
        </w:tc>
        <w:tc>
          <w:tcPr>
            <w:tcW w:w="962" w:type="pct"/>
            <w:tcBorders>
              <w:top w:val="single" w:color="auto" w:sz="4" w:space="0"/>
              <w:left w:val="single" w:color="auto" w:sz="4" w:space="0"/>
              <w:bottom w:val="single" w:color="auto" w:sz="12"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1257.02</w:t>
            </w:r>
          </w:p>
        </w:tc>
        <w:tc>
          <w:tcPr>
            <w:tcW w:w="1213" w:type="pct"/>
            <w:tcBorders>
              <w:top w:val="single" w:color="auto" w:sz="4" w:space="0"/>
              <w:left w:val="single" w:color="auto" w:sz="4" w:space="0"/>
              <w:bottom w:val="single" w:color="auto" w:sz="12"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100.00</w:t>
            </w:r>
          </w:p>
        </w:tc>
      </w:tr>
    </w:tbl>
    <w:p>
      <w:pPr>
        <w:pStyle w:val="112"/>
        <w:adjustRightInd w:val="0"/>
        <w:snapToGrid w:val="0"/>
        <w:ind w:firstLine="480"/>
        <w:rPr>
          <w:szCs w:val="24"/>
        </w:rPr>
      </w:pPr>
      <w:r>
        <w:rPr>
          <w:szCs w:val="24"/>
        </w:rPr>
        <w:t>由表</w:t>
      </w:r>
      <w:r>
        <w:rPr>
          <w:rFonts w:hint="eastAsia"/>
          <w:szCs w:val="24"/>
        </w:rPr>
        <w:t>5</w:t>
      </w:r>
      <w:r>
        <w:rPr>
          <w:szCs w:val="24"/>
        </w:rPr>
        <w:t>.</w:t>
      </w:r>
      <w:r>
        <w:rPr>
          <w:rFonts w:hint="eastAsia"/>
          <w:szCs w:val="24"/>
        </w:rPr>
        <w:t>2</w:t>
      </w:r>
      <w:r>
        <w:rPr>
          <w:szCs w:val="24"/>
        </w:rPr>
        <w:t>-4看出，本次评价范围内乔木林地</w:t>
      </w:r>
      <w:r>
        <w:rPr>
          <w:rFonts w:hint="eastAsia"/>
          <w:szCs w:val="24"/>
        </w:rPr>
        <w:t>862.69</w:t>
      </w:r>
      <w:r>
        <w:rPr>
          <w:szCs w:val="24"/>
        </w:rPr>
        <w:t>hm</w:t>
      </w:r>
      <w:r>
        <w:rPr>
          <w:szCs w:val="24"/>
          <w:vertAlign w:val="superscript"/>
        </w:rPr>
        <w:t>2</w:t>
      </w:r>
      <w:r>
        <w:rPr>
          <w:szCs w:val="24"/>
        </w:rPr>
        <w:t>，占评价范围的</w:t>
      </w:r>
      <w:r>
        <w:rPr>
          <w:rFonts w:hint="eastAsia"/>
          <w:szCs w:val="24"/>
        </w:rPr>
        <w:t>68.63</w:t>
      </w:r>
      <w:r>
        <w:rPr>
          <w:szCs w:val="24"/>
        </w:rPr>
        <w:t>%，</w:t>
      </w:r>
      <w:r>
        <w:rPr>
          <w:rFonts w:hint="eastAsia"/>
          <w:szCs w:val="24"/>
        </w:rPr>
        <w:t>旱地216.96</w:t>
      </w:r>
      <w:r>
        <w:rPr>
          <w:szCs w:val="24"/>
        </w:rPr>
        <w:t>hm</w:t>
      </w:r>
      <w:r>
        <w:rPr>
          <w:szCs w:val="24"/>
          <w:vertAlign w:val="superscript"/>
        </w:rPr>
        <w:t>2</w:t>
      </w:r>
      <w:r>
        <w:rPr>
          <w:szCs w:val="24"/>
        </w:rPr>
        <w:t>，占评价范围的</w:t>
      </w:r>
      <w:r>
        <w:rPr>
          <w:rFonts w:hint="eastAsia"/>
          <w:szCs w:val="24"/>
        </w:rPr>
        <w:t>17.26</w:t>
      </w:r>
      <w:r>
        <w:rPr>
          <w:szCs w:val="24"/>
        </w:rPr>
        <w:t>%</w:t>
      </w:r>
      <w:r>
        <w:rPr>
          <w:rFonts w:hint="eastAsia"/>
          <w:szCs w:val="24"/>
        </w:rPr>
        <w:t xml:space="preserve">，灌木林地69.83 </w:t>
      </w:r>
      <w:r>
        <w:rPr>
          <w:szCs w:val="24"/>
        </w:rPr>
        <w:t>hm</w:t>
      </w:r>
      <w:r>
        <w:rPr>
          <w:szCs w:val="24"/>
          <w:vertAlign w:val="superscript"/>
        </w:rPr>
        <w:t>2</w:t>
      </w:r>
      <w:r>
        <w:rPr>
          <w:szCs w:val="24"/>
        </w:rPr>
        <w:t>，占评价范围的</w:t>
      </w:r>
      <w:r>
        <w:rPr>
          <w:rFonts w:hint="eastAsia"/>
          <w:szCs w:val="24"/>
        </w:rPr>
        <w:t xml:space="preserve">5.56 </w:t>
      </w:r>
      <w:r>
        <w:rPr>
          <w:szCs w:val="24"/>
        </w:rPr>
        <w:t>%</w:t>
      </w:r>
      <w:r>
        <w:rPr>
          <w:rFonts w:hint="eastAsia"/>
          <w:szCs w:val="24"/>
        </w:rPr>
        <w:t>，其余地类均低于5%</w:t>
      </w:r>
      <w:r>
        <w:rPr>
          <w:szCs w:val="24"/>
        </w:rPr>
        <w:t>。综上，本次评价范围内土地类型以乔木林地</w:t>
      </w:r>
      <w:r>
        <w:rPr>
          <w:rFonts w:hint="eastAsia"/>
          <w:szCs w:val="24"/>
        </w:rPr>
        <w:t>、灌木林地</w:t>
      </w:r>
      <w:r>
        <w:rPr>
          <w:szCs w:val="24"/>
        </w:rPr>
        <w:t>和</w:t>
      </w:r>
      <w:r>
        <w:rPr>
          <w:rFonts w:hint="eastAsia"/>
          <w:szCs w:val="24"/>
        </w:rPr>
        <w:t>旱地</w:t>
      </w:r>
      <w:r>
        <w:rPr>
          <w:szCs w:val="24"/>
        </w:rPr>
        <w:t>为主。</w:t>
      </w:r>
    </w:p>
    <w:p>
      <w:pPr>
        <w:topLinePunct w:val="0"/>
        <w:snapToGrid w:val="0"/>
        <w:ind w:firstLine="482"/>
        <w:rPr>
          <w:rFonts w:ascii="Times New Roman" w:cs="Times New Roman"/>
          <w:b/>
          <w:bCs/>
          <w:kern w:val="2"/>
        </w:rPr>
      </w:pPr>
      <w:r>
        <w:rPr>
          <w:rFonts w:ascii="Times New Roman" w:cs="Times New Roman"/>
          <w:b/>
          <w:bCs/>
          <w:kern w:val="2"/>
        </w:rPr>
        <w:t>（3）</w:t>
      </w:r>
      <w:bookmarkStart w:id="419" w:name="_Toc296319726"/>
      <w:r>
        <w:rPr>
          <w:rFonts w:ascii="Times New Roman" w:cs="Times New Roman"/>
          <w:b/>
          <w:bCs/>
          <w:kern w:val="2"/>
        </w:rPr>
        <w:t>评价范围土壤侵蚀特点</w:t>
      </w:r>
      <w:bookmarkEnd w:id="419"/>
    </w:p>
    <w:p>
      <w:pPr>
        <w:topLinePunct w:val="0"/>
        <w:snapToGrid w:val="0"/>
        <w:ind w:firstLine="480"/>
        <w:rPr>
          <w:rFonts w:ascii="Times New Roman" w:cs="Times New Roman"/>
          <w:kern w:val="2"/>
        </w:rPr>
      </w:pPr>
      <w:r>
        <w:rPr>
          <w:rFonts w:ascii="Times New Roman" w:cs="Times New Roman"/>
          <w:kern w:val="2"/>
        </w:rPr>
        <w:t>1）土壤侵蚀强度分类与遥感影像特征</w:t>
      </w:r>
    </w:p>
    <w:p>
      <w:pPr>
        <w:pStyle w:val="112"/>
        <w:adjustRightInd w:val="0"/>
        <w:snapToGrid w:val="0"/>
        <w:ind w:firstLine="480"/>
      </w:pPr>
      <w:r>
        <w:rPr>
          <w:kern w:val="2"/>
          <w:szCs w:val="24"/>
        </w:rPr>
        <w:t>参照《生态环境状况评价技术规范》（HJ192-2015，2015-03-13）、《土壤侵蚀分类分级标准》（SL190-2007，2008-01-04）中侵蚀强度分级参考指标（表</w:t>
      </w:r>
      <w:r>
        <w:rPr>
          <w:rFonts w:hint="eastAsia"/>
          <w:kern w:val="2"/>
          <w:szCs w:val="24"/>
        </w:rPr>
        <w:t>5</w:t>
      </w:r>
      <w:r>
        <w:rPr>
          <w:kern w:val="2"/>
          <w:szCs w:val="24"/>
        </w:rPr>
        <w:t>.</w:t>
      </w:r>
      <w:r>
        <w:rPr>
          <w:rFonts w:hint="eastAsia"/>
          <w:kern w:val="2"/>
          <w:szCs w:val="24"/>
        </w:rPr>
        <w:t>2</w:t>
      </w:r>
      <w:r>
        <w:rPr>
          <w:kern w:val="2"/>
          <w:szCs w:val="24"/>
        </w:rPr>
        <w:t>-5），以气候、地表物质组成、植被覆盖度、土地利用现状、水土保持措施及地形因素中的沟谷密度、坡度等因素为划分依据，将评价范围内土壤侵蚀划分为4个等级。评价范围土壤侵蚀现状见表</w:t>
      </w:r>
      <w:r>
        <w:rPr>
          <w:rFonts w:hint="eastAsia"/>
          <w:kern w:val="2"/>
          <w:szCs w:val="24"/>
        </w:rPr>
        <w:t>5</w:t>
      </w:r>
      <w:r>
        <w:rPr>
          <w:kern w:val="2"/>
          <w:szCs w:val="24"/>
        </w:rPr>
        <w:t>.</w:t>
      </w:r>
      <w:r>
        <w:rPr>
          <w:rFonts w:hint="eastAsia"/>
          <w:kern w:val="2"/>
          <w:szCs w:val="24"/>
        </w:rPr>
        <w:t>2</w:t>
      </w:r>
      <w:r>
        <w:rPr>
          <w:kern w:val="2"/>
          <w:szCs w:val="24"/>
        </w:rPr>
        <w:t>-6及《附图 评价区土壤侵蚀图》。</w:t>
      </w:r>
    </w:p>
    <w:p>
      <w:pPr>
        <w:spacing w:line="500" w:lineRule="exact"/>
        <w:ind w:left="60" w:right="100" w:firstLine="482"/>
        <w:jc w:val="center"/>
        <w:rPr>
          <w:rFonts w:ascii="Times New Roman" w:cs="Times New Roman"/>
          <w:b/>
          <w:szCs w:val="20"/>
        </w:rPr>
      </w:pPr>
      <w:r>
        <w:rPr>
          <w:rFonts w:ascii="Times New Roman" w:cs="Times New Roman"/>
          <w:b/>
          <w:szCs w:val="20"/>
        </w:rPr>
        <w:t>表</w:t>
      </w:r>
      <w:r>
        <w:rPr>
          <w:rFonts w:hint="eastAsia" w:ascii="Times New Roman" w:cs="Times New Roman"/>
          <w:b/>
          <w:szCs w:val="20"/>
        </w:rPr>
        <w:t>5</w:t>
      </w:r>
      <w:r>
        <w:rPr>
          <w:rFonts w:ascii="Times New Roman" w:cs="Times New Roman"/>
          <w:b/>
          <w:szCs w:val="20"/>
        </w:rPr>
        <w:t>.</w:t>
      </w:r>
      <w:r>
        <w:rPr>
          <w:rFonts w:hint="eastAsia" w:ascii="Times New Roman" w:cs="Times New Roman"/>
          <w:b/>
          <w:szCs w:val="20"/>
        </w:rPr>
        <w:t>2</w:t>
      </w:r>
      <w:r>
        <w:rPr>
          <w:rFonts w:ascii="Times New Roman" w:cs="Times New Roman"/>
          <w:b/>
          <w:szCs w:val="20"/>
        </w:rPr>
        <w:t>-5 土壤侵蚀强度分级指标</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21"/>
        <w:gridCol w:w="43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77" w:type="dxa"/>
            <w:vAlign w:val="center"/>
          </w:tcPr>
          <w:p>
            <w:pPr>
              <w:pStyle w:val="21"/>
              <w:spacing w:line="240" w:lineRule="auto"/>
              <w:ind w:firstLine="0" w:firstLineChars="0"/>
              <w:jc w:val="center"/>
              <w:rPr>
                <w:rFonts w:ascii="Times New Roman" w:cs="Times New Roman"/>
                <w:b/>
                <w:sz w:val="21"/>
                <w:szCs w:val="21"/>
              </w:rPr>
            </w:pPr>
            <w:r>
              <w:rPr>
                <w:rFonts w:ascii="Times New Roman" w:cs="Times New Roman"/>
                <w:b/>
                <w:sz w:val="21"/>
                <w:szCs w:val="21"/>
              </w:rPr>
              <w:t>侵蚀等级</w:t>
            </w:r>
          </w:p>
        </w:tc>
        <w:tc>
          <w:tcPr>
            <w:tcW w:w="3237" w:type="dxa"/>
            <w:vAlign w:val="center"/>
          </w:tcPr>
          <w:p>
            <w:pPr>
              <w:pStyle w:val="21"/>
              <w:spacing w:line="240" w:lineRule="auto"/>
              <w:ind w:firstLine="422"/>
              <w:jc w:val="center"/>
              <w:rPr>
                <w:rFonts w:ascii="Times New Roman" w:cs="Times New Roman"/>
                <w:b/>
                <w:sz w:val="21"/>
                <w:szCs w:val="21"/>
              </w:rPr>
            </w:pPr>
            <w:r>
              <w:rPr>
                <w:rFonts w:ascii="Times New Roman" w:cs="Times New Roman"/>
                <w:b/>
                <w:sz w:val="21"/>
                <w:szCs w:val="21"/>
              </w:rPr>
              <w:t>侵蚀模数（t/km</w:t>
            </w:r>
            <w:r>
              <w:rPr>
                <w:rFonts w:ascii="Times New Roman" w:cs="Times New Roman"/>
                <w:b/>
                <w:sz w:val="21"/>
                <w:szCs w:val="21"/>
                <w:vertAlign w:val="superscript"/>
              </w:rPr>
              <w:t>2</w:t>
            </w:r>
            <w:r>
              <w:rPr>
                <w:rFonts w:ascii="Times New Roman" w:cs="Times New Roman"/>
                <w:b/>
                <w:sz w:val="21"/>
                <w:szCs w:val="21"/>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77" w:type="dxa"/>
            <w:vAlign w:val="center"/>
          </w:tcPr>
          <w:p>
            <w:pPr>
              <w:pStyle w:val="30"/>
              <w:jc w:val="center"/>
              <w:rPr>
                <w:rFonts w:ascii="Times New Roman" w:hAnsi="Times New Roman"/>
                <w:sz w:val="21"/>
              </w:rPr>
            </w:pPr>
            <w:r>
              <w:rPr>
                <w:rFonts w:ascii="Times New Roman" w:hAnsi="Times New Roman"/>
                <w:sz w:val="21"/>
              </w:rPr>
              <w:t>微度侵蚀</w:t>
            </w:r>
          </w:p>
        </w:tc>
        <w:tc>
          <w:tcPr>
            <w:tcW w:w="3237" w:type="dxa"/>
            <w:vAlign w:val="center"/>
          </w:tcPr>
          <w:p>
            <w:pPr>
              <w:spacing w:line="240" w:lineRule="auto"/>
              <w:ind w:firstLine="420"/>
              <w:jc w:val="center"/>
              <w:rPr>
                <w:rFonts w:ascii="Times New Roman" w:cs="Times New Roman"/>
                <w:sz w:val="21"/>
                <w:szCs w:val="21"/>
              </w:rPr>
            </w:pPr>
            <w:r>
              <w:rPr>
                <w:rFonts w:ascii="Times New Roman" w:cs="Times New Roman"/>
                <w:sz w:val="21"/>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77" w:type="dxa"/>
            <w:vAlign w:val="center"/>
          </w:tcPr>
          <w:p>
            <w:pPr>
              <w:pStyle w:val="30"/>
              <w:jc w:val="center"/>
              <w:rPr>
                <w:rFonts w:ascii="Times New Roman" w:hAnsi="Times New Roman"/>
                <w:sz w:val="21"/>
              </w:rPr>
            </w:pPr>
            <w:r>
              <w:rPr>
                <w:rFonts w:ascii="Times New Roman" w:hAnsi="Times New Roman"/>
                <w:sz w:val="21"/>
              </w:rPr>
              <w:t>轻度侵蚀</w:t>
            </w:r>
          </w:p>
        </w:tc>
        <w:tc>
          <w:tcPr>
            <w:tcW w:w="3237" w:type="dxa"/>
            <w:vAlign w:val="center"/>
          </w:tcPr>
          <w:p>
            <w:pPr>
              <w:spacing w:line="240" w:lineRule="auto"/>
              <w:ind w:firstLine="420"/>
              <w:jc w:val="center"/>
              <w:rPr>
                <w:rFonts w:ascii="Times New Roman" w:cs="Times New Roman"/>
                <w:sz w:val="21"/>
                <w:szCs w:val="21"/>
              </w:rPr>
            </w:pPr>
            <w:r>
              <w:rPr>
                <w:rFonts w:ascii="Times New Roman" w:cs="Times New Roman"/>
                <w:sz w:val="21"/>
                <w:szCs w:val="21"/>
              </w:rPr>
              <w:t>500～2500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77" w:type="dxa"/>
            <w:vAlign w:val="center"/>
          </w:tcPr>
          <w:p>
            <w:pPr>
              <w:pStyle w:val="30"/>
              <w:jc w:val="center"/>
              <w:rPr>
                <w:rFonts w:ascii="Times New Roman" w:hAnsi="Times New Roman"/>
                <w:sz w:val="21"/>
              </w:rPr>
            </w:pPr>
            <w:r>
              <w:rPr>
                <w:rFonts w:ascii="Times New Roman" w:hAnsi="Times New Roman"/>
                <w:sz w:val="21"/>
              </w:rPr>
              <w:t>中度侵蚀</w:t>
            </w:r>
          </w:p>
        </w:tc>
        <w:tc>
          <w:tcPr>
            <w:tcW w:w="3237" w:type="dxa"/>
            <w:vAlign w:val="center"/>
          </w:tcPr>
          <w:p>
            <w:pPr>
              <w:spacing w:line="240" w:lineRule="auto"/>
              <w:ind w:firstLine="420"/>
              <w:jc w:val="center"/>
              <w:rPr>
                <w:rFonts w:ascii="Times New Roman" w:cs="Times New Roman"/>
                <w:sz w:val="21"/>
                <w:szCs w:val="21"/>
              </w:rPr>
            </w:pPr>
            <w:r>
              <w:rPr>
                <w:rFonts w:ascii="Times New Roman" w:cs="Times New Roman"/>
                <w:sz w:val="21"/>
                <w:szCs w:val="21"/>
              </w:rPr>
              <w:t>2500～5000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77" w:type="dxa"/>
            <w:vAlign w:val="center"/>
          </w:tcPr>
          <w:p>
            <w:pPr>
              <w:pStyle w:val="30"/>
              <w:jc w:val="center"/>
              <w:rPr>
                <w:rFonts w:ascii="Times New Roman" w:hAnsi="Times New Roman"/>
                <w:sz w:val="21"/>
              </w:rPr>
            </w:pPr>
            <w:r>
              <w:rPr>
                <w:rFonts w:ascii="Times New Roman" w:hAnsi="Times New Roman"/>
                <w:sz w:val="21"/>
              </w:rPr>
              <w:t>强度侵蚀</w:t>
            </w:r>
          </w:p>
        </w:tc>
        <w:tc>
          <w:tcPr>
            <w:tcW w:w="3237" w:type="dxa"/>
            <w:vAlign w:val="center"/>
          </w:tcPr>
          <w:p>
            <w:pPr>
              <w:spacing w:line="240" w:lineRule="auto"/>
              <w:ind w:firstLine="420"/>
              <w:jc w:val="center"/>
              <w:rPr>
                <w:rFonts w:ascii="Times New Roman" w:cs="Times New Roman"/>
                <w:sz w:val="21"/>
                <w:szCs w:val="21"/>
              </w:rPr>
            </w:pPr>
            <w:r>
              <w:rPr>
                <w:rFonts w:ascii="Times New Roman" w:cs="Times New Roman"/>
                <w:sz w:val="21"/>
                <w:szCs w:val="21"/>
              </w:rPr>
              <w:t>5000～8000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77" w:type="dxa"/>
            <w:vAlign w:val="center"/>
          </w:tcPr>
          <w:p>
            <w:pPr>
              <w:pStyle w:val="30"/>
              <w:jc w:val="center"/>
              <w:rPr>
                <w:rFonts w:ascii="Times New Roman" w:hAnsi="Times New Roman"/>
                <w:sz w:val="21"/>
              </w:rPr>
            </w:pPr>
            <w:r>
              <w:rPr>
                <w:rFonts w:ascii="Times New Roman" w:hAnsi="Times New Roman"/>
                <w:sz w:val="21"/>
              </w:rPr>
              <w:t>极强度侵蚀</w:t>
            </w:r>
          </w:p>
        </w:tc>
        <w:tc>
          <w:tcPr>
            <w:tcW w:w="3237" w:type="dxa"/>
            <w:vAlign w:val="center"/>
          </w:tcPr>
          <w:p>
            <w:pPr>
              <w:spacing w:line="240" w:lineRule="auto"/>
              <w:ind w:firstLine="420"/>
              <w:jc w:val="center"/>
              <w:rPr>
                <w:rFonts w:ascii="Times New Roman" w:cs="Times New Roman"/>
                <w:sz w:val="21"/>
                <w:szCs w:val="21"/>
              </w:rPr>
            </w:pPr>
            <w:r>
              <w:rPr>
                <w:rFonts w:ascii="Times New Roman" w:cs="Times New Roman"/>
                <w:sz w:val="21"/>
                <w:szCs w:val="21"/>
              </w:rPr>
              <w:t>8000～15000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177" w:type="dxa"/>
            <w:vAlign w:val="center"/>
          </w:tcPr>
          <w:p>
            <w:pPr>
              <w:pStyle w:val="30"/>
              <w:jc w:val="center"/>
              <w:rPr>
                <w:rFonts w:ascii="Times New Roman" w:hAnsi="Times New Roman"/>
                <w:sz w:val="21"/>
              </w:rPr>
            </w:pPr>
            <w:r>
              <w:rPr>
                <w:rFonts w:ascii="Times New Roman" w:hAnsi="Times New Roman"/>
                <w:sz w:val="21"/>
              </w:rPr>
              <w:t>剧烈侵蚀</w:t>
            </w:r>
          </w:p>
        </w:tc>
        <w:tc>
          <w:tcPr>
            <w:tcW w:w="3237" w:type="dxa"/>
            <w:vAlign w:val="center"/>
          </w:tcPr>
          <w:p>
            <w:pPr>
              <w:spacing w:line="240" w:lineRule="auto"/>
              <w:ind w:firstLine="420"/>
              <w:jc w:val="center"/>
              <w:rPr>
                <w:rFonts w:ascii="Times New Roman" w:cs="Times New Roman"/>
                <w:sz w:val="21"/>
                <w:szCs w:val="21"/>
              </w:rPr>
            </w:pPr>
            <w:r>
              <w:rPr>
                <w:rFonts w:ascii="Times New Roman" w:cs="Times New Roman"/>
                <w:sz w:val="21"/>
                <w:szCs w:val="21"/>
              </w:rPr>
              <w:t>＞15000</w:t>
            </w:r>
          </w:p>
        </w:tc>
      </w:tr>
    </w:tbl>
    <w:p>
      <w:pPr>
        <w:spacing w:line="500" w:lineRule="exact"/>
        <w:ind w:left="60" w:right="100" w:firstLine="482"/>
        <w:jc w:val="center"/>
        <w:rPr>
          <w:rFonts w:ascii="Times New Roman" w:cs="Times New Roman"/>
          <w:b/>
          <w:szCs w:val="20"/>
        </w:rPr>
      </w:pPr>
      <w:r>
        <w:rPr>
          <w:rFonts w:ascii="Times New Roman" w:cs="Times New Roman"/>
          <w:b/>
          <w:szCs w:val="20"/>
        </w:rPr>
        <w:t>表</w:t>
      </w:r>
      <w:r>
        <w:rPr>
          <w:rFonts w:hint="eastAsia" w:ascii="Times New Roman" w:cs="Times New Roman"/>
          <w:b/>
          <w:szCs w:val="20"/>
        </w:rPr>
        <w:t>5</w:t>
      </w:r>
      <w:r>
        <w:rPr>
          <w:rFonts w:ascii="Times New Roman" w:cs="Times New Roman"/>
          <w:b/>
          <w:szCs w:val="20"/>
        </w:rPr>
        <w:t>.</w:t>
      </w:r>
      <w:r>
        <w:rPr>
          <w:rFonts w:hint="eastAsia" w:ascii="Times New Roman" w:cs="Times New Roman"/>
          <w:b/>
          <w:szCs w:val="20"/>
        </w:rPr>
        <w:t>2</w:t>
      </w:r>
      <w:r>
        <w:rPr>
          <w:rFonts w:ascii="Times New Roman" w:cs="Times New Roman"/>
          <w:b/>
          <w:szCs w:val="20"/>
        </w:rPr>
        <w:t>-6 评价范围内土壤侵蚀状况表</w:t>
      </w:r>
    </w:p>
    <w:tbl>
      <w:tblPr>
        <w:tblStyle w:val="5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5"/>
        <w:gridCol w:w="3199"/>
        <w:gridCol w:w="2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0" w:type="pct"/>
            <w:vMerge w:val="restart"/>
            <w:tcBorders>
              <w:top w:val="single" w:color="auto" w:sz="12"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土壤侵蚀类型分类</w:t>
            </w:r>
          </w:p>
        </w:tc>
        <w:tc>
          <w:tcPr>
            <w:tcW w:w="3090" w:type="pct"/>
            <w:gridSpan w:val="2"/>
            <w:tcBorders>
              <w:top w:val="single" w:color="auto" w:sz="12" w:space="0"/>
              <w:left w:val="single" w:color="auto" w:sz="4" w:space="0"/>
              <w:bottom w:val="single" w:color="auto" w:sz="4" w:space="0"/>
              <w:right w:val="nil"/>
            </w:tcBorders>
            <w:vAlign w:val="center"/>
          </w:tcPr>
          <w:p>
            <w:pPr>
              <w:widowControl/>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评价区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910" w:type="pct"/>
            <w:vMerge w:val="continue"/>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877" w:type="pct"/>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面积（hm</w:t>
            </w:r>
            <w:r>
              <w:rPr>
                <w:rFonts w:ascii="Times New Roman" w:cs="Times New Roman"/>
                <w:b/>
                <w:bCs/>
                <w:kern w:val="2"/>
                <w:sz w:val="21"/>
                <w:szCs w:val="21"/>
                <w:vertAlign w:val="superscript"/>
              </w:rPr>
              <w:t>2</w:t>
            </w:r>
            <w:r>
              <w:rPr>
                <w:rFonts w:ascii="Times New Roman" w:cs="Times New Roman"/>
                <w:b/>
                <w:bCs/>
                <w:kern w:val="2"/>
                <w:sz w:val="21"/>
                <w:szCs w:val="21"/>
              </w:rPr>
              <w:t>）</w:t>
            </w:r>
          </w:p>
        </w:tc>
        <w:tc>
          <w:tcPr>
            <w:tcW w:w="1213" w:type="pct"/>
            <w:tcBorders>
              <w:top w:val="single" w:color="auto" w:sz="4" w:space="0"/>
              <w:left w:val="single" w:color="auto" w:sz="4" w:space="0"/>
              <w:bottom w:val="single" w:color="auto" w:sz="4" w:space="0"/>
              <w:right w:val="nil"/>
            </w:tcBorders>
            <w:vAlign w:val="center"/>
          </w:tcPr>
          <w:p>
            <w:pPr>
              <w:widowControl/>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910" w:type="pct"/>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color w:val="000000"/>
                <w:kern w:val="2"/>
                <w:sz w:val="22"/>
                <w:szCs w:val="22"/>
              </w:rPr>
            </w:pPr>
            <w:r>
              <w:rPr>
                <w:rFonts w:ascii="Times New Roman" w:cs="Times New Roman"/>
                <w:color w:val="000000"/>
                <w:kern w:val="2"/>
                <w:sz w:val="22"/>
                <w:szCs w:val="22"/>
              </w:rPr>
              <w:t>无明显侵蚀</w:t>
            </w:r>
          </w:p>
        </w:tc>
        <w:tc>
          <w:tcPr>
            <w:tcW w:w="18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rPr>
                <w:rFonts w:ascii="Times New Roman" w:cs="Times New Roman"/>
                <w:color w:val="000000"/>
                <w:kern w:val="2"/>
                <w:sz w:val="22"/>
                <w:szCs w:val="22"/>
              </w:rPr>
            </w:pPr>
            <w:r>
              <w:rPr>
                <w:rFonts w:ascii="Times New Roman" w:cs="Times New Roman"/>
                <w:color w:val="000000"/>
                <w:kern w:val="2"/>
                <w:sz w:val="22"/>
                <w:szCs w:val="22"/>
              </w:rPr>
              <w:t xml:space="preserve">54.51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rPr>
                <w:rFonts w:ascii="Times New Roman" w:cs="Times New Roman"/>
                <w:color w:val="000000"/>
                <w:kern w:val="2"/>
                <w:sz w:val="22"/>
                <w:szCs w:val="22"/>
              </w:rPr>
            </w:pPr>
            <w:r>
              <w:rPr>
                <w:rFonts w:ascii="Times New Roman" w:cs="Times New Roman"/>
                <w:color w:val="000000"/>
                <w:kern w:val="2"/>
                <w:sz w:val="22"/>
                <w:szCs w:val="22"/>
              </w:rPr>
              <w:t xml:space="preserve">4.34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0" w:type="pct"/>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微度侵蚀</w:t>
            </w:r>
          </w:p>
        </w:tc>
        <w:tc>
          <w:tcPr>
            <w:tcW w:w="18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546.41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43.47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0" w:type="pct"/>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轻度侵蚀</w:t>
            </w:r>
          </w:p>
        </w:tc>
        <w:tc>
          <w:tcPr>
            <w:tcW w:w="18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619.88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49.31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0" w:type="pct"/>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中度侵蚀</w:t>
            </w:r>
          </w:p>
        </w:tc>
        <w:tc>
          <w:tcPr>
            <w:tcW w:w="18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16.34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1.30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0" w:type="pct"/>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强烈侵蚀</w:t>
            </w:r>
          </w:p>
        </w:tc>
        <w:tc>
          <w:tcPr>
            <w:tcW w:w="18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0.98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0" w:type="pct"/>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水域</w:t>
            </w:r>
          </w:p>
        </w:tc>
        <w:tc>
          <w:tcPr>
            <w:tcW w:w="18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18.90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1.50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0" w:type="pct"/>
            <w:tcBorders>
              <w:top w:val="single" w:color="auto" w:sz="4" w:space="0"/>
              <w:left w:val="nil"/>
              <w:bottom w:val="single" w:color="auto" w:sz="12"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合计</w:t>
            </w:r>
          </w:p>
        </w:tc>
        <w:tc>
          <w:tcPr>
            <w:tcW w:w="1877" w:type="pct"/>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1257.02</w:t>
            </w:r>
          </w:p>
        </w:tc>
        <w:tc>
          <w:tcPr>
            <w:tcW w:w="1213" w:type="pct"/>
            <w:tcBorders>
              <w:top w:val="single" w:color="auto" w:sz="4" w:space="0"/>
              <w:left w:val="single" w:color="auto" w:sz="4" w:space="0"/>
              <w:bottom w:val="single" w:color="auto" w:sz="12" w:space="0"/>
              <w:right w:val="nil"/>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100.00 </w:t>
            </w:r>
          </w:p>
        </w:tc>
      </w:tr>
    </w:tbl>
    <w:p>
      <w:pPr>
        <w:snapToGrid w:val="0"/>
        <w:ind w:firstLine="480"/>
        <w:rPr>
          <w:rFonts w:ascii="Times New Roman" w:cs="Times New Roman"/>
        </w:rPr>
      </w:pPr>
      <w:r>
        <w:rPr>
          <w:rFonts w:ascii="Times New Roman" w:cs="Times New Roman"/>
        </w:rPr>
        <w:t>从表</w:t>
      </w:r>
      <w:r>
        <w:rPr>
          <w:rFonts w:hint="eastAsia" w:ascii="Times New Roman" w:cs="Times New Roman"/>
        </w:rPr>
        <w:t>5</w:t>
      </w:r>
      <w:r>
        <w:rPr>
          <w:rFonts w:ascii="Times New Roman" w:cs="Times New Roman"/>
        </w:rPr>
        <w:t>.</w:t>
      </w:r>
      <w:r>
        <w:rPr>
          <w:rFonts w:hint="eastAsia" w:ascii="Times New Roman" w:cs="Times New Roman"/>
        </w:rPr>
        <w:t>2</w:t>
      </w:r>
      <w:r>
        <w:rPr>
          <w:rFonts w:ascii="Times New Roman" w:cs="Times New Roman"/>
        </w:rPr>
        <w:t>-6可看出，本次评价范围内以微度侵蚀为主，其次为轻度侵蚀及中度侵蚀。</w:t>
      </w:r>
    </w:p>
    <w:p>
      <w:pPr>
        <w:snapToGrid w:val="0"/>
        <w:ind w:firstLine="480"/>
        <w:rPr>
          <w:rFonts w:ascii="Times New Roman" w:cs="Times New Roman"/>
        </w:rPr>
      </w:pPr>
      <w:r>
        <w:rPr>
          <w:rFonts w:ascii="Times New Roman" w:cs="Times New Roman"/>
        </w:rPr>
        <w:t>评价范围内土壤侵蚀主要原因包含自然因素和人为因素，其中：</w:t>
      </w:r>
    </w:p>
    <w:p>
      <w:pPr>
        <w:snapToGrid w:val="0"/>
        <w:ind w:firstLine="480"/>
        <w:rPr>
          <w:rFonts w:ascii="Times New Roman" w:cs="Times New Roman"/>
        </w:rPr>
      </w:pPr>
      <w:r>
        <w:rPr>
          <w:rFonts w:ascii="Times New Roman" w:cs="Times New Roman"/>
        </w:rPr>
        <w:t>1）自然因素</w:t>
      </w:r>
    </w:p>
    <w:p>
      <w:pPr>
        <w:snapToGrid w:val="0"/>
        <w:ind w:firstLine="480"/>
        <w:rPr>
          <w:rFonts w:ascii="Times New Roman" w:cs="Times New Roman"/>
        </w:rPr>
      </w:pPr>
      <w:r>
        <w:rPr>
          <w:rFonts w:ascii="Times New Roman" w:cs="Times New Roman"/>
        </w:rPr>
        <w:t>造成水土流失的自然因素主要有降雨、地形地貌、植被、地质、土壤等因素。</w:t>
      </w:r>
    </w:p>
    <w:p>
      <w:pPr>
        <w:snapToGrid w:val="0"/>
        <w:ind w:firstLine="480"/>
        <w:rPr>
          <w:rFonts w:ascii="Times New Roman" w:cs="Times New Roman"/>
        </w:rPr>
      </w:pPr>
      <w:r>
        <w:rPr>
          <w:rFonts w:ascii="Times New Roman" w:cs="Times New Roman"/>
        </w:rPr>
        <w:t>降雨：降雨历时短，强度大，年平均降水量1132.69mm。</w:t>
      </w:r>
    </w:p>
    <w:p>
      <w:pPr>
        <w:snapToGrid w:val="0"/>
        <w:ind w:firstLine="480"/>
        <w:rPr>
          <w:rFonts w:ascii="Times New Roman" w:cs="Times New Roman"/>
        </w:rPr>
      </w:pPr>
      <w:r>
        <w:rPr>
          <w:rFonts w:ascii="Times New Roman" w:cs="Times New Roman"/>
        </w:rPr>
        <w:t>地形地貌：评价范围周围以中低山为主，坡面长，地面径流汇集速度快，冲刷力强，加剧水土流失。</w:t>
      </w:r>
    </w:p>
    <w:p>
      <w:pPr>
        <w:snapToGrid w:val="0"/>
        <w:ind w:firstLine="480"/>
        <w:rPr>
          <w:rFonts w:ascii="Times New Roman" w:cs="Times New Roman"/>
        </w:rPr>
      </w:pPr>
      <w:r>
        <w:rPr>
          <w:rFonts w:ascii="Times New Roman" w:cs="Times New Roman"/>
        </w:rPr>
        <w:t>2）人为因素</w:t>
      </w:r>
    </w:p>
    <w:p>
      <w:pPr>
        <w:snapToGrid w:val="0"/>
        <w:ind w:firstLine="480"/>
        <w:rPr>
          <w:rFonts w:ascii="Times New Roman" w:cs="Times New Roman"/>
        </w:rPr>
      </w:pPr>
      <w:r>
        <w:rPr>
          <w:rFonts w:ascii="Times New Roman" w:cs="Times New Roman"/>
        </w:rPr>
        <w:t>由于种种历史原因，一些群众对水土保持工作认识不足，只顾眼前经济利益，不顾长远生态效益，毁林开荒、乱砍滥伐等现象依然存在，重开发、轻治理，在开发建设和生产活动中无论是单位或个人都忽视水土保持措施，造成新的水土流失和破坏。</w:t>
      </w:r>
    </w:p>
    <w:p>
      <w:pPr>
        <w:numPr>
          <w:ilvl w:val="0"/>
          <w:numId w:val="3"/>
        </w:numPr>
        <w:topLinePunct w:val="0"/>
        <w:snapToGrid w:val="0"/>
        <w:ind w:firstLine="482"/>
        <w:rPr>
          <w:rFonts w:ascii="Times New Roman" w:cs="Times New Roman"/>
          <w:b/>
          <w:bCs/>
        </w:rPr>
      </w:pPr>
      <w:r>
        <w:rPr>
          <w:rFonts w:ascii="Times New Roman" w:cs="Times New Roman"/>
          <w:b/>
          <w:bCs/>
        </w:rPr>
        <w:t>植被覆盖度分布特征</w:t>
      </w:r>
    </w:p>
    <w:p>
      <w:pPr>
        <w:pStyle w:val="112"/>
        <w:adjustRightInd w:val="0"/>
        <w:snapToGrid w:val="0"/>
        <w:ind w:firstLine="480"/>
      </w:pPr>
      <w:r>
        <w:t>根据遥感解译结果，参照《生态环境状况评价技术规范》（HJ192-2015，2015-03-13）、《土壤侵蚀分类分级标准》（SL190-2007，2008-01-04），评价区植被覆盖度划分为高覆盖度（&gt;</w:t>
      </w:r>
      <w:r>
        <w:rPr>
          <w:rFonts w:hint="eastAsia"/>
        </w:rPr>
        <w:t>6</w:t>
      </w:r>
      <w:r>
        <w:t>0%）、中覆盖度（</w:t>
      </w:r>
      <w:r>
        <w:rPr>
          <w:rFonts w:hint="eastAsia"/>
        </w:rPr>
        <w:t>45</w:t>
      </w:r>
      <w:r>
        <w:t>%～</w:t>
      </w:r>
      <w:r>
        <w:rPr>
          <w:rFonts w:hint="eastAsia"/>
        </w:rPr>
        <w:t>6</w:t>
      </w:r>
      <w:r>
        <w:t>0%）、中</w:t>
      </w:r>
      <w:r>
        <w:rPr>
          <w:rFonts w:hint="eastAsia"/>
        </w:rPr>
        <w:t>低</w:t>
      </w:r>
      <w:r>
        <w:t>盖度（30%～</w:t>
      </w:r>
      <w:r>
        <w:rPr>
          <w:rFonts w:hint="eastAsia"/>
        </w:rPr>
        <w:t>45</w:t>
      </w:r>
      <w:r>
        <w:t>%）</w:t>
      </w:r>
      <w:r>
        <w:rPr>
          <w:rFonts w:hint="eastAsia"/>
        </w:rPr>
        <w:t>、低</w:t>
      </w:r>
      <w:r>
        <w:t>覆盖度（</w:t>
      </w:r>
      <w:r>
        <w:rPr>
          <w:rFonts w:hint="eastAsia"/>
        </w:rPr>
        <w:t>1</w:t>
      </w:r>
      <w:r>
        <w:t>0%～</w:t>
      </w:r>
      <w:r>
        <w:rPr>
          <w:rFonts w:hint="eastAsia"/>
        </w:rPr>
        <w:t>30</w:t>
      </w:r>
      <w:r>
        <w:t>%）</w:t>
      </w:r>
      <w:r>
        <w:rPr>
          <w:rFonts w:hint="eastAsia"/>
        </w:rPr>
        <w:t>、裸地（0-10%）五</w:t>
      </w:r>
      <w:r>
        <w:t>个级别，栽培植被不分等级</w:t>
      </w:r>
      <w:bookmarkStart w:id="420" w:name="_Toc25682918"/>
      <w:r>
        <w:t>，植被覆盖度分布特征及解译结果</w:t>
      </w:r>
      <w:bookmarkEnd w:id="420"/>
      <w:r>
        <w:t>见下表。</w:t>
      </w:r>
    </w:p>
    <w:p>
      <w:pPr>
        <w:topLinePunct w:val="0"/>
        <w:autoSpaceDE w:val="0"/>
        <w:autoSpaceDN w:val="0"/>
        <w:spacing w:beforeLines="50" w:line="240" w:lineRule="auto"/>
        <w:ind w:firstLine="0" w:firstLineChars="0"/>
        <w:jc w:val="center"/>
        <w:rPr>
          <w:rFonts w:ascii="Times New Roman" w:cs="Times New Roman"/>
          <w:b/>
          <w:sz w:val="21"/>
        </w:rPr>
      </w:pPr>
      <w:r>
        <w:rPr>
          <w:rFonts w:ascii="Times New Roman" w:cs="Times New Roman"/>
          <w:b/>
          <w:sz w:val="21"/>
        </w:rPr>
        <w:t>表</w:t>
      </w:r>
      <w:r>
        <w:rPr>
          <w:rFonts w:hint="eastAsia" w:ascii="Times New Roman" w:cs="Times New Roman"/>
          <w:b/>
          <w:sz w:val="21"/>
        </w:rPr>
        <w:t>5</w:t>
      </w:r>
      <w:r>
        <w:rPr>
          <w:rFonts w:ascii="Times New Roman" w:cs="Times New Roman"/>
          <w:b/>
          <w:sz w:val="21"/>
        </w:rPr>
        <w:t>.</w:t>
      </w:r>
      <w:r>
        <w:rPr>
          <w:rFonts w:hint="eastAsia" w:ascii="Times New Roman" w:cs="Times New Roman"/>
          <w:b/>
          <w:sz w:val="21"/>
        </w:rPr>
        <w:t>2</w:t>
      </w:r>
      <w:r>
        <w:rPr>
          <w:rFonts w:ascii="Times New Roman" w:cs="Times New Roman"/>
          <w:b/>
          <w:sz w:val="21"/>
        </w:rPr>
        <w:t>-7 植被覆盖度分布面积统计表</w:t>
      </w:r>
    </w:p>
    <w:tbl>
      <w:tblPr>
        <w:tblStyle w:val="5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4"/>
        <w:gridCol w:w="2432"/>
        <w:gridCol w:w="2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5" w:type="pct"/>
            <w:vMerge w:val="restart"/>
            <w:tcBorders>
              <w:top w:val="single" w:color="auto" w:sz="12" w:space="0"/>
              <w:left w:val="nil"/>
              <w:bottom w:val="single" w:color="auto" w:sz="4" w:space="0"/>
              <w:right w:val="single" w:color="auto" w:sz="4" w:space="0"/>
            </w:tcBorders>
            <w:vAlign w:val="center"/>
          </w:tcPr>
          <w:p>
            <w:pPr>
              <w:adjustRightInd/>
              <w:spacing w:line="240" w:lineRule="auto"/>
              <w:ind w:firstLine="422"/>
              <w:jc w:val="center"/>
              <w:textAlignment w:val="baseline"/>
              <w:rPr>
                <w:rFonts w:ascii="Times New Roman" w:cs="Times New Roman"/>
                <w:kern w:val="2"/>
                <w:sz w:val="21"/>
                <w:szCs w:val="21"/>
              </w:rPr>
            </w:pPr>
            <w:r>
              <w:rPr>
                <w:rFonts w:ascii="Times New Roman" w:cs="Times New Roman"/>
                <w:b/>
                <w:bCs/>
                <w:kern w:val="2"/>
                <w:sz w:val="21"/>
                <w:szCs w:val="21"/>
              </w:rPr>
              <w:t>植被覆盖度类型</w:t>
            </w:r>
          </w:p>
        </w:tc>
        <w:tc>
          <w:tcPr>
            <w:tcW w:w="2915" w:type="pct"/>
            <w:gridSpan w:val="2"/>
            <w:tcBorders>
              <w:top w:val="single" w:color="auto" w:sz="12" w:space="0"/>
              <w:left w:val="single" w:color="auto" w:sz="4" w:space="0"/>
              <w:bottom w:val="single" w:color="auto" w:sz="4" w:space="0"/>
              <w:right w:val="nil"/>
            </w:tcBorders>
            <w:vAlign w:val="center"/>
          </w:tcPr>
          <w:p>
            <w:pPr>
              <w:widowControl/>
              <w:topLinePunct w:val="0"/>
              <w:snapToGrid w:val="0"/>
              <w:spacing w:before="40" w:after="40" w:line="240" w:lineRule="auto"/>
              <w:ind w:firstLine="0" w:firstLineChars="0"/>
              <w:jc w:val="center"/>
              <w:rPr>
                <w:rFonts w:ascii="Times New Roman" w:cs="Times New Roman"/>
                <w:kern w:val="2"/>
                <w:sz w:val="21"/>
                <w:szCs w:val="21"/>
              </w:rPr>
            </w:pPr>
            <w:r>
              <w:rPr>
                <w:rFonts w:ascii="Times New Roman" w:cs="Times New Roman"/>
                <w:b/>
                <w:bCs/>
                <w:kern w:val="2"/>
                <w:sz w:val="21"/>
                <w:szCs w:val="21"/>
              </w:rPr>
              <w:t>评价区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85" w:type="pct"/>
            <w:vMerge w:val="continue"/>
            <w:tcBorders>
              <w:top w:val="single" w:color="auto" w:sz="4" w:space="0"/>
              <w:left w:val="nil"/>
              <w:bottom w:val="single" w:color="auto" w:sz="4" w:space="0"/>
              <w:right w:val="single" w:color="auto" w:sz="4" w:space="0"/>
            </w:tcBorders>
            <w:vAlign w:val="center"/>
          </w:tcPr>
          <w:p>
            <w:pPr>
              <w:adjustRightInd/>
              <w:spacing w:line="240" w:lineRule="auto"/>
              <w:ind w:firstLine="420"/>
              <w:jc w:val="center"/>
              <w:textAlignment w:val="baseline"/>
              <w:rPr>
                <w:rFonts w:ascii="Times New Roman" w:cs="Times New Roman"/>
                <w:kern w:val="2"/>
                <w:sz w:val="21"/>
                <w:szCs w:val="21"/>
              </w:rPr>
            </w:pPr>
          </w:p>
        </w:tc>
        <w:tc>
          <w:tcPr>
            <w:tcW w:w="1427"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ind w:firstLine="422"/>
              <w:jc w:val="center"/>
              <w:textAlignment w:val="baseline"/>
              <w:rPr>
                <w:rFonts w:ascii="Times New Roman" w:cs="Times New Roman"/>
                <w:b/>
                <w:bCs/>
                <w:kern w:val="2"/>
                <w:sz w:val="21"/>
                <w:szCs w:val="21"/>
              </w:rPr>
            </w:pPr>
            <w:r>
              <w:rPr>
                <w:rFonts w:ascii="Times New Roman" w:cs="Times New Roman"/>
                <w:b/>
                <w:bCs/>
                <w:kern w:val="2"/>
                <w:sz w:val="21"/>
                <w:szCs w:val="21"/>
              </w:rPr>
              <w:t>面积（hm</w:t>
            </w:r>
            <w:r>
              <w:rPr>
                <w:rFonts w:ascii="Times New Roman" w:cs="Times New Roman"/>
                <w:b/>
                <w:bCs/>
                <w:kern w:val="2"/>
                <w:sz w:val="21"/>
                <w:szCs w:val="21"/>
                <w:vertAlign w:val="superscript"/>
              </w:rPr>
              <w:t>2</w:t>
            </w:r>
            <w:r>
              <w:rPr>
                <w:rFonts w:ascii="Times New Roman" w:cs="Times New Roman"/>
                <w:b/>
                <w:bCs/>
                <w:kern w:val="2"/>
                <w:sz w:val="21"/>
                <w:szCs w:val="21"/>
              </w:rPr>
              <w:t>）</w:t>
            </w:r>
          </w:p>
        </w:tc>
        <w:tc>
          <w:tcPr>
            <w:tcW w:w="1488" w:type="pct"/>
            <w:tcBorders>
              <w:top w:val="single" w:color="auto" w:sz="4" w:space="0"/>
              <w:left w:val="single" w:color="auto" w:sz="4" w:space="0"/>
              <w:bottom w:val="single" w:color="auto" w:sz="4" w:space="0"/>
              <w:right w:val="nil"/>
            </w:tcBorders>
            <w:vAlign w:val="center"/>
          </w:tcPr>
          <w:p>
            <w:pPr>
              <w:adjustRightInd/>
              <w:spacing w:line="240" w:lineRule="auto"/>
              <w:ind w:firstLine="422"/>
              <w:jc w:val="center"/>
              <w:textAlignment w:val="baseline"/>
              <w:rPr>
                <w:rFonts w:ascii="Times New Roman" w:cs="Times New Roman"/>
                <w:b/>
                <w:bCs/>
                <w:kern w:val="2"/>
                <w:sz w:val="21"/>
                <w:szCs w:val="21"/>
              </w:rPr>
            </w:pPr>
            <w:r>
              <w:rPr>
                <w:rFonts w:ascii="Times New Roman" w:cs="Times New Roman"/>
                <w:b/>
                <w:bCs/>
                <w:kern w:val="2"/>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085" w:type="pct"/>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裸地（0-10%）</w:t>
            </w:r>
          </w:p>
        </w:tc>
        <w:tc>
          <w:tcPr>
            <w:tcW w:w="14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46.90 </w:t>
            </w:r>
          </w:p>
        </w:tc>
        <w:tc>
          <w:tcPr>
            <w:tcW w:w="1488"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3.73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5" w:type="pct"/>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低覆盖（10-30%）</w:t>
            </w:r>
          </w:p>
        </w:tc>
        <w:tc>
          <w:tcPr>
            <w:tcW w:w="14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33.72 </w:t>
            </w:r>
          </w:p>
        </w:tc>
        <w:tc>
          <w:tcPr>
            <w:tcW w:w="1488"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2.68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5" w:type="pct"/>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中低覆盖（30-45%）</w:t>
            </w:r>
          </w:p>
        </w:tc>
        <w:tc>
          <w:tcPr>
            <w:tcW w:w="14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110.35 </w:t>
            </w:r>
          </w:p>
        </w:tc>
        <w:tc>
          <w:tcPr>
            <w:tcW w:w="1488"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8.78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5" w:type="pct"/>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sz w:val="21"/>
                <w:szCs w:val="21"/>
              </w:rPr>
            </w:pPr>
            <w:r>
              <w:rPr>
                <w:rFonts w:ascii="Times New Roman" w:cs="Times New Roman"/>
                <w:color w:val="000000"/>
                <w:sz w:val="21"/>
                <w:szCs w:val="21"/>
              </w:rPr>
              <w:t>中覆盖（45-60%）</w:t>
            </w:r>
          </w:p>
        </w:tc>
        <w:tc>
          <w:tcPr>
            <w:tcW w:w="14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361.54 </w:t>
            </w:r>
          </w:p>
        </w:tc>
        <w:tc>
          <w:tcPr>
            <w:tcW w:w="1488"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kern w:val="2"/>
                <w:sz w:val="22"/>
                <w:szCs w:val="22"/>
              </w:rPr>
              <w:t xml:space="preserve">28.76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5" w:type="pct"/>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sz w:val="21"/>
                <w:szCs w:val="21"/>
              </w:rPr>
            </w:pPr>
            <w:r>
              <w:rPr>
                <w:rFonts w:ascii="Times New Roman" w:cs="Times New Roman"/>
                <w:color w:val="000000"/>
                <w:sz w:val="21"/>
                <w:szCs w:val="21"/>
              </w:rPr>
              <w:t>高覆盖（&gt;60%）</w:t>
            </w:r>
          </w:p>
        </w:tc>
        <w:tc>
          <w:tcPr>
            <w:tcW w:w="142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sz w:val="22"/>
                <w:szCs w:val="22"/>
              </w:rPr>
            </w:pPr>
            <w:r>
              <w:rPr>
                <w:rFonts w:ascii="Times New Roman" w:cs="Times New Roman"/>
                <w:color w:val="000000"/>
                <w:kern w:val="2"/>
                <w:sz w:val="22"/>
                <w:szCs w:val="22"/>
              </w:rPr>
              <w:t xml:space="preserve">704.52 </w:t>
            </w:r>
          </w:p>
        </w:tc>
        <w:tc>
          <w:tcPr>
            <w:tcW w:w="1488"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sz w:val="22"/>
                <w:szCs w:val="22"/>
              </w:rPr>
            </w:pPr>
            <w:r>
              <w:rPr>
                <w:rFonts w:ascii="Times New Roman" w:cs="Times New Roman"/>
                <w:color w:val="000000"/>
                <w:kern w:val="2"/>
                <w:sz w:val="22"/>
                <w:szCs w:val="22"/>
              </w:rPr>
              <w:t xml:space="preserve">56.05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085" w:type="pct"/>
            <w:tcBorders>
              <w:top w:val="single" w:color="auto" w:sz="4" w:space="0"/>
              <w:left w:val="nil"/>
              <w:bottom w:val="single" w:color="auto" w:sz="12"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sz w:val="21"/>
                <w:szCs w:val="21"/>
              </w:rPr>
            </w:pPr>
            <w:r>
              <w:rPr>
                <w:rFonts w:ascii="Times New Roman" w:cs="Times New Roman"/>
                <w:color w:val="000000"/>
                <w:sz w:val="21"/>
                <w:szCs w:val="21"/>
              </w:rPr>
              <w:t>合计</w:t>
            </w:r>
          </w:p>
        </w:tc>
        <w:tc>
          <w:tcPr>
            <w:tcW w:w="1427" w:type="pct"/>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sz w:val="22"/>
                <w:szCs w:val="22"/>
              </w:rPr>
              <w:t>1257.02</w:t>
            </w:r>
          </w:p>
        </w:tc>
        <w:tc>
          <w:tcPr>
            <w:tcW w:w="1488" w:type="pct"/>
            <w:tcBorders>
              <w:top w:val="single" w:color="auto" w:sz="4" w:space="0"/>
              <w:left w:val="single" w:color="auto" w:sz="4" w:space="0"/>
              <w:bottom w:val="single" w:color="auto" w:sz="12" w:space="0"/>
              <w:right w:val="nil"/>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2"/>
                <w:szCs w:val="22"/>
              </w:rPr>
            </w:pPr>
            <w:r>
              <w:rPr>
                <w:rFonts w:ascii="Times New Roman" w:cs="Times New Roman"/>
                <w:color w:val="000000"/>
                <w:sz w:val="22"/>
                <w:szCs w:val="22"/>
              </w:rPr>
              <w:t>100.00</w:t>
            </w:r>
          </w:p>
        </w:tc>
      </w:tr>
    </w:tbl>
    <w:p>
      <w:pPr>
        <w:pStyle w:val="112"/>
        <w:ind w:firstLine="480"/>
      </w:pPr>
      <w:r>
        <w:rPr>
          <w:rFonts w:hint="eastAsia"/>
        </w:rPr>
        <w:t>项目区植被总体覆盖度较高。</w:t>
      </w:r>
      <w:r>
        <w:t>从解译结果看，评价区范围内，高覆盖度植被主要分布</w:t>
      </w:r>
      <w:r>
        <w:rPr>
          <w:rFonts w:hint="eastAsia"/>
        </w:rPr>
        <w:t>在针叶林及阔叶林区</w:t>
      </w:r>
      <w:r>
        <w:t>，</w:t>
      </w:r>
      <w:r>
        <w:rPr>
          <w:rFonts w:hint="eastAsia"/>
        </w:rPr>
        <w:t>群落多为乔灌草三层，综合覆盖度较高；</w:t>
      </w:r>
      <w:r>
        <w:t>中高覆盖度植被</w:t>
      </w:r>
      <w:r>
        <w:rPr>
          <w:rFonts w:hint="eastAsia"/>
        </w:rPr>
        <w:t>主要为稀疏乔木林及灌丛植被分布区，群落结构多为灌草两层；中覆盖度多为草丛植被分布区。</w:t>
      </w:r>
    </w:p>
    <w:p>
      <w:pPr>
        <w:pStyle w:val="4"/>
        <w:rPr>
          <w:rFonts w:eastAsia="宋体"/>
        </w:rPr>
      </w:pPr>
      <w:r>
        <w:rPr>
          <w:rFonts w:eastAsia="宋体"/>
        </w:rPr>
        <w:t>5.2.3</w:t>
      </w:r>
      <w:r>
        <w:rPr>
          <w:rFonts w:eastAsia="宋体"/>
          <w:bCs/>
        </w:rPr>
        <w:t>项目区域</w:t>
      </w:r>
      <w:r>
        <w:rPr>
          <w:rFonts w:eastAsia="宋体"/>
        </w:rPr>
        <w:t>植被概况</w:t>
      </w:r>
      <w:bookmarkEnd w:id="418"/>
    </w:p>
    <w:p>
      <w:pPr>
        <w:snapToGrid w:val="0"/>
        <w:ind w:firstLine="480"/>
        <w:rPr>
          <w:rFonts w:ascii="Times New Roman" w:cs="Times New Roman"/>
        </w:rPr>
      </w:pPr>
      <w:r>
        <w:rPr>
          <w:rFonts w:ascii="Times New Roman" w:cs="Times New Roman"/>
        </w:rPr>
        <w:t>项目区域位于四川省达州市宣汉县。根据《四川植被》中关于四川省内植被区划的描述，项目所在区域属IA3(6)川北深丘植被小区。</w:t>
      </w:r>
    </w:p>
    <w:p>
      <w:pPr>
        <w:snapToGrid w:val="0"/>
        <w:ind w:firstLine="480"/>
        <w:rPr>
          <w:rFonts w:ascii="Times New Roman" w:cs="Times New Roman"/>
        </w:rPr>
      </w:pPr>
      <w:r>
        <w:rPr>
          <w:rFonts w:ascii="Times New Roman" w:cs="Times New Roman"/>
        </w:rPr>
        <w:t>该小区位于盆地中部北侧，是大巴山地区向盆地内部方山丘陵过渡的地带，境内主要属单斜丘陵，海拔高度一般为800m，相对高度100~200m，地层多属白垩纪紫色砂岩与页岩互层，在此母质上发育的为紫色土，海拔1000m以上地区以黄壤为主。年平均温16~17</w:t>
      </w:r>
      <w:r>
        <w:rPr>
          <w:rFonts w:hint="eastAsia" w:hAnsi="宋体"/>
        </w:rPr>
        <w:t>℃</w:t>
      </w:r>
      <w:r>
        <w:rPr>
          <w:rFonts w:ascii="Times New Roman" w:cs="Times New Roman"/>
        </w:rPr>
        <w:t>，1月平均温5~6</w:t>
      </w:r>
      <w:r>
        <w:rPr>
          <w:rFonts w:hint="eastAsia" w:hAnsi="宋体"/>
        </w:rPr>
        <w:t>℃</w:t>
      </w:r>
      <w:r>
        <w:rPr>
          <w:rFonts w:ascii="Times New Roman" w:cs="Times New Roman"/>
        </w:rPr>
        <w:t>，比川中方山丘陵区气温低，而年温差较大。年降水量在1000毫米以上，比川中方山丘陵区多，但季节分配不均匀，雾日较少，无霜期约为290天，有春早秋千、日照时数较多的特点。</w:t>
      </w:r>
    </w:p>
    <w:p>
      <w:pPr>
        <w:snapToGrid w:val="0"/>
        <w:ind w:firstLine="480"/>
        <w:rPr>
          <w:rFonts w:ascii="Times New Roman" w:cs="Times New Roman"/>
        </w:rPr>
      </w:pPr>
      <w:r>
        <w:rPr>
          <w:rFonts w:ascii="Times New Roman" w:cs="Times New Roman"/>
        </w:rPr>
        <w:t>自然植被主要为马尾松林、柏木林、栎类灌丛、亚热带草丛及其各种过渡类型。在个别海拔1200m左右的地方有石栎林、刺叶栎林、青㭎林。马尾松林多分布在深丘顶部砂页岩发育的黄壤地段上，灌木有米饭花、映山红、米碎花、铁仔，而在干燥生境下，则以映山红、火棘、栎类为主。柏木林多分布在深丘下部的紫色页岩地段上，形成疏林，混有化香、黄连木、油桐。栎类灌丛多分布在山项，由</w:t>
      </w:r>
      <w:r>
        <w:rPr>
          <w:rFonts w:hint="eastAsia" w:ascii="Times New Roman" w:cs="Times New Roman"/>
        </w:rPr>
        <w:t>麻栎、青冈</w:t>
      </w:r>
      <w:r>
        <w:rPr>
          <w:rFonts w:ascii="Times New Roman" w:cs="Times New Roman"/>
        </w:rPr>
        <w:t>、烟管荚蓬、火棘、蔷薇、盐肤木、映山红、铁仔、毛黄栌组成，为马尾松林和落叶栎林砍伐后形成的灌丛类型。柏木林再度砍伐后形成以黄茅、白茅、香茅为主的亚热带草丛，并散生着黄荆、牡荆、马桑、铁仔、短柄枹栎等植物。另外，本小区各地还有黑壳楠、红果钓樟、云南樟、宜昌润楠、山合欢、灯台树等植物。</w:t>
      </w:r>
    </w:p>
    <w:p>
      <w:pPr>
        <w:topLinePunct w:val="0"/>
        <w:snapToGrid w:val="0"/>
        <w:ind w:firstLine="480"/>
        <w:rPr>
          <w:rFonts w:ascii="Times New Roman" w:cs="Times New Roman"/>
          <w:kern w:val="2"/>
        </w:rPr>
      </w:pPr>
      <w:r>
        <w:rPr>
          <w:rFonts w:ascii="Times New Roman" w:cs="Times New Roman"/>
        </w:rPr>
        <w:t>栽培植被中大春作物本田以中稻为主，早地以</w:t>
      </w:r>
      <w:r>
        <w:rPr>
          <w:rFonts w:hint="eastAsia" w:ascii="Times New Roman" w:cs="Times New Roman"/>
        </w:rPr>
        <w:t>玉米、红苕、棉花、花生、小麦、马铃薯、豌豆</w:t>
      </w:r>
      <w:r>
        <w:rPr>
          <w:rFonts w:ascii="Times New Roman" w:cs="Times New Roman"/>
        </w:rPr>
        <w:t>为主，小春作物以小麦、豌豆为主，深丘上部种有马铃薯，多为一年二熟类型。由于地势较高，雨量分配不均匀，伏旱严重，农业布局必须因地制宜。有水利保证的田应栽水稻，主攻中稻，没有水利保证的田，种植旱粮，实行小麦、玉米、红苕连续套种。这样可以提高复种指数，做到高产稳产。在“以粮为纲，全面发展”方针指导下，要因地制宜地发展棉花、花生等经济作物。经济林水中梨、核桃产量大、质量好、栽培历史长，如苍溪雪梨和薄壳核桃都很著名，宜于大量发展。另外桑、油桐也是本小区重要经济林木，发展潜力很大。丘陵荒山要开展植树造林，种植黄荆、马桑、紫穗槐、马尾松、柏木等，增加植被覆盖率</w:t>
      </w:r>
      <w:r>
        <w:rPr>
          <w:rFonts w:ascii="Times New Roman" w:cs="Times New Roman"/>
          <w:kern w:val="2"/>
        </w:rPr>
        <w:t>。</w:t>
      </w:r>
    </w:p>
    <w:p>
      <w:pPr>
        <w:topLinePunct w:val="0"/>
        <w:snapToGrid w:val="0"/>
        <w:ind w:firstLine="482"/>
        <w:rPr>
          <w:rFonts w:ascii="Times New Roman" w:cs="Times New Roman"/>
          <w:b/>
          <w:bCs/>
          <w:kern w:val="2"/>
        </w:rPr>
      </w:pPr>
      <w:r>
        <w:rPr>
          <w:rFonts w:ascii="Times New Roman" w:cs="Times New Roman"/>
          <w:b/>
          <w:bCs/>
          <w:kern w:val="2"/>
        </w:rPr>
        <w:t>（2）维管束植物组成情况</w:t>
      </w:r>
    </w:p>
    <w:p>
      <w:pPr>
        <w:pStyle w:val="112"/>
        <w:ind w:firstLine="480"/>
      </w:pPr>
      <w:r>
        <w:rPr>
          <w:kern w:val="2"/>
          <w:szCs w:val="24"/>
        </w:rPr>
        <w:t>经过野外调查，结合标本鉴定和历史资料的查阅，项目区域内维管植物有139科524属925种：其中蕨类植物9科18属31种，裸子植物5科7属9种，被子植物125科499属885种</w:t>
      </w:r>
      <w:r>
        <w:rPr>
          <w:rFonts w:hint="eastAsia"/>
          <w:kern w:val="2"/>
          <w:szCs w:val="24"/>
        </w:rPr>
        <w:t>（</w:t>
      </w:r>
      <w:r>
        <w:rPr>
          <w:kern w:val="2"/>
          <w:szCs w:val="24"/>
        </w:rPr>
        <w:t>蕨类植物采用秦仁昌1978系统，裸子植物采用郑万均1961系统，被子植物采用克朗奎斯特1981系统</w:t>
      </w:r>
      <w:r>
        <w:rPr>
          <w:rFonts w:hint="eastAsia"/>
          <w:kern w:val="2"/>
          <w:szCs w:val="24"/>
        </w:rPr>
        <w:t>）</w:t>
      </w:r>
      <w:r>
        <w:rPr>
          <w:kern w:val="2"/>
          <w:szCs w:val="24"/>
        </w:rPr>
        <w:t>。</w:t>
      </w:r>
    </w:p>
    <w:p>
      <w:pPr>
        <w:topLinePunct w:val="0"/>
        <w:autoSpaceDE w:val="0"/>
        <w:autoSpaceDN w:val="0"/>
        <w:spacing w:line="240" w:lineRule="auto"/>
        <w:ind w:firstLine="0" w:firstLineChars="0"/>
        <w:jc w:val="center"/>
        <w:rPr>
          <w:rFonts w:ascii="Times New Roman" w:cs="Times New Roman"/>
          <w:b/>
          <w:sz w:val="21"/>
        </w:rPr>
      </w:pPr>
      <w:r>
        <w:rPr>
          <w:rFonts w:ascii="Times New Roman" w:cs="Times New Roman"/>
          <w:b/>
          <w:sz w:val="21"/>
        </w:rPr>
        <w:t>表</w:t>
      </w:r>
      <w:r>
        <w:rPr>
          <w:rFonts w:hint="eastAsia" w:ascii="Times New Roman" w:cs="Times New Roman"/>
          <w:b/>
          <w:sz w:val="21"/>
        </w:rPr>
        <w:t>5</w:t>
      </w:r>
      <w:r>
        <w:rPr>
          <w:rFonts w:ascii="Times New Roman" w:cs="Times New Roman"/>
          <w:b/>
          <w:sz w:val="21"/>
        </w:rPr>
        <w:t>.</w:t>
      </w:r>
      <w:r>
        <w:rPr>
          <w:rFonts w:hint="eastAsia" w:ascii="Times New Roman" w:cs="Times New Roman"/>
          <w:b/>
          <w:sz w:val="21"/>
        </w:rPr>
        <w:t>2</w:t>
      </w:r>
      <w:r>
        <w:rPr>
          <w:rFonts w:ascii="Times New Roman" w:cs="Times New Roman"/>
          <w:b/>
          <w:sz w:val="21"/>
        </w:rPr>
        <w:t>-8 评价区维管植物科属种统计表</w:t>
      </w:r>
    </w:p>
    <w:p>
      <w:pPr>
        <w:topLinePunct w:val="0"/>
        <w:adjustRightInd/>
        <w:spacing w:line="129" w:lineRule="exact"/>
        <w:ind w:firstLine="0" w:firstLineChars="0"/>
        <w:rPr>
          <w:rFonts w:ascii="Times New Roman" w:cs="Times New Roman"/>
          <w:kern w:val="2"/>
          <w:sz w:val="21"/>
        </w:rPr>
      </w:pPr>
    </w:p>
    <w:tbl>
      <w:tblPr>
        <w:tblStyle w:val="57"/>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726"/>
        <w:gridCol w:w="1125"/>
        <w:gridCol w:w="898"/>
        <w:gridCol w:w="1255"/>
        <w:gridCol w:w="889"/>
        <w:gridCol w:w="1288"/>
        <w:gridCol w:w="889"/>
        <w:gridCol w:w="123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0" w:hRule="atLeast"/>
          <w:jc w:val="center"/>
        </w:trPr>
        <w:tc>
          <w:tcPr>
            <w:tcW w:w="1808" w:type="dxa"/>
            <w:gridSpan w:val="2"/>
          </w:tcPr>
          <w:p>
            <w:pPr>
              <w:topLinePunct w:val="0"/>
              <w:adjustRightInd/>
              <w:spacing w:before="34" w:line="216" w:lineRule="auto"/>
              <w:ind w:left="870" w:firstLine="0" w:firstLineChars="0"/>
              <w:rPr>
                <w:rFonts w:ascii="Times New Roman" w:cs="Times New Roman"/>
                <w:kern w:val="2"/>
                <w:sz w:val="21"/>
                <w:szCs w:val="21"/>
              </w:rPr>
            </w:pPr>
            <w:r>
              <w:rPr>
                <w:rFonts w:ascii="Times New Roman" w:cs="Times New Roman"/>
                <w:spacing w:val="-8"/>
                <w:kern w:val="2"/>
                <w:sz w:val="21"/>
                <w:szCs w:val="21"/>
              </w:rPr>
              <w:t>门类</w:t>
            </w:r>
          </w:p>
        </w:tc>
        <w:tc>
          <w:tcPr>
            <w:tcW w:w="877" w:type="dxa"/>
          </w:tcPr>
          <w:p>
            <w:pPr>
              <w:topLinePunct w:val="0"/>
              <w:adjustRightInd/>
              <w:spacing w:before="34" w:line="216" w:lineRule="auto"/>
              <w:ind w:left="202" w:firstLine="0" w:firstLineChars="0"/>
              <w:rPr>
                <w:rFonts w:ascii="Times New Roman" w:cs="Times New Roman"/>
                <w:kern w:val="2"/>
                <w:sz w:val="21"/>
                <w:szCs w:val="21"/>
              </w:rPr>
            </w:pPr>
            <w:r>
              <w:rPr>
                <w:rFonts w:ascii="Times New Roman" w:cs="Times New Roman"/>
                <w:spacing w:val="-3"/>
                <w:kern w:val="2"/>
                <w:sz w:val="21"/>
                <w:szCs w:val="21"/>
              </w:rPr>
              <w:t>科</w:t>
            </w:r>
            <w:r>
              <w:rPr>
                <w:rFonts w:ascii="Times New Roman" w:cs="Times New Roman"/>
                <w:spacing w:val="-2"/>
                <w:kern w:val="2"/>
                <w:sz w:val="21"/>
                <w:szCs w:val="21"/>
              </w:rPr>
              <w:t>数</w:t>
            </w:r>
          </w:p>
        </w:tc>
        <w:tc>
          <w:tcPr>
            <w:tcW w:w="1226" w:type="dxa"/>
          </w:tcPr>
          <w:p>
            <w:pPr>
              <w:topLinePunct w:val="0"/>
              <w:adjustRightInd/>
              <w:spacing w:before="34" w:line="216" w:lineRule="auto"/>
              <w:ind w:left="146" w:firstLine="0" w:firstLineChars="0"/>
              <w:rPr>
                <w:rFonts w:ascii="Times New Roman" w:cs="Times New Roman"/>
                <w:kern w:val="2"/>
                <w:sz w:val="21"/>
                <w:szCs w:val="21"/>
              </w:rPr>
            </w:pPr>
            <w:r>
              <w:rPr>
                <w:rFonts w:ascii="Times New Roman" w:cs="Times New Roman"/>
                <w:spacing w:val="14"/>
                <w:kern w:val="2"/>
                <w:sz w:val="21"/>
                <w:szCs w:val="21"/>
              </w:rPr>
              <w:t>占</w:t>
            </w:r>
            <w:r>
              <w:rPr>
                <w:rFonts w:ascii="Times New Roman" w:cs="Times New Roman"/>
                <w:spacing w:val="12"/>
                <w:kern w:val="2"/>
                <w:sz w:val="21"/>
                <w:szCs w:val="21"/>
              </w:rPr>
              <w:t>比(</w:t>
            </w:r>
            <w:r>
              <w:rPr>
                <w:rFonts w:ascii="Times New Roman" w:eastAsia="Times New Roman" w:cs="Times New Roman"/>
                <w:spacing w:val="12"/>
                <w:kern w:val="2"/>
                <w:sz w:val="21"/>
                <w:szCs w:val="21"/>
              </w:rPr>
              <w:t>%</w:t>
            </w:r>
            <w:r>
              <w:rPr>
                <w:rFonts w:ascii="Times New Roman" w:cs="Times New Roman"/>
                <w:spacing w:val="12"/>
                <w:kern w:val="2"/>
                <w:sz w:val="21"/>
                <w:szCs w:val="21"/>
              </w:rPr>
              <w:t>)</w:t>
            </w:r>
          </w:p>
        </w:tc>
        <w:tc>
          <w:tcPr>
            <w:tcW w:w="868" w:type="dxa"/>
          </w:tcPr>
          <w:p>
            <w:pPr>
              <w:topLinePunct w:val="0"/>
              <w:adjustRightInd/>
              <w:spacing w:before="34" w:line="216" w:lineRule="auto"/>
              <w:ind w:left="202" w:firstLine="0" w:firstLineChars="0"/>
              <w:rPr>
                <w:rFonts w:ascii="Times New Roman" w:cs="Times New Roman"/>
                <w:kern w:val="2"/>
                <w:sz w:val="21"/>
                <w:szCs w:val="21"/>
              </w:rPr>
            </w:pPr>
            <w:r>
              <w:rPr>
                <w:rFonts w:ascii="Times New Roman" w:cs="Times New Roman"/>
                <w:spacing w:val="-3"/>
                <w:kern w:val="2"/>
                <w:sz w:val="21"/>
                <w:szCs w:val="21"/>
              </w:rPr>
              <w:t>属</w:t>
            </w:r>
            <w:r>
              <w:rPr>
                <w:rFonts w:ascii="Times New Roman" w:cs="Times New Roman"/>
                <w:spacing w:val="-2"/>
                <w:kern w:val="2"/>
                <w:sz w:val="21"/>
                <w:szCs w:val="21"/>
              </w:rPr>
              <w:t>数</w:t>
            </w:r>
          </w:p>
        </w:tc>
        <w:tc>
          <w:tcPr>
            <w:tcW w:w="1258" w:type="dxa"/>
          </w:tcPr>
          <w:p>
            <w:pPr>
              <w:topLinePunct w:val="0"/>
              <w:adjustRightInd/>
              <w:spacing w:before="34" w:line="216" w:lineRule="auto"/>
              <w:ind w:left="148" w:firstLine="0" w:firstLineChars="0"/>
              <w:rPr>
                <w:rFonts w:ascii="Times New Roman" w:cs="Times New Roman"/>
                <w:kern w:val="2"/>
                <w:sz w:val="21"/>
                <w:szCs w:val="21"/>
              </w:rPr>
            </w:pPr>
            <w:r>
              <w:rPr>
                <w:rFonts w:ascii="Times New Roman" w:cs="Times New Roman"/>
                <w:spacing w:val="14"/>
                <w:kern w:val="2"/>
                <w:sz w:val="21"/>
                <w:szCs w:val="21"/>
              </w:rPr>
              <w:t>占</w:t>
            </w:r>
            <w:r>
              <w:rPr>
                <w:rFonts w:ascii="Times New Roman" w:cs="Times New Roman"/>
                <w:spacing w:val="12"/>
                <w:kern w:val="2"/>
                <w:sz w:val="21"/>
                <w:szCs w:val="21"/>
              </w:rPr>
              <w:t>比(</w:t>
            </w:r>
            <w:r>
              <w:rPr>
                <w:rFonts w:ascii="Times New Roman" w:eastAsia="Times New Roman" w:cs="Times New Roman"/>
                <w:spacing w:val="12"/>
                <w:kern w:val="2"/>
                <w:sz w:val="21"/>
                <w:szCs w:val="21"/>
              </w:rPr>
              <w:t>%</w:t>
            </w:r>
            <w:r>
              <w:rPr>
                <w:rFonts w:ascii="Times New Roman" w:cs="Times New Roman"/>
                <w:spacing w:val="12"/>
                <w:kern w:val="2"/>
                <w:sz w:val="21"/>
                <w:szCs w:val="21"/>
              </w:rPr>
              <w:t>)</w:t>
            </w:r>
          </w:p>
        </w:tc>
        <w:tc>
          <w:tcPr>
            <w:tcW w:w="868" w:type="dxa"/>
          </w:tcPr>
          <w:p>
            <w:pPr>
              <w:topLinePunct w:val="0"/>
              <w:adjustRightInd/>
              <w:spacing w:before="34" w:line="216" w:lineRule="auto"/>
              <w:ind w:left="201" w:firstLine="0" w:firstLineChars="0"/>
              <w:rPr>
                <w:rFonts w:ascii="Times New Roman" w:cs="Times New Roman"/>
                <w:kern w:val="2"/>
                <w:sz w:val="21"/>
                <w:szCs w:val="21"/>
              </w:rPr>
            </w:pPr>
            <w:r>
              <w:rPr>
                <w:rFonts w:ascii="Times New Roman" w:cs="Times New Roman"/>
                <w:spacing w:val="-3"/>
                <w:kern w:val="2"/>
                <w:sz w:val="21"/>
                <w:szCs w:val="21"/>
              </w:rPr>
              <w:t>种</w:t>
            </w:r>
            <w:r>
              <w:rPr>
                <w:rFonts w:ascii="Times New Roman" w:cs="Times New Roman"/>
                <w:spacing w:val="-2"/>
                <w:kern w:val="2"/>
                <w:sz w:val="21"/>
                <w:szCs w:val="21"/>
              </w:rPr>
              <w:t>数</w:t>
            </w:r>
          </w:p>
        </w:tc>
        <w:tc>
          <w:tcPr>
            <w:tcW w:w="1207" w:type="dxa"/>
          </w:tcPr>
          <w:p>
            <w:pPr>
              <w:topLinePunct w:val="0"/>
              <w:adjustRightInd/>
              <w:spacing w:before="34" w:line="216" w:lineRule="auto"/>
              <w:ind w:left="149" w:firstLine="0" w:firstLineChars="0"/>
              <w:rPr>
                <w:rFonts w:ascii="Times New Roman" w:cs="Times New Roman"/>
                <w:kern w:val="2"/>
                <w:sz w:val="21"/>
                <w:szCs w:val="21"/>
              </w:rPr>
            </w:pPr>
            <w:r>
              <w:rPr>
                <w:rFonts w:ascii="Times New Roman" w:cs="Times New Roman"/>
                <w:spacing w:val="14"/>
                <w:kern w:val="2"/>
                <w:sz w:val="21"/>
                <w:szCs w:val="21"/>
              </w:rPr>
              <w:t>占</w:t>
            </w:r>
            <w:r>
              <w:rPr>
                <w:rFonts w:ascii="Times New Roman" w:cs="Times New Roman"/>
                <w:spacing w:val="12"/>
                <w:kern w:val="2"/>
                <w:sz w:val="21"/>
                <w:szCs w:val="21"/>
              </w:rPr>
              <w:t>比(</w:t>
            </w:r>
            <w:r>
              <w:rPr>
                <w:rFonts w:ascii="Times New Roman" w:eastAsia="Times New Roman" w:cs="Times New Roman"/>
                <w:spacing w:val="12"/>
                <w:kern w:val="2"/>
                <w:sz w:val="21"/>
                <w:szCs w:val="21"/>
              </w:rPr>
              <w:t>%</w:t>
            </w:r>
            <w:r>
              <w:rPr>
                <w:rFonts w:ascii="Times New Roman" w:cs="Times New Roman"/>
                <w:spacing w:val="12"/>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1808" w:type="dxa"/>
            <w:gridSpan w:val="2"/>
          </w:tcPr>
          <w:p>
            <w:pPr>
              <w:topLinePunct w:val="0"/>
              <w:adjustRightInd/>
              <w:spacing w:before="32" w:line="215" w:lineRule="auto"/>
              <w:ind w:left="637" w:firstLine="0" w:firstLineChars="0"/>
              <w:rPr>
                <w:rFonts w:ascii="Times New Roman" w:cs="Times New Roman"/>
                <w:kern w:val="2"/>
                <w:sz w:val="21"/>
                <w:szCs w:val="21"/>
              </w:rPr>
            </w:pPr>
            <w:r>
              <w:rPr>
                <w:rFonts w:ascii="Times New Roman" w:cs="Times New Roman"/>
                <w:spacing w:val="-2"/>
                <w:kern w:val="2"/>
                <w:sz w:val="21"/>
                <w:szCs w:val="21"/>
              </w:rPr>
              <w:t>蕨类植</w:t>
            </w:r>
            <w:r>
              <w:rPr>
                <w:rFonts w:ascii="Times New Roman" w:cs="Times New Roman"/>
                <w:spacing w:val="-1"/>
                <w:kern w:val="2"/>
                <w:sz w:val="21"/>
                <w:szCs w:val="21"/>
              </w:rPr>
              <w:t>物</w:t>
            </w:r>
          </w:p>
        </w:tc>
        <w:tc>
          <w:tcPr>
            <w:tcW w:w="877" w:type="dxa"/>
          </w:tcPr>
          <w:p>
            <w:pPr>
              <w:topLinePunct w:val="0"/>
              <w:adjustRightInd/>
              <w:spacing w:before="69" w:line="186" w:lineRule="auto"/>
              <w:ind w:left="361" w:firstLine="0" w:firstLineChars="0"/>
              <w:rPr>
                <w:rFonts w:ascii="Times New Roman" w:eastAsia="Times New Roman" w:cs="Times New Roman"/>
                <w:kern w:val="2"/>
                <w:sz w:val="21"/>
                <w:szCs w:val="21"/>
              </w:rPr>
            </w:pPr>
            <w:r>
              <w:rPr>
                <w:rFonts w:ascii="Times New Roman" w:eastAsia="Times New Roman" w:cs="Times New Roman"/>
                <w:kern w:val="2"/>
                <w:sz w:val="21"/>
                <w:szCs w:val="21"/>
              </w:rPr>
              <w:t>9</w:t>
            </w:r>
          </w:p>
        </w:tc>
        <w:tc>
          <w:tcPr>
            <w:tcW w:w="1226" w:type="dxa"/>
          </w:tcPr>
          <w:p>
            <w:pPr>
              <w:topLinePunct w:val="0"/>
              <w:adjustRightInd/>
              <w:spacing w:before="69" w:line="186" w:lineRule="auto"/>
              <w:ind w:left="405" w:firstLine="0" w:firstLineChars="0"/>
              <w:rPr>
                <w:rFonts w:ascii="Times New Roman" w:eastAsia="Times New Roman" w:cs="Times New Roman"/>
                <w:kern w:val="2"/>
                <w:sz w:val="21"/>
                <w:szCs w:val="21"/>
              </w:rPr>
            </w:pPr>
            <w:r>
              <w:rPr>
                <w:rFonts w:ascii="Times New Roman" w:eastAsia="Times New Roman" w:cs="Times New Roman"/>
                <w:spacing w:val="-3"/>
                <w:kern w:val="2"/>
                <w:sz w:val="21"/>
                <w:szCs w:val="21"/>
              </w:rPr>
              <w:t>6</w:t>
            </w:r>
            <w:r>
              <w:rPr>
                <w:rFonts w:ascii="Times New Roman" w:eastAsia="Times New Roman" w:cs="Times New Roman"/>
                <w:spacing w:val="-2"/>
                <w:kern w:val="2"/>
                <w:sz w:val="21"/>
                <w:szCs w:val="21"/>
              </w:rPr>
              <w:t>.47</w:t>
            </w:r>
          </w:p>
        </w:tc>
        <w:tc>
          <w:tcPr>
            <w:tcW w:w="868" w:type="dxa"/>
          </w:tcPr>
          <w:p>
            <w:pPr>
              <w:topLinePunct w:val="0"/>
              <w:adjustRightInd/>
              <w:spacing w:before="69" w:line="186" w:lineRule="auto"/>
              <w:ind w:left="321" w:firstLine="0" w:firstLineChars="0"/>
              <w:rPr>
                <w:rFonts w:ascii="Times New Roman" w:eastAsia="Times New Roman" w:cs="Times New Roman"/>
                <w:kern w:val="2"/>
                <w:sz w:val="21"/>
                <w:szCs w:val="21"/>
              </w:rPr>
            </w:pPr>
            <w:r>
              <w:rPr>
                <w:rFonts w:ascii="Times New Roman" w:eastAsia="Times New Roman" w:cs="Times New Roman"/>
                <w:spacing w:val="-6"/>
                <w:kern w:val="2"/>
                <w:sz w:val="21"/>
                <w:szCs w:val="21"/>
              </w:rPr>
              <w:t>18</w:t>
            </w:r>
          </w:p>
        </w:tc>
        <w:tc>
          <w:tcPr>
            <w:tcW w:w="1258" w:type="dxa"/>
          </w:tcPr>
          <w:p>
            <w:pPr>
              <w:topLinePunct w:val="0"/>
              <w:adjustRightInd/>
              <w:spacing w:before="69" w:line="186" w:lineRule="auto"/>
              <w:ind w:left="423"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3.44</w:t>
            </w:r>
          </w:p>
        </w:tc>
        <w:tc>
          <w:tcPr>
            <w:tcW w:w="868" w:type="dxa"/>
          </w:tcPr>
          <w:p>
            <w:pPr>
              <w:topLinePunct w:val="0"/>
              <w:adjustRightInd/>
              <w:spacing w:before="69" w:line="186" w:lineRule="auto"/>
              <w:ind w:left="306" w:firstLine="0" w:firstLineChars="0"/>
              <w:rPr>
                <w:rFonts w:ascii="Times New Roman" w:eastAsia="Times New Roman" w:cs="Times New Roman"/>
                <w:kern w:val="2"/>
                <w:sz w:val="21"/>
                <w:szCs w:val="21"/>
              </w:rPr>
            </w:pPr>
            <w:r>
              <w:rPr>
                <w:rFonts w:ascii="Times New Roman" w:eastAsia="Times New Roman" w:cs="Times New Roman"/>
                <w:spacing w:val="-3"/>
                <w:kern w:val="2"/>
                <w:sz w:val="21"/>
                <w:szCs w:val="21"/>
              </w:rPr>
              <w:t>3</w:t>
            </w:r>
            <w:r>
              <w:rPr>
                <w:rFonts w:ascii="Times New Roman" w:eastAsia="Times New Roman" w:cs="Times New Roman"/>
                <w:spacing w:val="-2"/>
                <w:kern w:val="2"/>
                <w:sz w:val="21"/>
                <w:szCs w:val="21"/>
              </w:rPr>
              <w:t>1</w:t>
            </w:r>
          </w:p>
        </w:tc>
        <w:tc>
          <w:tcPr>
            <w:tcW w:w="1207" w:type="dxa"/>
          </w:tcPr>
          <w:p>
            <w:pPr>
              <w:topLinePunct w:val="0"/>
              <w:adjustRightInd/>
              <w:spacing w:before="69" w:line="186" w:lineRule="auto"/>
              <w:ind w:left="396"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3.35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709" w:type="dxa"/>
            <w:vMerge w:val="restart"/>
          </w:tcPr>
          <w:p>
            <w:pPr>
              <w:topLinePunct w:val="0"/>
              <w:adjustRightInd/>
              <w:spacing w:before="37" w:line="239" w:lineRule="auto"/>
              <w:ind w:left="216" w:firstLine="0" w:firstLineChars="0"/>
              <w:rPr>
                <w:rFonts w:ascii="Times New Roman" w:cs="Times New Roman"/>
                <w:kern w:val="2"/>
                <w:sz w:val="21"/>
                <w:szCs w:val="21"/>
              </w:rPr>
            </w:pPr>
            <w:r>
              <w:rPr>
                <w:rFonts w:ascii="Times New Roman" w:cs="Times New Roman"/>
                <w:spacing w:val="-3"/>
                <w:kern w:val="2"/>
                <w:sz w:val="21"/>
                <w:szCs w:val="21"/>
              </w:rPr>
              <w:t>种</w:t>
            </w:r>
            <w:r>
              <w:rPr>
                <w:rFonts w:ascii="Times New Roman" w:cs="Times New Roman"/>
                <w:spacing w:val="-2"/>
                <w:kern w:val="2"/>
                <w:sz w:val="21"/>
                <w:szCs w:val="21"/>
              </w:rPr>
              <w:t>子</w:t>
            </w:r>
          </w:p>
          <w:p>
            <w:pPr>
              <w:topLinePunct w:val="0"/>
              <w:adjustRightInd/>
              <w:spacing w:line="217" w:lineRule="auto"/>
              <w:ind w:left="217" w:firstLine="0" w:firstLineChars="0"/>
              <w:rPr>
                <w:rFonts w:ascii="Times New Roman" w:cs="Times New Roman"/>
                <w:kern w:val="2"/>
                <w:sz w:val="21"/>
                <w:szCs w:val="21"/>
              </w:rPr>
            </w:pPr>
            <w:r>
              <w:rPr>
                <w:rFonts w:ascii="Times New Roman" w:cs="Times New Roman"/>
                <w:spacing w:val="-3"/>
                <w:kern w:val="2"/>
                <w:sz w:val="21"/>
                <w:szCs w:val="21"/>
              </w:rPr>
              <w:t>植</w:t>
            </w:r>
            <w:r>
              <w:rPr>
                <w:rFonts w:ascii="Times New Roman" w:cs="Times New Roman"/>
                <w:spacing w:val="-2"/>
                <w:kern w:val="2"/>
                <w:sz w:val="21"/>
                <w:szCs w:val="21"/>
              </w:rPr>
              <w:t>物</w:t>
            </w:r>
          </w:p>
        </w:tc>
        <w:tc>
          <w:tcPr>
            <w:tcW w:w="1099" w:type="dxa"/>
          </w:tcPr>
          <w:p>
            <w:pPr>
              <w:topLinePunct w:val="0"/>
              <w:adjustRightInd/>
              <w:spacing w:before="32" w:line="214" w:lineRule="auto"/>
              <w:ind w:left="183" w:firstLine="0" w:firstLineChars="0"/>
              <w:rPr>
                <w:rFonts w:ascii="Times New Roman" w:cs="Times New Roman"/>
                <w:kern w:val="2"/>
                <w:sz w:val="21"/>
                <w:szCs w:val="21"/>
              </w:rPr>
            </w:pPr>
            <w:r>
              <w:rPr>
                <w:rFonts w:ascii="Times New Roman" w:cs="Times New Roman"/>
                <w:spacing w:val="-2"/>
                <w:kern w:val="2"/>
                <w:sz w:val="21"/>
                <w:szCs w:val="21"/>
              </w:rPr>
              <w:t>裸子植</w:t>
            </w:r>
            <w:r>
              <w:rPr>
                <w:rFonts w:ascii="Times New Roman" w:cs="Times New Roman"/>
                <w:spacing w:val="-1"/>
                <w:kern w:val="2"/>
                <w:sz w:val="21"/>
                <w:szCs w:val="21"/>
              </w:rPr>
              <w:t>物</w:t>
            </w:r>
          </w:p>
        </w:tc>
        <w:tc>
          <w:tcPr>
            <w:tcW w:w="877" w:type="dxa"/>
          </w:tcPr>
          <w:p>
            <w:pPr>
              <w:topLinePunct w:val="0"/>
              <w:adjustRightInd/>
              <w:spacing w:before="73" w:line="183" w:lineRule="auto"/>
              <w:ind w:left="363" w:firstLine="0" w:firstLineChars="0"/>
              <w:rPr>
                <w:rFonts w:ascii="Times New Roman" w:eastAsia="Times New Roman" w:cs="Times New Roman"/>
                <w:kern w:val="2"/>
                <w:sz w:val="21"/>
                <w:szCs w:val="21"/>
              </w:rPr>
            </w:pPr>
            <w:r>
              <w:rPr>
                <w:rFonts w:ascii="Times New Roman" w:eastAsia="Times New Roman" w:cs="Times New Roman"/>
                <w:kern w:val="2"/>
                <w:sz w:val="21"/>
                <w:szCs w:val="21"/>
              </w:rPr>
              <w:t>5</w:t>
            </w:r>
          </w:p>
        </w:tc>
        <w:tc>
          <w:tcPr>
            <w:tcW w:w="1226" w:type="dxa"/>
          </w:tcPr>
          <w:p>
            <w:pPr>
              <w:topLinePunct w:val="0"/>
              <w:adjustRightInd/>
              <w:spacing w:before="70" w:line="186" w:lineRule="auto"/>
              <w:ind w:left="405"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3.60</w:t>
            </w:r>
          </w:p>
        </w:tc>
        <w:tc>
          <w:tcPr>
            <w:tcW w:w="868" w:type="dxa"/>
          </w:tcPr>
          <w:p>
            <w:pPr>
              <w:topLinePunct w:val="0"/>
              <w:adjustRightInd/>
              <w:spacing w:before="73" w:line="183" w:lineRule="auto"/>
              <w:ind w:left="357" w:firstLine="0" w:firstLineChars="0"/>
              <w:rPr>
                <w:rFonts w:ascii="Times New Roman" w:eastAsia="Times New Roman" w:cs="Times New Roman"/>
                <w:kern w:val="2"/>
                <w:sz w:val="21"/>
                <w:szCs w:val="21"/>
              </w:rPr>
            </w:pPr>
            <w:r>
              <w:rPr>
                <w:rFonts w:ascii="Times New Roman" w:eastAsia="Times New Roman" w:cs="Times New Roman"/>
                <w:kern w:val="2"/>
                <w:sz w:val="21"/>
                <w:szCs w:val="21"/>
              </w:rPr>
              <w:t>7</w:t>
            </w:r>
          </w:p>
        </w:tc>
        <w:tc>
          <w:tcPr>
            <w:tcW w:w="1258" w:type="dxa"/>
          </w:tcPr>
          <w:p>
            <w:pPr>
              <w:topLinePunct w:val="0"/>
              <w:adjustRightInd/>
              <w:spacing w:before="70" w:line="186" w:lineRule="auto"/>
              <w:ind w:left="439" w:firstLine="0" w:firstLineChars="0"/>
              <w:rPr>
                <w:rFonts w:ascii="Times New Roman" w:eastAsia="Times New Roman" w:cs="Times New Roman"/>
                <w:kern w:val="2"/>
                <w:sz w:val="21"/>
                <w:szCs w:val="21"/>
              </w:rPr>
            </w:pPr>
            <w:r>
              <w:rPr>
                <w:rFonts w:ascii="Times New Roman" w:eastAsia="Times New Roman" w:cs="Times New Roman"/>
                <w:spacing w:val="-6"/>
                <w:kern w:val="2"/>
                <w:sz w:val="21"/>
                <w:szCs w:val="21"/>
              </w:rPr>
              <w:t>1.34</w:t>
            </w:r>
          </w:p>
        </w:tc>
        <w:tc>
          <w:tcPr>
            <w:tcW w:w="868" w:type="dxa"/>
          </w:tcPr>
          <w:p>
            <w:pPr>
              <w:topLinePunct w:val="0"/>
              <w:adjustRightInd/>
              <w:spacing w:before="70" w:line="186" w:lineRule="auto"/>
              <w:ind w:left="359" w:firstLine="0" w:firstLineChars="0"/>
              <w:rPr>
                <w:rFonts w:ascii="Times New Roman" w:eastAsia="Times New Roman" w:cs="Times New Roman"/>
                <w:kern w:val="2"/>
                <w:sz w:val="21"/>
                <w:szCs w:val="21"/>
              </w:rPr>
            </w:pPr>
            <w:r>
              <w:rPr>
                <w:rFonts w:ascii="Times New Roman" w:eastAsia="Times New Roman" w:cs="Times New Roman"/>
                <w:kern w:val="2"/>
                <w:sz w:val="21"/>
                <w:szCs w:val="21"/>
              </w:rPr>
              <w:t>9</w:t>
            </w:r>
          </w:p>
        </w:tc>
        <w:tc>
          <w:tcPr>
            <w:tcW w:w="1207" w:type="dxa"/>
          </w:tcPr>
          <w:p>
            <w:pPr>
              <w:topLinePunct w:val="0"/>
              <w:adjustRightInd/>
              <w:spacing w:before="70" w:line="186" w:lineRule="auto"/>
              <w:ind w:left="395"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0.9</w:t>
            </w:r>
            <w:r>
              <w:rPr>
                <w:rFonts w:ascii="Times New Roman" w:eastAsia="Times New Roman" w:cs="Times New Roman"/>
                <w:spacing w:val="-1"/>
                <w:kern w:val="2"/>
                <w:sz w:val="21"/>
                <w:szCs w:val="21"/>
              </w:rPr>
              <w:t>7</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709" w:type="dxa"/>
            <w:vMerge w:val="continue"/>
          </w:tcPr>
          <w:p>
            <w:pPr>
              <w:topLinePunct w:val="0"/>
              <w:adjustRightInd/>
              <w:spacing w:line="240" w:lineRule="auto"/>
              <w:ind w:firstLine="0" w:firstLineChars="0"/>
              <w:rPr>
                <w:rFonts w:ascii="Times New Roman" w:cs="Times New Roman"/>
                <w:kern w:val="2"/>
                <w:sz w:val="21"/>
              </w:rPr>
            </w:pPr>
          </w:p>
        </w:tc>
        <w:tc>
          <w:tcPr>
            <w:tcW w:w="1099" w:type="dxa"/>
          </w:tcPr>
          <w:p>
            <w:pPr>
              <w:topLinePunct w:val="0"/>
              <w:adjustRightInd/>
              <w:spacing w:before="33" w:line="213" w:lineRule="auto"/>
              <w:ind w:left="183" w:firstLine="0" w:firstLineChars="0"/>
              <w:rPr>
                <w:rFonts w:ascii="Times New Roman" w:cs="Times New Roman"/>
                <w:kern w:val="2"/>
                <w:sz w:val="21"/>
                <w:szCs w:val="21"/>
              </w:rPr>
            </w:pPr>
            <w:r>
              <w:rPr>
                <w:rFonts w:ascii="Times New Roman" w:cs="Times New Roman"/>
                <w:spacing w:val="-2"/>
                <w:kern w:val="2"/>
                <w:sz w:val="21"/>
                <w:szCs w:val="21"/>
              </w:rPr>
              <w:t>被子植</w:t>
            </w:r>
            <w:r>
              <w:rPr>
                <w:rFonts w:ascii="Times New Roman" w:cs="Times New Roman"/>
                <w:spacing w:val="-1"/>
                <w:kern w:val="2"/>
                <w:sz w:val="21"/>
                <w:szCs w:val="21"/>
              </w:rPr>
              <w:t>物</w:t>
            </w:r>
          </w:p>
        </w:tc>
        <w:tc>
          <w:tcPr>
            <w:tcW w:w="877" w:type="dxa"/>
          </w:tcPr>
          <w:p>
            <w:pPr>
              <w:topLinePunct w:val="0"/>
              <w:adjustRightInd/>
              <w:spacing w:before="71" w:line="186" w:lineRule="auto"/>
              <w:ind w:left="271" w:firstLine="0" w:firstLineChars="0"/>
              <w:rPr>
                <w:rFonts w:ascii="Times New Roman" w:eastAsia="Times New Roman" w:cs="Times New Roman"/>
                <w:kern w:val="2"/>
                <w:sz w:val="21"/>
                <w:szCs w:val="21"/>
              </w:rPr>
            </w:pPr>
            <w:r>
              <w:rPr>
                <w:rFonts w:ascii="Times New Roman" w:eastAsia="Times New Roman" w:cs="Times New Roman"/>
                <w:spacing w:val="-7"/>
                <w:kern w:val="2"/>
                <w:sz w:val="21"/>
                <w:szCs w:val="21"/>
              </w:rPr>
              <w:t>1</w:t>
            </w:r>
            <w:r>
              <w:rPr>
                <w:rFonts w:ascii="Times New Roman" w:eastAsia="Times New Roman" w:cs="Times New Roman"/>
                <w:spacing w:val="-5"/>
                <w:kern w:val="2"/>
                <w:sz w:val="21"/>
                <w:szCs w:val="21"/>
              </w:rPr>
              <w:t>25</w:t>
            </w:r>
          </w:p>
        </w:tc>
        <w:tc>
          <w:tcPr>
            <w:tcW w:w="1226" w:type="dxa"/>
          </w:tcPr>
          <w:p>
            <w:pPr>
              <w:topLinePunct w:val="0"/>
              <w:adjustRightInd/>
              <w:spacing w:before="71" w:line="186" w:lineRule="auto"/>
              <w:ind w:left="356" w:firstLine="0" w:firstLineChars="0"/>
              <w:rPr>
                <w:rFonts w:ascii="Times New Roman" w:eastAsia="Times New Roman" w:cs="Times New Roman"/>
                <w:kern w:val="2"/>
                <w:sz w:val="21"/>
                <w:szCs w:val="21"/>
              </w:rPr>
            </w:pPr>
            <w:r>
              <w:rPr>
                <w:rFonts w:ascii="Times New Roman" w:eastAsia="Times New Roman" w:cs="Times New Roman"/>
                <w:spacing w:val="-4"/>
                <w:kern w:val="2"/>
                <w:sz w:val="21"/>
                <w:szCs w:val="21"/>
              </w:rPr>
              <w:t>8</w:t>
            </w:r>
            <w:r>
              <w:rPr>
                <w:rFonts w:ascii="Times New Roman" w:eastAsia="Times New Roman" w:cs="Times New Roman"/>
                <w:spacing w:val="-3"/>
                <w:kern w:val="2"/>
                <w:sz w:val="21"/>
                <w:szCs w:val="21"/>
              </w:rPr>
              <w:t>9</w:t>
            </w:r>
            <w:r>
              <w:rPr>
                <w:rFonts w:ascii="Times New Roman" w:eastAsia="Times New Roman" w:cs="Times New Roman"/>
                <w:spacing w:val="-2"/>
                <w:kern w:val="2"/>
                <w:sz w:val="21"/>
                <w:szCs w:val="21"/>
              </w:rPr>
              <w:t>.93</w:t>
            </w:r>
          </w:p>
        </w:tc>
        <w:tc>
          <w:tcPr>
            <w:tcW w:w="868" w:type="dxa"/>
          </w:tcPr>
          <w:p>
            <w:pPr>
              <w:topLinePunct w:val="0"/>
              <w:adjustRightInd/>
              <w:spacing w:before="71" w:line="186" w:lineRule="auto"/>
              <w:ind w:left="248" w:firstLine="0" w:firstLineChars="0"/>
              <w:rPr>
                <w:rFonts w:ascii="Times New Roman" w:eastAsia="Times New Roman" w:cs="Times New Roman"/>
                <w:kern w:val="2"/>
                <w:sz w:val="21"/>
                <w:szCs w:val="21"/>
              </w:rPr>
            </w:pPr>
            <w:r>
              <w:rPr>
                <w:rFonts w:ascii="Times New Roman" w:eastAsia="Times New Roman" w:cs="Times New Roman"/>
                <w:spacing w:val="-1"/>
                <w:kern w:val="2"/>
                <w:sz w:val="21"/>
                <w:szCs w:val="21"/>
              </w:rPr>
              <w:t>499</w:t>
            </w:r>
          </w:p>
        </w:tc>
        <w:tc>
          <w:tcPr>
            <w:tcW w:w="1258" w:type="dxa"/>
          </w:tcPr>
          <w:p>
            <w:pPr>
              <w:topLinePunct w:val="0"/>
              <w:adjustRightInd/>
              <w:spacing w:before="71" w:line="186" w:lineRule="auto"/>
              <w:ind w:left="370"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95.</w:t>
            </w:r>
            <w:r>
              <w:rPr>
                <w:rFonts w:ascii="Times New Roman" w:eastAsia="Times New Roman" w:cs="Times New Roman"/>
                <w:spacing w:val="-1"/>
                <w:kern w:val="2"/>
                <w:sz w:val="21"/>
                <w:szCs w:val="21"/>
              </w:rPr>
              <w:t>22</w:t>
            </w:r>
          </w:p>
        </w:tc>
        <w:tc>
          <w:tcPr>
            <w:tcW w:w="868" w:type="dxa"/>
          </w:tcPr>
          <w:p>
            <w:pPr>
              <w:topLinePunct w:val="0"/>
              <w:adjustRightInd/>
              <w:spacing w:before="71" w:line="186" w:lineRule="auto"/>
              <w:ind w:left="259" w:firstLine="0" w:firstLineChars="0"/>
              <w:rPr>
                <w:rFonts w:ascii="Times New Roman" w:eastAsia="Times New Roman" w:cs="Times New Roman"/>
                <w:kern w:val="2"/>
                <w:sz w:val="21"/>
                <w:szCs w:val="21"/>
              </w:rPr>
            </w:pPr>
            <w:r>
              <w:rPr>
                <w:rFonts w:ascii="Times New Roman" w:eastAsia="Times New Roman" w:cs="Times New Roman"/>
                <w:spacing w:val="-3"/>
                <w:kern w:val="2"/>
                <w:sz w:val="21"/>
                <w:szCs w:val="21"/>
              </w:rPr>
              <w:t>885</w:t>
            </w:r>
          </w:p>
        </w:tc>
        <w:tc>
          <w:tcPr>
            <w:tcW w:w="1207" w:type="dxa"/>
          </w:tcPr>
          <w:p>
            <w:pPr>
              <w:topLinePunct w:val="0"/>
              <w:adjustRightInd/>
              <w:spacing w:before="71" w:line="186" w:lineRule="auto"/>
              <w:ind w:left="343"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95.</w:t>
            </w:r>
            <w:r>
              <w:rPr>
                <w:rFonts w:ascii="Times New Roman" w:eastAsia="Times New Roman" w:cs="Times New Roman"/>
                <w:spacing w:val="-1"/>
                <w:kern w:val="2"/>
                <w:sz w:val="21"/>
                <w:szCs w:val="21"/>
              </w:rPr>
              <w:t>68</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2" w:hRule="atLeast"/>
          <w:jc w:val="center"/>
        </w:trPr>
        <w:tc>
          <w:tcPr>
            <w:tcW w:w="1808" w:type="dxa"/>
            <w:gridSpan w:val="2"/>
          </w:tcPr>
          <w:p>
            <w:pPr>
              <w:topLinePunct w:val="0"/>
              <w:adjustRightInd/>
              <w:spacing w:before="34" w:line="218" w:lineRule="auto"/>
              <w:ind w:left="848" w:firstLine="0" w:firstLineChars="0"/>
              <w:rPr>
                <w:rFonts w:ascii="Times New Roman" w:cs="Times New Roman"/>
                <w:kern w:val="2"/>
                <w:sz w:val="21"/>
                <w:szCs w:val="21"/>
              </w:rPr>
            </w:pPr>
            <w:r>
              <w:rPr>
                <w:rFonts w:ascii="Times New Roman" w:cs="Times New Roman"/>
                <w:spacing w:val="-3"/>
                <w:kern w:val="2"/>
                <w:sz w:val="21"/>
                <w:szCs w:val="21"/>
              </w:rPr>
              <w:t>合</w:t>
            </w:r>
            <w:r>
              <w:rPr>
                <w:rFonts w:ascii="Times New Roman" w:cs="Times New Roman"/>
                <w:spacing w:val="-2"/>
                <w:kern w:val="2"/>
                <w:sz w:val="21"/>
                <w:szCs w:val="21"/>
              </w:rPr>
              <w:t>计</w:t>
            </w:r>
          </w:p>
        </w:tc>
        <w:tc>
          <w:tcPr>
            <w:tcW w:w="877" w:type="dxa"/>
          </w:tcPr>
          <w:p>
            <w:pPr>
              <w:topLinePunct w:val="0"/>
              <w:adjustRightInd/>
              <w:spacing w:before="72" w:line="186" w:lineRule="auto"/>
              <w:ind w:left="271" w:firstLine="0" w:firstLineChars="0"/>
              <w:rPr>
                <w:rFonts w:ascii="Times New Roman" w:eastAsia="Times New Roman" w:cs="Times New Roman"/>
                <w:kern w:val="2"/>
                <w:sz w:val="21"/>
                <w:szCs w:val="21"/>
              </w:rPr>
            </w:pPr>
            <w:r>
              <w:rPr>
                <w:rFonts w:ascii="Times New Roman" w:eastAsia="Times New Roman" w:cs="Times New Roman"/>
                <w:spacing w:val="-7"/>
                <w:kern w:val="2"/>
                <w:sz w:val="21"/>
                <w:szCs w:val="21"/>
              </w:rPr>
              <w:t>1</w:t>
            </w:r>
            <w:r>
              <w:rPr>
                <w:rFonts w:ascii="Times New Roman" w:eastAsia="Times New Roman" w:cs="Times New Roman"/>
                <w:spacing w:val="-5"/>
                <w:kern w:val="2"/>
                <w:sz w:val="21"/>
                <w:szCs w:val="21"/>
              </w:rPr>
              <w:t>39</w:t>
            </w:r>
          </w:p>
        </w:tc>
        <w:tc>
          <w:tcPr>
            <w:tcW w:w="1226" w:type="dxa"/>
          </w:tcPr>
          <w:p>
            <w:pPr>
              <w:topLinePunct w:val="0"/>
              <w:adjustRightInd/>
              <w:spacing w:before="72" w:line="186" w:lineRule="auto"/>
              <w:ind w:left="368" w:firstLine="0" w:firstLineChars="0"/>
              <w:rPr>
                <w:rFonts w:ascii="Times New Roman" w:eastAsia="Times New Roman" w:cs="Times New Roman"/>
                <w:kern w:val="2"/>
                <w:sz w:val="21"/>
                <w:szCs w:val="21"/>
              </w:rPr>
            </w:pPr>
            <w:r>
              <w:rPr>
                <w:rFonts w:ascii="Times New Roman" w:eastAsia="Times New Roman" w:cs="Times New Roman"/>
                <w:spacing w:val="-8"/>
                <w:kern w:val="2"/>
                <w:sz w:val="21"/>
                <w:szCs w:val="21"/>
              </w:rPr>
              <w:t>1</w:t>
            </w:r>
            <w:r>
              <w:rPr>
                <w:rFonts w:ascii="Times New Roman" w:eastAsia="Times New Roman" w:cs="Times New Roman"/>
                <w:spacing w:val="-4"/>
                <w:kern w:val="2"/>
                <w:sz w:val="21"/>
                <w:szCs w:val="21"/>
              </w:rPr>
              <w:t>00.0</w:t>
            </w:r>
          </w:p>
        </w:tc>
        <w:tc>
          <w:tcPr>
            <w:tcW w:w="868" w:type="dxa"/>
          </w:tcPr>
          <w:p>
            <w:pPr>
              <w:topLinePunct w:val="0"/>
              <w:adjustRightInd/>
              <w:spacing w:before="72" w:line="186" w:lineRule="auto"/>
              <w:ind w:left="255" w:firstLine="0" w:firstLineChars="0"/>
              <w:rPr>
                <w:rFonts w:ascii="Times New Roman" w:eastAsia="Times New Roman" w:cs="Times New Roman"/>
                <w:kern w:val="2"/>
                <w:sz w:val="21"/>
                <w:szCs w:val="21"/>
              </w:rPr>
            </w:pPr>
            <w:r>
              <w:rPr>
                <w:rFonts w:ascii="Times New Roman" w:eastAsia="Times New Roman" w:cs="Times New Roman"/>
                <w:spacing w:val="-3"/>
                <w:kern w:val="2"/>
                <w:sz w:val="21"/>
                <w:szCs w:val="21"/>
              </w:rPr>
              <w:t>5</w:t>
            </w:r>
            <w:r>
              <w:rPr>
                <w:rFonts w:ascii="Times New Roman" w:eastAsia="Times New Roman" w:cs="Times New Roman"/>
                <w:spacing w:val="-2"/>
                <w:kern w:val="2"/>
                <w:sz w:val="21"/>
                <w:szCs w:val="21"/>
              </w:rPr>
              <w:t>24</w:t>
            </w:r>
          </w:p>
        </w:tc>
        <w:tc>
          <w:tcPr>
            <w:tcW w:w="1258" w:type="dxa"/>
          </w:tcPr>
          <w:p>
            <w:pPr>
              <w:topLinePunct w:val="0"/>
              <w:adjustRightInd/>
              <w:spacing w:before="72" w:line="186" w:lineRule="auto"/>
              <w:ind w:left="386" w:firstLine="0" w:firstLineChars="0"/>
              <w:rPr>
                <w:rFonts w:ascii="Times New Roman" w:eastAsia="Times New Roman" w:cs="Times New Roman"/>
                <w:kern w:val="2"/>
                <w:sz w:val="21"/>
                <w:szCs w:val="21"/>
              </w:rPr>
            </w:pPr>
            <w:r>
              <w:rPr>
                <w:rFonts w:ascii="Times New Roman" w:eastAsia="Times New Roman" w:cs="Times New Roman"/>
                <w:spacing w:val="-8"/>
                <w:kern w:val="2"/>
                <w:sz w:val="21"/>
                <w:szCs w:val="21"/>
              </w:rPr>
              <w:t>1</w:t>
            </w:r>
            <w:r>
              <w:rPr>
                <w:rFonts w:ascii="Times New Roman" w:eastAsia="Times New Roman" w:cs="Times New Roman"/>
                <w:spacing w:val="-4"/>
                <w:kern w:val="2"/>
                <w:sz w:val="21"/>
                <w:szCs w:val="21"/>
              </w:rPr>
              <w:t>00.0</w:t>
            </w:r>
          </w:p>
        </w:tc>
        <w:tc>
          <w:tcPr>
            <w:tcW w:w="868" w:type="dxa"/>
          </w:tcPr>
          <w:p>
            <w:pPr>
              <w:topLinePunct w:val="0"/>
              <w:adjustRightInd/>
              <w:spacing w:before="72" w:line="186" w:lineRule="auto"/>
              <w:ind w:left="254"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925</w:t>
            </w:r>
          </w:p>
        </w:tc>
        <w:tc>
          <w:tcPr>
            <w:tcW w:w="1207" w:type="dxa"/>
          </w:tcPr>
          <w:p>
            <w:pPr>
              <w:topLinePunct w:val="0"/>
              <w:adjustRightInd/>
              <w:spacing w:before="72" w:line="186" w:lineRule="auto"/>
              <w:ind w:left="359" w:firstLine="0" w:firstLineChars="0"/>
              <w:rPr>
                <w:rFonts w:ascii="Times New Roman" w:eastAsia="Times New Roman" w:cs="Times New Roman"/>
                <w:kern w:val="2"/>
                <w:sz w:val="21"/>
                <w:szCs w:val="21"/>
              </w:rPr>
            </w:pPr>
            <w:r>
              <w:rPr>
                <w:rFonts w:ascii="Times New Roman" w:eastAsia="Times New Roman" w:cs="Times New Roman"/>
                <w:spacing w:val="-8"/>
                <w:kern w:val="2"/>
                <w:sz w:val="21"/>
                <w:szCs w:val="21"/>
              </w:rPr>
              <w:t>1</w:t>
            </w:r>
            <w:r>
              <w:rPr>
                <w:rFonts w:ascii="Times New Roman" w:eastAsia="Times New Roman" w:cs="Times New Roman"/>
                <w:spacing w:val="-4"/>
                <w:kern w:val="2"/>
                <w:sz w:val="21"/>
                <w:szCs w:val="21"/>
              </w:rPr>
              <w:t>00.0</w:t>
            </w:r>
          </w:p>
        </w:tc>
      </w:tr>
    </w:tbl>
    <w:p>
      <w:pPr>
        <w:pStyle w:val="112"/>
        <w:ind w:firstLine="0" w:firstLineChars="0"/>
      </w:pPr>
      <w:r>
        <w:rPr>
          <w:rFonts w:hint="eastAsia"/>
        </w:rPr>
        <w:t xml:space="preserve">    </w:t>
      </w:r>
      <w:r>
        <w:t>项目区域维管植物组成以被子植物为优势，分别占评价区维管植物科属种总数的89.93%、95.22%和95.68%。常见的优势物种有马尾松</w:t>
      </w:r>
      <w:r>
        <w:rPr>
          <w:i/>
          <w:iCs/>
        </w:rPr>
        <w:t>P.massoniana</w:t>
      </w:r>
      <w:r>
        <w:t>、杉木Cunninghamia</w:t>
      </w:r>
      <w:r>
        <w:rPr>
          <w:rFonts w:hint="eastAsia"/>
        </w:rPr>
        <w:t xml:space="preserve"> </w:t>
      </w:r>
      <w:r>
        <w:rPr>
          <w:i/>
          <w:iCs/>
        </w:rPr>
        <w:t>lanceolata</w:t>
      </w:r>
      <w:r>
        <w:t xml:space="preserve"> </w:t>
      </w:r>
      <w:r>
        <w:rPr>
          <w:i/>
          <w:iCs/>
        </w:rPr>
        <w:t>(Lamb.)Hook.</w:t>
      </w:r>
      <w:r>
        <w:t>、柏木</w:t>
      </w:r>
      <w:r>
        <w:rPr>
          <w:i/>
          <w:iCs/>
        </w:rPr>
        <w:t>Cupressus</w:t>
      </w:r>
      <w:r>
        <w:t xml:space="preserve"> </w:t>
      </w:r>
      <w:r>
        <w:rPr>
          <w:i/>
          <w:iCs/>
        </w:rPr>
        <w:t>funebris</w:t>
      </w:r>
      <w:r>
        <w:t xml:space="preserve"> </w:t>
      </w:r>
      <w:r>
        <w:rPr>
          <w:i/>
          <w:iCs/>
        </w:rPr>
        <w:t>Endl.、</w:t>
      </w:r>
      <w:r>
        <w:t>蔷薇</w:t>
      </w:r>
      <w:r>
        <w:rPr>
          <w:i/>
          <w:iCs/>
        </w:rPr>
        <w:t>Rosa</w:t>
      </w:r>
      <w:r>
        <w:t xml:space="preserve"> </w:t>
      </w:r>
      <w:r>
        <w:rPr>
          <w:i/>
          <w:iCs/>
        </w:rPr>
        <w:t>sp.</w:t>
      </w:r>
      <w:r>
        <w:t>、白茅</w:t>
      </w:r>
      <w:r>
        <w:rPr>
          <w:i/>
          <w:iCs/>
        </w:rPr>
        <w:t>mperata</w:t>
      </w:r>
      <w:r>
        <w:t xml:space="preserve"> </w:t>
      </w:r>
      <w:r>
        <w:rPr>
          <w:i/>
          <w:iCs/>
        </w:rPr>
        <w:t>cylindric</w:t>
      </w:r>
      <w:r>
        <w:t>等。</w:t>
      </w:r>
    </w:p>
    <w:p>
      <w:pPr>
        <w:topLinePunct w:val="0"/>
        <w:snapToGrid w:val="0"/>
        <w:ind w:firstLine="0" w:firstLineChars="0"/>
        <w:rPr>
          <w:rFonts w:ascii="Times New Roman" w:cs="Times New Roman"/>
          <w:b/>
          <w:bCs/>
          <w:kern w:val="2"/>
        </w:rPr>
      </w:pPr>
      <w:r>
        <w:rPr>
          <w:rFonts w:ascii="Times New Roman" w:cs="Times New Roman"/>
          <w:b/>
          <w:bCs/>
          <w:kern w:val="2"/>
        </w:rPr>
        <w:t>（</w:t>
      </w:r>
      <w:r>
        <w:rPr>
          <w:rFonts w:hint="eastAsia" w:ascii="Times New Roman" w:cs="Times New Roman"/>
          <w:b/>
          <w:bCs/>
          <w:kern w:val="2"/>
        </w:rPr>
        <w:t>3</w:t>
      </w:r>
      <w:r>
        <w:rPr>
          <w:rFonts w:ascii="Times New Roman" w:cs="Times New Roman"/>
          <w:b/>
          <w:bCs/>
          <w:kern w:val="2"/>
        </w:rPr>
        <w:t>）种子植物按属分类</w:t>
      </w:r>
    </w:p>
    <w:p>
      <w:pPr>
        <w:pStyle w:val="112"/>
        <w:ind w:firstLine="540"/>
        <w:rPr>
          <w:spacing w:val="15"/>
          <w:kern w:val="2"/>
          <w:szCs w:val="24"/>
        </w:rPr>
      </w:pPr>
      <w:r>
        <w:rPr>
          <w:spacing w:val="15"/>
          <w:kern w:val="2"/>
          <w:szCs w:val="24"/>
        </w:rPr>
        <w:t>根据吴征镒对中国种子植物属的分布区类型划分方案，对</w:t>
      </w:r>
      <w:r>
        <w:rPr>
          <w:rFonts w:hint="eastAsia"/>
          <w:spacing w:val="15"/>
          <w:kern w:val="2"/>
          <w:szCs w:val="24"/>
        </w:rPr>
        <w:t>项目区域</w:t>
      </w:r>
      <w:r>
        <w:rPr>
          <w:spacing w:val="15"/>
          <w:kern w:val="2"/>
          <w:szCs w:val="24"/>
        </w:rPr>
        <w:t>种子植物属进行归类统计，见表</w:t>
      </w:r>
      <w:r>
        <w:rPr>
          <w:rFonts w:hint="eastAsia"/>
          <w:spacing w:val="15"/>
          <w:kern w:val="2"/>
          <w:szCs w:val="24"/>
        </w:rPr>
        <w:t>5</w:t>
      </w:r>
      <w:r>
        <w:rPr>
          <w:spacing w:val="15"/>
          <w:kern w:val="2"/>
          <w:szCs w:val="24"/>
        </w:rPr>
        <w:t>.</w:t>
      </w:r>
      <w:r>
        <w:rPr>
          <w:rFonts w:hint="eastAsia"/>
          <w:spacing w:val="15"/>
          <w:kern w:val="2"/>
          <w:szCs w:val="24"/>
        </w:rPr>
        <w:t>2</w:t>
      </w:r>
      <w:r>
        <w:rPr>
          <w:spacing w:val="15"/>
          <w:kern w:val="2"/>
          <w:szCs w:val="24"/>
        </w:rPr>
        <w:t>-9。</w:t>
      </w:r>
    </w:p>
    <w:tbl>
      <w:tblPr>
        <w:tblStyle w:val="57"/>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4174"/>
        <w:gridCol w:w="1590"/>
        <w:gridCol w:w="254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09" w:hRule="atLeast"/>
          <w:jc w:val="center"/>
        </w:trPr>
        <w:tc>
          <w:tcPr>
            <w:tcW w:w="4174" w:type="dxa"/>
          </w:tcPr>
          <w:p>
            <w:pPr>
              <w:topLinePunct w:val="0"/>
              <w:adjustRightInd/>
              <w:spacing w:before="56" w:line="217" w:lineRule="auto"/>
              <w:ind w:left="1116" w:firstLine="0" w:firstLineChars="0"/>
              <w:rPr>
                <w:rFonts w:ascii="Times New Roman" w:cs="Times New Roman"/>
                <w:kern w:val="2"/>
                <w:sz w:val="21"/>
                <w:szCs w:val="21"/>
              </w:rPr>
            </w:pPr>
            <w:r>
              <w:rPr>
                <w:rFonts w:ascii="Times New Roman" w:cs="Times New Roman"/>
                <w:spacing w:val="-2"/>
                <w:kern w:val="2"/>
                <w:sz w:val="21"/>
                <w:szCs w:val="21"/>
              </w:rPr>
              <w:t>分</w:t>
            </w:r>
            <w:r>
              <w:rPr>
                <w:rFonts w:ascii="Times New Roman" w:cs="Times New Roman"/>
                <w:spacing w:val="-1"/>
                <w:kern w:val="2"/>
                <w:sz w:val="21"/>
                <w:szCs w:val="21"/>
              </w:rPr>
              <w:t>布区类型及其变型</w:t>
            </w:r>
          </w:p>
        </w:tc>
        <w:tc>
          <w:tcPr>
            <w:tcW w:w="1590" w:type="dxa"/>
          </w:tcPr>
          <w:p>
            <w:pPr>
              <w:topLinePunct w:val="0"/>
              <w:adjustRightInd/>
              <w:spacing w:before="55" w:line="220" w:lineRule="auto"/>
              <w:ind w:left="559" w:firstLine="0" w:firstLineChars="0"/>
              <w:rPr>
                <w:rFonts w:ascii="Times New Roman" w:cs="Times New Roman"/>
                <w:kern w:val="2"/>
                <w:sz w:val="21"/>
                <w:szCs w:val="21"/>
              </w:rPr>
            </w:pPr>
            <w:r>
              <w:rPr>
                <w:rFonts w:ascii="Times New Roman" w:cs="Times New Roman"/>
                <w:spacing w:val="-3"/>
                <w:kern w:val="2"/>
                <w:sz w:val="21"/>
                <w:szCs w:val="21"/>
              </w:rPr>
              <w:t>属</w:t>
            </w:r>
            <w:r>
              <w:rPr>
                <w:rFonts w:ascii="Times New Roman" w:cs="Times New Roman"/>
                <w:spacing w:val="-2"/>
                <w:kern w:val="2"/>
                <w:sz w:val="21"/>
                <w:szCs w:val="21"/>
              </w:rPr>
              <w:t>数</w:t>
            </w:r>
          </w:p>
        </w:tc>
        <w:tc>
          <w:tcPr>
            <w:tcW w:w="2542" w:type="dxa"/>
          </w:tcPr>
          <w:p>
            <w:pPr>
              <w:topLinePunct w:val="0"/>
              <w:adjustRightInd/>
              <w:spacing w:before="55" w:line="223" w:lineRule="auto"/>
              <w:ind w:left="473" w:firstLine="0" w:firstLineChars="0"/>
              <w:rPr>
                <w:rFonts w:ascii="Times New Roman" w:cs="Times New Roman"/>
                <w:kern w:val="2"/>
                <w:sz w:val="21"/>
                <w:szCs w:val="21"/>
              </w:rPr>
            </w:pPr>
            <w:r>
              <w:rPr>
                <w:rFonts w:ascii="Times New Roman" w:cs="Times New Roman"/>
                <w:spacing w:val="-1"/>
                <w:kern w:val="2"/>
                <w:sz w:val="21"/>
                <w:szCs w:val="21"/>
              </w:rPr>
              <w:t>所占比例</w:t>
            </w:r>
            <w:r>
              <w:rPr>
                <w:rFonts w:ascii="Times New Roman" w:eastAsia="Times New Roman" w:cs="Times New Roman"/>
                <w:spacing w:val="-1"/>
                <w:kern w:val="2"/>
                <w:sz w:val="21"/>
                <w:szCs w:val="21"/>
              </w:rPr>
              <w:t>%</w:t>
            </w:r>
            <w:r>
              <w:rPr>
                <w:rFonts w:hint="eastAsia" w:cs="Times New Roman" w:asciiTheme="minorEastAsia" w:hAnsiTheme="minorEastAsia" w:eastAsiaTheme="minorEastAsia"/>
                <w:spacing w:val="-1"/>
                <w:kern w:val="2"/>
                <w:sz w:val="21"/>
                <w:szCs w:val="21"/>
              </w:rPr>
              <w:t>（</w:t>
            </w:r>
            <w:r>
              <w:rPr>
                <w:rFonts w:ascii="Times New Roman" w:eastAsia="Times New Roman" w:cs="Times New Roman"/>
                <w:kern w:val="2"/>
                <w:sz w:val="21"/>
                <w:szCs w:val="21"/>
              </w:rPr>
              <w:t>*</w:t>
            </w:r>
            <w:r>
              <w:rPr>
                <w:rFonts w:hint="eastAsia" w:cs="Times New Roman" w:asciiTheme="minorEastAsia" w:hAnsiTheme="minorEastAsia" w:eastAsiaTheme="minorEastAsia"/>
                <w:spacing w:val="-1"/>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92" w:hRule="atLeast"/>
          <w:jc w:val="center"/>
        </w:trPr>
        <w:tc>
          <w:tcPr>
            <w:tcW w:w="4174" w:type="dxa"/>
          </w:tcPr>
          <w:p>
            <w:pPr>
              <w:topLinePunct w:val="0"/>
              <w:adjustRightInd/>
              <w:spacing w:before="45" w:line="217" w:lineRule="auto"/>
              <w:ind w:left="1523" w:firstLine="0" w:firstLineChars="0"/>
              <w:rPr>
                <w:rFonts w:ascii="Times New Roman" w:cs="Times New Roman"/>
                <w:kern w:val="2"/>
                <w:sz w:val="21"/>
                <w:szCs w:val="21"/>
              </w:rPr>
            </w:pPr>
            <w:r>
              <w:rPr>
                <w:rFonts w:ascii="Times New Roman" w:eastAsia="Times New Roman" w:cs="Times New Roman"/>
                <w:spacing w:val="-4"/>
                <w:kern w:val="2"/>
                <w:sz w:val="21"/>
                <w:szCs w:val="21"/>
              </w:rPr>
              <w:t>1.</w:t>
            </w:r>
            <w:r>
              <w:rPr>
                <w:rFonts w:ascii="Times New Roman" w:cs="Times New Roman"/>
                <w:spacing w:val="-2"/>
                <w:kern w:val="2"/>
                <w:sz w:val="21"/>
                <w:szCs w:val="21"/>
              </w:rPr>
              <w:t>世界分布</w:t>
            </w:r>
          </w:p>
        </w:tc>
        <w:tc>
          <w:tcPr>
            <w:tcW w:w="1590" w:type="dxa"/>
          </w:tcPr>
          <w:p>
            <w:pPr>
              <w:topLinePunct w:val="0"/>
              <w:adjustRightInd/>
              <w:spacing w:before="68" w:line="186" w:lineRule="auto"/>
              <w:ind w:left="658" w:firstLine="0" w:firstLineChars="0"/>
              <w:rPr>
                <w:rFonts w:ascii="Times New Roman" w:eastAsia="Times New Roman" w:cs="Times New Roman"/>
                <w:kern w:val="2"/>
                <w:sz w:val="21"/>
                <w:szCs w:val="21"/>
              </w:rPr>
            </w:pPr>
            <w:r>
              <w:rPr>
                <w:rFonts w:ascii="Times New Roman" w:eastAsia="Times New Roman" w:cs="Times New Roman"/>
                <w:spacing w:val="-1"/>
                <w:kern w:val="2"/>
                <w:sz w:val="21"/>
                <w:szCs w:val="21"/>
              </w:rPr>
              <w:t>43</w:t>
            </w:r>
          </w:p>
        </w:tc>
        <w:tc>
          <w:tcPr>
            <w:tcW w:w="2542" w:type="dxa"/>
          </w:tcPr>
          <w:p>
            <w:pPr>
              <w:topLinePunct w:val="0"/>
              <w:adjustRightInd/>
              <w:spacing w:before="68" w:line="186" w:lineRule="auto"/>
              <w:ind w:left="1064" w:firstLine="0" w:firstLineChars="0"/>
              <w:rPr>
                <w:rFonts w:ascii="Times New Roman" w:eastAsia="Times New Roman" w:cs="Times New Roman"/>
                <w:kern w:val="2"/>
                <w:sz w:val="21"/>
                <w:szCs w:val="21"/>
              </w:rPr>
            </w:pPr>
            <w:r>
              <w:rPr>
                <w:rFonts w:ascii="Times New Roman" w:eastAsia="Times New Roman" w:cs="Times New Roman"/>
                <w:spacing w:val="-4"/>
                <w:kern w:val="2"/>
                <w:sz w:val="21"/>
                <w:szCs w:val="21"/>
              </w:rPr>
              <w:t>8</w:t>
            </w:r>
            <w:r>
              <w:rPr>
                <w:rFonts w:ascii="Times New Roman" w:eastAsia="Times New Roman" w:cs="Times New Roman"/>
                <w:spacing w:val="-3"/>
                <w:kern w:val="2"/>
                <w:sz w:val="21"/>
                <w:szCs w:val="21"/>
              </w:rPr>
              <w:t>.55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174" w:type="dxa"/>
          </w:tcPr>
          <w:p>
            <w:pPr>
              <w:topLinePunct w:val="0"/>
              <w:adjustRightInd/>
              <w:spacing w:before="51" w:line="220" w:lineRule="auto"/>
              <w:ind w:left="1607" w:firstLine="0" w:firstLineChars="0"/>
              <w:rPr>
                <w:rFonts w:ascii="Times New Roman" w:cs="Times New Roman"/>
                <w:kern w:val="2"/>
                <w:sz w:val="21"/>
                <w:szCs w:val="21"/>
              </w:rPr>
            </w:pPr>
            <w:r>
              <w:rPr>
                <w:rFonts w:ascii="Times New Roman" w:eastAsia="Times New Roman" w:cs="Times New Roman"/>
                <w:spacing w:val="-1"/>
                <w:kern w:val="2"/>
                <w:sz w:val="21"/>
                <w:szCs w:val="21"/>
              </w:rPr>
              <w:t>2</w:t>
            </w:r>
            <w:r>
              <w:rPr>
                <w:rFonts w:ascii="Times New Roman" w:eastAsia="Times New Roman" w:cs="Times New Roman"/>
                <w:kern w:val="2"/>
                <w:sz w:val="21"/>
                <w:szCs w:val="21"/>
              </w:rPr>
              <w:t>.</w:t>
            </w:r>
            <w:r>
              <w:rPr>
                <w:rFonts w:ascii="Times New Roman" w:cs="Times New Roman"/>
                <w:kern w:val="2"/>
                <w:sz w:val="21"/>
                <w:szCs w:val="21"/>
              </w:rPr>
              <w:t>泛热带</w:t>
            </w:r>
          </w:p>
        </w:tc>
        <w:tc>
          <w:tcPr>
            <w:tcW w:w="1590" w:type="dxa"/>
          </w:tcPr>
          <w:p>
            <w:pPr>
              <w:topLinePunct w:val="0"/>
              <w:adjustRightInd/>
              <w:spacing w:before="68" w:line="186" w:lineRule="auto"/>
              <w:ind w:left="668" w:firstLine="0" w:firstLineChars="0"/>
              <w:rPr>
                <w:rFonts w:ascii="Times New Roman" w:eastAsia="Times New Roman" w:cs="Times New Roman"/>
                <w:kern w:val="2"/>
                <w:sz w:val="21"/>
                <w:szCs w:val="21"/>
              </w:rPr>
            </w:pPr>
            <w:r>
              <w:rPr>
                <w:rFonts w:ascii="Times New Roman" w:eastAsia="Times New Roman" w:cs="Times New Roman"/>
                <w:spacing w:val="-4"/>
                <w:kern w:val="2"/>
                <w:sz w:val="21"/>
                <w:szCs w:val="21"/>
              </w:rPr>
              <w:t>8</w:t>
            </w:r>
            <w:r>
              <w:rPr>
                <w:rFonts w:ascii="Times New Roman" w:eastAsia="Times New Roman" w:cs="Times New Roman"/>
                <w:spacing w:val="-3"/>
                <w:kern w:val="2"/>
                <w:sz w:val="21"/>
                <w:szCs w:val="21"/>
              </w:rPr>
              <w:t>0</w:t>
            </w:r>
          </w:p>
        </w:tc>
        <w:tc>
          <w:tcPr>
            <w:tcW w:w="2542" w:type="dxa"/>
          </w:tcPr>
          <w:p>
            <w:pPr>
              <w:topLinePunct w:val="0"/>
              <w:adjustRightInd/>
              <w:spacing w:before="68" w:line="186" w:lineRule="auto"/>
              <w:ind w:left="1023" w:firstLine="0" w:firstLineChars="0"/>
              <w:rPr>
                <w:rFonts w:ascii="Times New Roman" w:eastAsia="Times New Roman" w:cs="Times New Roman"/>
                <w:kern w:val="2"/>
                <w:sz w:val="21"/>
                <w:szCs w:val="21"/>
              </w:rPr>
            </w:pPr>
            <w:r>
              <w:rPr>
                <w:rFonts w:ascii="Times New Roman" w:eastAsia="Times New Roman" w:cs="Times New Roman"/>
                <w:spacing w:val="-8"/>
                <w:kern w:val="2"/>
                <w:sz w:val="21"/>
                <w:szCs w:val="21"/>
              </w:rPr>
              <w:t>1</w:t>
            </w:r>
            <w:r>
              <w:rPr>
                <w:rFonts w:ascii="Times New Roman" w:eastAsia="Times New Roman" w:cs="Times New Roman"/>
                <w:spacing w:val="-4"/>
                <w:kern w:val="2"/>
                <w:sz w:val="21"/>
                <w:szCs w:val="21"/>
              </w:rPr>
              <w:t>5.81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174" w:type="dxa"/>
          </w:tcPr>
          <w:p>
            <w:pPr>
              <w:topLinePunct w:val="0"/>
              <w:adjustRightInd/>
              <w:spacing w:before="53" w:line="219" w:lineRule="auto"/>
              <w:ind w:left="614" w:firstLine="0" w:firstLineChars="0"/>
              <w:rPr>
                <w:rFonts w:ascii="Times New Roman" w:cs="Times New Roman"/>
                <w:kern w:val="2"/>
                <w:sz w:val="21"/>
                <w:szCs w:val="21"/>
              </w:rPr>
            </w:pPr>
            <w:r>
              <w:rPr>
                <w:rFonts w:ascii="Times New Roman" w:eastAsia="Times New Roman" w:cs="Times New Roman"/>
                <w:spacing w:val="-1"/>
                <w:kern w:val="2"/>
                <w:sz w:val="21"/>
                <w:szCs w:val="21"/>
              </w:rPr>
              <w:t>3.</w:t>
            </w:r>
            <w:r>
              <w:rPr>
                <w:rFonts w:ascii="Times New Roman" w:cs="Times New Roman"/>
                <w:spacing w:val="-1"/>
                <w:kern w:val="2"/>
                <w:sz w:val="21"/>
                <w:szCs w:val="21"/>
              </w:rPr>
              <w:t>热带亚洲和热带</w:t>
            </w:r>
            <w:r>
              <w:rPr>
                <w:rFonts w:ascii="Times New Roman" w:cs="Times New Roman"/>
                <w:kern w:val="2"/>
                <w:sz w:val="21"/>
                <w:szCs w:val="21"/>
              </w:rPr>
              <w:t>美洲间断分布</w:t>
            </w:r>
          </w:p>
        </w:tc>
        <w:tc>
          <w:tcPr>
            <w:tcW w:w="1590" w:type="dxa"/>
          </w:tcPr>
          <w:p>
            <w:pPr>
              <w:topLinePunct w:val="0"/>
              <w:adjustRightInd/>
              <w:spacing w:before="69" w:line="186" w:lineRule="auto"/>
              <w:ind w:left="679" w:firstLine="0" w:firstLineChars="0"/>
              <w:rPr>
                <w:rFonts w:ascii="Times New Roman" w:eastAsia="Times New Roman" w:cs="Times New Roman"/>
                <w:kern w:val="2"/>
                <w:sz w:val="21"/>
                <w:szCs w:val="21"/>
              </w:rPr>
            </w:pPr>
            <w:r>
              <w:rPr>
                <w:rFonts w:ascii="Times New Roman" w:eastAsia="Times New Roman" w:cs="Times New Roman"/>
                <w:spacing w:val="-6"/>
                <w:kern w:val="2"/>
                <w:sz w:val="21"/>
                <w:szCs w:val="21"/>
              </w:rPr>
              <w:t>18</w:t>
            </w:r>
          </w:p>
        </w:tc>
        <w:tc>
          <w:tcPr>
            <w:tcW w:w="2542" w:type="dxa"/>
          </w:tcPr>
          <w:p>
            <w:pPr>
              <w:topLinePunct w:val="0"/>
              <w:adjustRightInd/>
              <w:spacing w:before="69" w:line="186" w:lineRule="auto"/>
              <w:ind w:left="1060"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3.58</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174" w:type="dxa"/>
          </w:tcPr>
          <w:p>
            <w:pPr>
              <w:topLinePunct w:val="0"/>
              <w:adjustRightInd/>
              <w:spacing w:before="52" w:line="219" w:lineRule="auto"/>
              <w:ind w:left="1239" w:firstLine="0" w:firstLineChars="0"/>
              <w:rPr>
                <w:rFonts w:ascii="Times New Roman" w:cs="Times New Roman"/>
                <w:kern w:val="2"/>
                <w:sz w:val="21"/>
                <w:szCs w:val="21"/>
              </w:rPr>
            </w:pPr>
            <w:r>
              <w:rPr>
                <w:rFonts w:ascii="Times New Roman" w:eastAsia="Times New Roman" w:cs="Times New Roman"/>
                <w:spacing w:val="-1"/>
                <w:kern w:val="2"/>
                <w:sz w:val="21"/>
                <w:szCs w:val="21"/>
              </w:rPr>
              <w:t>4.</w:t>
            </w:r>
            <w:r>
              <w:rPr>
                <w:rFonts w:ascii="Times New Roman" w:cs="Times New Roman"/>
                <w:spacing w:val="-1"/>
                <w:kern w:val="2"/>
                <w:sz w:val="21"/>
                <w:szCs w:val="21"/>
              </w:rPr>
              <w:t>旧世</w:t>
            </w:r>
            <w:r>
              <w:rPr>
                <w:rFonts w:ascii="Times New Roman" w:cs="Times New Roman"/>
                <w:kern w:val="2"/>
                <w:sz w:val="21"/>
                <w:szCs w:val="21"/>
              </w:rPr>
              <w:t>界热带分布</w:t>
            </w:r>
          </w:p>
        </w:tc>
        <w:tc>
          <w:tcPr>
            <w:tcW w:w="1590" w:type="dxa"/>
          </w:tcPr>
          <w:p>
            <w:pPr>
              <w:topLinePunct w:val="0"/>
              <w:adjustRightInd/>
              <w:spacing w:before="69" w:line="186" w:lineRule="auto"/>
              <w:ind w:left="679" w:firstLine="0" w:firstLineChars="0"/>
              <w:rPr>
                <w:rFonts w:ascii="Times New Roman" w:eastAsia="Times New Roman" w:cs="Times New Roman"/>
                <w:kern w:val="2"/>
                <w:sz w:val="21"/>
                <w:szCs w:val="21"/>
              </w:rPr>
            </w:pPr>
            <w:r>
              <w:rPr>
                <w:rFonts w:ascii="Times New Roman" w:eastAsia="Times New Roman" w:cs="Times New Roman"/>
                <w:spacing w:val="-6"/>
                <w:kern w:val="2"/>
                <w:sz w:val="21"/>
                <w:szCs w:val="21"/>
              </w:rPr>
              <w:t>18</w:t>
            </w:r>
          </w:p>
        </w:tc>
        <w:tc>
          <w:tcPr>
            <w:tcW w:w="2542" w:type="dxa"/>
          </w:tcPr>
          <w:p>
            <w:pPr>
              <w:topLinePunct w:val="0"/>
              <w:adjustRightInd/>
              <w:spacing w:before="69" w:line="186" w:lineRule="auto"/>
              <w:ind w:left="1060"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3.56</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174" w:type="dxa"/>
          </w:tcPr>
          <w:p>
            <w:pPr>
              <w:topLinePunct w:val="0"/>
              <w:adjustRightInd/>
              <w:spacing w:before="52" w:line="219" w:lineRule="auto"/>
              <w:ind w:left="721" w:firstLine="0" w:firstLineChars="0"/>
              <w:rPr>
                <w:rFonts w:ascii="Times New Roman" w:cs="Times New Roman"/>
                <w:kern w:val="2"/>
                <w:sz w:val="21"/>
                <w:szCs w:val="21"/>
              </w:rPr>
            </w:pPr>
            <w:r>
              <w:rPr>
                <w:rFonts w:ascii="Times New Roman" w:eastAsia="Times New Roman" w:cs="Times New Roman"/>
                <w:spacing w:val="-1"/>
                <w:kern w:val="2"/>
                <w:sz w:val="21"/>
                <w:szCs w:val="21"/>
              </w:rPr>
              <w:t>5.</w:t>
            </w:r>
            <w:r>
              <w:rPr>
                <w:rFonts w:ascii="Times New Roman" w:cs="Times New Roman"/>
                <w:spacing w:val="-1"/>
                <w:kern w:val="2"/>
                <w:sz w:val="21"/>
                <w:szCs w:val="21"/>
              </w:rPr>
              <w:t>热带亚洲至热带大洋</w:t>
            </w:r>
            <w:r>
              <w:rPr>
                <w:rFonts w:ascii="Times New Roman" w:cs="Times New Roman"/>
                <w:kern w:val="2"/>
                <w:sz w:val="21"/>
                <w:szCs w:val="21"/>
              </w:rPr>
              <w:t>洲分布</w:t>
            </w:r>
          </w:p>
        </w:tc>
        <w:tc>
          <w:tcPr>
            <w:tcW w:w="1590" w:type="dxa"/>
          </w:tcPr>
          <w:p>
            <w:pPr>
              <w:topLinePunct w:val="0"/>
              <w:adjustRightInd/>
              <w:spacing w:before="70" w:line="186" w:lineRule="auto"/>
              <w:ind w:left="679" w:firstLine="0" w:firstLineChars="0"/>
              <w:rPr>
                <w:rFonts w:ascii="Times New Roman" w:eastAsia="Times New Roman" w:cs="Times New Roman"/>
                <w:kern w:val="2"/>
                <w:sz w:val="21"/>
                <w:szCs w:val="21"/>
              </w:rPr>
            </w:pPr>
            <w:r>
              <w:rPr>
                <w:rFonts w:ascii="Times New Roman" w:eastAsia="Times New Roman" w:cs="Times New Roman"/>
                <w:spacing w:val="-6"/>
                <w:kern w:val="2"/>
                <w:sz w:val="21"/>
                <w:szCs w:val="21"/>
              </w:rPr>
              <w:t>14</w:t>
            </w:r>
          </w:p>
        </w:tc>
        <w:tc>
          <w:tcPr>
            <w:tcW w:w="2542" w:type="dxa"/>
          </w:tcPr>
          <w:p>
            <w:pPr>
              <w:topLinePunct w:val="0"/>
              <w:adjustRightInd/>
              <w:spacing w:before="69" w:line="186" w:lineRule="auto"/>
              <w:ind w:left="1056" w:firstLine="0" w:firstLineChars="0"/>
              <w:rPr>
                <w:rFonts w:ascii="Times New Roman" w:eastAsia="Times New Roman" w:cs="Times New Roman"/>
                <w:kern w:val="2"/>
                <w:sz w:val="21"/>
                <w:szCs w:val="21"/>
              </w:rPr>
            </w:pPr>
            <w:r>
              <w:rPr>
                <w:rFonts w:ascii="Times New Roman" w:eastAsia="Times New Roman" w:cs="Times New Roman"/>
                <w:spacing w:val="-1"/>
                <w:kern w:val="2"/>
                <w:sz w:val="21"/>
                <w:szCs w:val="21"/>
              </w:rPr>
              <w:t>2.77</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174" w:type="dxa"/>
          </w:tcPr>
          <w:p>
            <w:pPr>
              <w:topLinePunct w:val="0"/>
              <w:adjustRightInd/>
              <w:spacing w:before="54" w:line="219" w:lineRule="auto"/>
              <w:ind w:left="825" w:firstLine="0" w:firstLineChars="0"/>
              <w:rPr>
                <w:rFonts w:ascii="Times New Roman" w:cs="Times New Roman"/>
                <w:kern w:val="2"/>
                <w:sz w:val="21"/>
                <w:szCs w:val="21"/>
              </w:rPr>
            </w:pPr>
            <w:r>
              <w:rPr>
                <w:rFonts w:ascii="Times New Roman" w:eastAsia="Times New Roman" w:cs="Times New Roman"/>
                <w:spacing w:val="-1"/>
                <w:kern w:val="2"/>
                <w:sz w:val="21"/>
                <w:szCs w:val="21"/>
              </w:rPr>
              <w:t>6.</w:t>
            </w:r>
            <w:r>
              <w:rPr>
                <w:rFonts w:ascii="Times New Roman" w:cs="Times New Roman"/>
                <w:spacing w:val="-1"/>
                <w:kern w:val="2"/>
                <w:sz w:val="21"/>
                <w:szCs w:val="21"/>
              </w:rPr>
              <w:t>热带亚洲至热带非</w:t>
            </w:r>
            <w:r>
              <w:rPr>
                <w:rFonts w:ascii="Times New Roman" w:cs="Times New Roman"/>
                <w:kern w:val="2"/>
                <w:sz w:val="21"/>
                <w:szCs w:val="21"/>
              </w:rPr>
              <w:t>洲分布</w:t>
            </w:r>
          </w:p>
        </w:tc>
        <w:tc>
          <w:tcPr>
            <w:tcW w:w="1590" w:type="dxa"/>
          </w:tcPr>
          <w:p>
            <w:pPr>
              <w:topLinePunct w:val="0"/>
              <w:adjustRightInd/>
              <w:spacing w:before="70" w:line="186" w:lineRule="auto"/>
              <w:ind w:left="659" w:firstLine="0" w:firstLineChars="0"/>
              <w:rPr>
                <w:rFonts w:ascii="Times New Roman" w:eastAsia="Times New Roman" w:cs="Times New Roman"/>
                <w:kern w:val="2"/>
                <w:sz w:val="21"/>
                <w:szCs w:val="21"/>
              </w:rPr>
            </w:pPr>
            <w:r>
              <w:rPr>
                <w:rFonts w:ascii="Times New Roman" w:eastAsia="Times New Roman" w:cs="Times New Roman"/>
                <w:spacing w:val="-1"/>
                <w:kern w:val="2"/>
                <w:sz w:val="21"/>
                <w:szCs w:val="21"/>
              </w:rPr>
              <w:t>25</w:t>
            </w:r>
          </w:p>
        </w:tc>
        <w:tc>
          <w:tcPr>
            <w:tcW w:w="2542" w:type="dxa"/>
          </w:tcPr>
          <w:p>
            <w:pPr>
              <w:topLinePunct w:val="0"/>
              <w:adjustRightInd/>
              <w:spacing w:before="70" w:line="186" w:lineRule="auto"/>
              <w:ind w:left="1060"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3.89</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174" w:type="dxa"/>
          </w:tcPr>
          <w:p>
            <w:pPr>
              <w:topLinePunct w:val="0"/>
              <w:adjustRightInd/>
              <w:spacing w:before="52" w:line="220" w:lineRule="auto"/>
              <w:ind w:left="684" w:firstLine="0" w:firstLineChars="0"/>
              <w:rPr>
                <w:rFonts w:ascii="Times New Roman" w:cs="Times New Roman"/>
                <w:kern w:val="2"/>
                <w:sz w:val="21"/>
                <w:szCs w:val="21"/>
              </w:rPr>
            </w:pPr>
            <w:r>
              <w:rPr>
                <w:rFonts w:ascii="Times New Roman" w:eastAsia="Times New Roman" w:cs="Times New Roman"/>
                <w:spacing w:val="10"/>
                <w:kern w:val="2"/>
                <w:sz w:val="21"/>
                <w:szCs w:val="21"/>
              </w:rPr>
              <w:t>7.</w:t>
            </w:r>
            <w:r>
              <w:rPr>
                <w:rFonts w:ascii="Times New Roman" w:cs="Times New Roman"/>
                <w:spacing w:val="5"/>
                <w:kern w:val="2"/>
                <w:sz w:val="21"/>
                <w:szCs w:val="21"/>
              </w:rPr>
              <w:t>热带亚洲</w:t>
            </w:r>
            <w:r>
              <w:rPr>
                <w:rFonts w:hint="eastAsia" w:ascii="Times New Roman" w:cs="Times New Roman"/>
                <w:spacing w:val="5"/>
                <w:kern w:val="2"/>
                <w:sz w:val="21"/>
                <w:szCs w:val="21"/>
              </w:rPr>
              <w:t>（</w:t>
            </w:r>
            <w:r>
              <w:rPr>
                <w:rFonts w:ascii="Times New Roman" w:cs="Times New Roman"/>
                <w:spacing w:val="5"/>
                <w:kern w:val="2"/>
                <w:sz w:val="21"/>
                <w:szCs w:val="21"/>
              </w:rPr>
              <w:t>印度</w:t>
            </w:r>
            <w:r>
              <w:rPr>
                <w:rFonts w:ascii="Times New Roman" w:eastAsia="Times New Roman" w:cs="Times New Roman"/>
                <w:spacing w:val="5"/>
                <w:kern w:val="2"/>
                <w:sz w:val="21"/>
                <w:szCs w:val="21"/>
              </w:rPr>
              <w:t>-</w:t>
            </w:r>
            <w:r>
              <w:rPr>
                <w:rFonts w:ascii="Times New Roman" w:cs="Times New Roman"/>
                <w:spacing w:val="5"/>
                <w:kern w:val="2"/>
                <w:sz w:val="21"/>
                <w:szCs w:val="21"/>
              </w:rPr>
              <w:t>马来西亚</w:t>
            </w:r>
            <w:r>
              <w:rPr>
                <w:rFonts w:hint="eastAsia" w:ascii="Times New Roman" w:cs="Times New Roman"/>
                <w:spacing w:val="5"/>
                <w:kern w:val="2"/>
                <w:sz w:val="21"/>
                <w:szCs w:val="21"/>
              </w:rPr>
              <w:t>）</w:t>
            </w:r>
          </w:p>
        </w:tc>
        <w:tc>
          <w:tcPr>
            <w:tcW w:w="1590" w:type="dxa"/>
          </w:tcPr>
          <w:p>
            <w:pPr>
              <w:topLinePunct w:val="0"/>
              <w:adjustRightInd/>
              <w:spacing w:before="70" w:line="186" w:lineRule="auto"/>
              <w:ind w:left="658" w:firstLine="0" w:firstLineChars="0"/>
              <w:rPr>
                <w:rFonts w:ascii="Times New Roman" w:eastAsia="Times New Roman" w:cs="Times New Roman"/>
                <w:kern w:val="2"/>
                <w:sz w:val="21"/>
                <w:szCs w:val="21"/>
              </w:rPr>
            </w:pPr>
            <w:r>
              <w:rPr>
                <w:rFonts w:ascii="Times New Roman" w:eastAsia="Times New Roman" w:cs="Times New Roman"/>
                <w:spacing w:val="-1"/>
                <w:kern w:val="2"/>
                <w:sz w:val="21"/>
                <w:szCs w:val="21"/>
              </w:rPr>
              <w:t>44</w:t>
            </w:r>
          </w:p>
        </w:tc>
        <w:tc>
          <w:tcPr>
            <w:tcW w:w="2542" w:type="dxa"/>
          </w:tcPr>
          <w:p>
            <w:pPr>
              <w:topLinePunct w:val="0"/>
              <w:adjustRightInd/>
              <w:spacing w:before="70" w:line="186" w:lineRule="auto"/>
              <w:ind w:left="1059"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7.51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174" w:type="dxa"/>
          </w:tcPr>
          <w:p>
            <w:pPr>
              <w:topLinePunct w:val="0"/>
              <w:adjustRightInd/>
              <w:spacing w:before="53" w:line="220" w:lineRule="auto"/>
              <w:ind w:left="1616" w:firstLine="0" w:firstLineChars="0"/>
              <w:rPr>
                <w:rFonts w:ascii="Times New Roman" w:cs="Times New Roman"/>
                <w:kern w:val="2"/>
                <w:sz w:val="21"/>
                <w:szCs w:val="21"/>
              </w:rPr>
            </w:pPr>
            <w:r>
              <w:rPr>
                <w:rFonts w:ascii="Times New Roman" w:eastAsia="Times New Roman" w:cs="Times New Roman"/>
                <w:spacing w:val="-2"/>
                <w:kern w:val="2"/>
                <w:sz w:val="21"/>
                <w:szCs w:val="21"/>
              </w:rPr>
              <w:t>8</w:t>
            </w:r>
            <w:r>
              <w:rPr>
                <w:rFonts w:ascii="Times New Roman" w:eastAsia="Times New Roman" w:cs="Times New Roman"/>
                <w:spacing w:val="-1"/>
                <w:kern w:val="2"/>
                <w:sz w:val="21"/>
                <w:szCs w:val="21"/>
              </w:rPr>
              <w:t>.</w:t>
            </w:r>
            <w:r>
              <w:rPr>
                <w:rFonts w:ascii="Times New Roman" w:cs="Times New Roman"/>
                <w:spacing w:val="-1"/>
                <w:kern w:val="2"/>
                <w:sz w:val="21"/>
                <w:szCs w:val="21"/>
              </w:rPr>
              <w:t>北温带</w:t>
            </w:r>
          </w:p>
        </w:tc>
        <w:tc>
          <w:tcPr>
            <w:tcW w:w="1590" w:type="dxa"/>
          </w:tcPr>
          <w:p>
            <w:pPr>
              <w:topLinePunct w:val="0"/>
              <w:adjustRightInd/>
              <w:spacing w:before="70" w:line="186" w:lineRule="auto"/>
              <w:ind w:left="663"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98</w:t>
            </w:r>
          </w:p>
        </w:tc>
        <w:tc>
          <w:tcPr>
            <w:tcW w:w="2542" w:type="dxa"/>
          </w:tcPr>
          <w:p>
            <w:pPr>
              <w:topLinePunct w:val="0"/>
              <w:adjustRightInd/>
              <w:spacing w:before="70" w:line="186" w:lineRule="auto"/>
              <w:ind w:left="1023" w:firstLine="0" w:firstLineChars="0"/>
              <w:rPr>
                <w:rFonts w:ascii="Times New Roman" w:eastAsia="Times New Roman" w:cs="Times New Roman"/>
                <w:kern w:val="2"/>
                <w:sz w:val="21"/>
                <w:szCs w:val="21"/>
              </w:rPr>
            </w:pPr>
            <w:r>
              <w:rPr>
                <w:rFonts w:ascii="Times New Roman" w:eastAsia="Times New Roman" w:cs="Times New Roman"/>
                <w:spacing w:val="-8"/>
                <w:kern w:val="2"/>
                <w:sz w:val="21"/>
                <w:szCs w:val="21"/>
              </w:rPr>
              <w:t>1</w:t>
            </w:r>
            <w:r>
              <w:rPr>
                <w:rFonts w:ascii="Times New Roman" w:eastAsia="Times New Roman" w:cs="Times New Roman"/>
                <w:spacing w:val="-4"/>
                <w:kern w:val="2"/>
                <w:sz w:val="21"/>
                <w:szCs w:val="21"/>
              </w:rPr>
              <w:t>9.37</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174" w:type="dxa"/>
          </w:tcPr>
          <w:p>
            <w:pPr>
              <w:topLinePunct w:val="0"/>
              <w:adjustRightInd/>
              <w:spacing w:before="55" w:line="219" w:lineRule="auto"/>
              <w:ind w:left="930" w:firstLine="0" w:firstLineChars="0"/>
              <w:rPr>
                <w:rFonts w:ascii="Times New Roman" w:cs="Times New Roman"/>
                <w:kern w:val="2"/>
                <w:sz w:val="21"/>
                <w:szCs w:val="21"/>
              </w:rPr>
            </w:pPr>
            <w:r>
              <w:rPr>
                <w:rFonts w:ascii="Times New Roman" w:eastAsia="Times New Roman" w:cs="Times New Roman"/>
                <w:spacing w:val="-1"/>
                <w:kern w:val="2"/>
                <w:sz w:val="21"/>
                <w:szCs w:val="21"/>
              </w:rPr>
              <w:t>9.</w:t>
            </w:r>
            <w:r>
              <w:rPr>
                <w:rFonts w:ascii="Times New Roman" w:cs="Times New Roman"/>
                <w:spacing w:val="-1"/>
                <w:kern w:val="2"/>
                <w:sz w:val="21"/>
                <w:szCs w:val="21"/>
              </w:rPr>
              <w:t>东亚和北美洲间</w:t>
            </w:r>
            <w:r>
              <w:rPr>
                <w:rFonts w:ascii="Times New Roman" w:cs="Times New Roman"/>
                <w:kern w:val="2"/>
                <w:sz w:val="21"/>
                <w:szCs w:val="21"/>
              </w:rPr>
              <w:t>断分布</w:t>
            </w:r>
          </w:p>
        </w:tc>
        <w:tc>
          <w:tcPr>
            <w:tcW w:w="1590" w:type="dxa"/>
          </w:tcPr>
          <w:p>
            <w:pPr>
              <w:topLinePunct w:val="0"/>
              <w:adjustRightInd/>
              <w:spacing w:before="71" w:line="186" w:lineRule="auto"/>
              <w:ind w:left="663" w:firstLine="0" w:firstLineChars="0"/>
              <w:rPr>
                <w:rFonts w:ascii="Times New Roman" w:eastAsia="Times New Roman" w:cs="Times New Roman"/>
                <w:kern w:val="2"/>
                <w:sz w:val="21"/>
                <w:szCs w:val="21"/>
              </w:rPr>
            </w:pPr>
            <w:r>
              <w:rPr>
                <w:rFonts w:ascii="Times New Roman" w:eastAsia="Times New Roman" w:cs="Times New Roman"/>
                <w:spacing w:val="-3"/>
                <w:kern w:val="2"/>
                <w:sz w:val="21"/>
                <w:szCs w:val="21"/>
              </w:rPr>
              <w:t>3</w:t>
            </w:r>
            <w:r>
              <w:rPr>
                <w:rFonts w:ascii="Times New Roman" w:eastAsia="Times New Roman" w:cs="Times New Roman"/>
                <w:spacing w:val="-2"/>
                <w:kern w:val="2"/>
                <w:sz w:val="21"/>
                <w:szCs w:val="21"/>
              </w:rPr>
              <w:t>3</w:t>
            </w:r>
          </w:p>
        </w:tc>
        <w:tc>
          <w:tcPr>
            <w:tcW w:w="2542" w:type="dxa"/>
          </w:tcPr>
          <w:p>
            <w:pPr>
              <w:topLinePunct w:val="0"/>
              <w:adjustRightInd/>
              <w:spacing w:before="71" w:line="186" w:lineRule="auto"/>
              <w:ind w:left="1061" w:firstLine="0" w:firstLineChars="0"/>
              <w:rPr>
                <w:rFonts w:ascii="Times New Roman" w:eastAsia="Times New Roman" w:cs="Times New Roman"/>
                <w:kern w:val="2"/>
                <w:sz w:val="21"/>
                <w:szCs w:val="21"/>
              </w:rPr>
            </w:pPr>
            <w:r>
              <w:rPr>
                <w:rFonts w:ascii="Times New Roman" w:eastAsia="Times New Roman" w:cs="Times New Roman"/>
                <w:spacing w:val="-3"/>
                <w:kern w:val="2"/>
                <w:sz w:val="21"/>
                <w:szCs w:val="21"/>
              </w:rPr>
              <w:t>6</w:t>
            </w:r>
            <w:r>
              <w:rPr>
                <w:rFonts w:ascii="Times New Roman" w:eastAsia="Times New Roman" w:cs="Times New Roman"/>
                <w:spacing w:val="-2"/>
                <w:kern w:val="2"/>
                <w:sz w:val="21"/>
                <w:szCs w:val="21"/>
              </w:rPr>
              <w:t>.52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174" w:type="dxa"/>
          </w:tcPr>
          <w:p>
            <w:pPr>
              <w:topLinePunct w:val="0"/>
              <w:adjustRightInd/>
              <w:spacing w:before="54" w:line="219" w:lineRule="auto"/>
              <w:ind w:left="1366" w:firstLine="0" w:firstLineChars="0"/>
              <w:rPr>
                <w:rFonts w:ascii="Times New Roman" w:cs="Times New Roman"/>
                <w:kern w:val="2"/>
                <w:sz w:val="21"/>
                <w:szCs w:val="21"/>
              </w:rPr>
            </w:pPr>
            <w:r>
              <w:rPr>
                <w:rFonts w:ascii="Times New Roman" w:eastAsia="Times New Roman" w:cs="Times New Roman"/>
                <w:spacing w:val="-4"/>
                <w:kern w:val="2"/>
                <w:sz w:val="21"/>
                <w:szCs w:val="21"/>
              </w:rPr>
              <w:t>10</w:t>
            </w:r>
            <w:r>
              <w:rPr>
                <w:rFonts w:ascii="Times New Roman" w:eastAsia="Times New Roman" w:cs="Times New Roman"/>
                <w:spacing w:val="-2"/>
                <w:kern w:val="2"/>
                <w:sz w:val="21"/>
                <w:szCs w:val="21"/>
              </w:rPr>
              <w:t>.</w:t>
            </w:r>
            <w:r>
              <w:rPr>
                <w:rFonts w:ascii="Times New Roman" w:cs="Times New Roman"/>
                <w:spacing w:val="-2"/>
                <w:kern w:val="2"/>
                <w:sz w:val="21"/>
                <w:szCs w:val="21"/>
              </w:rPr>
              <w:t>旧世界温带</w:t>
            </w:r>
          </w:p>
        </w:tc>
        <w:tc>
          <w:tcPr>
            <w:tcW w:w="1590" w:type="dxa"/>
          </w:tcPr>
          <w:p>
            <w:pPr>
              <w:topLinePunct w:val="0"/>
              <w:adjustRightInd/>
              <w:spacing w:before="71" w:line="186" w:lineRule="auto"/>
              <w:ind w:left="663" w:firstLine="0" w:firstLineChars="0"/>
              <w:rPr>
                <w:rFonts w:ascii="Times New Roman" w:eastAsia="Times New Roman" w:cs="Times New Roman"/>
                <w:kern w:val="2"/>
                <w:sz w:val="21"/>
                <w:szCs w:val="21"/>
              </w:rPr>
            </w:pPr>
            <w:r>
              <w:rPr>
                <w:rFonts w:ascii="Times New Roman" w:eastAsia="Times New Roman" w:cs="Times New Roman"/>
                <w:spacing w:val="-3"/>
                <w:kern w:val="2"/>
                <w:sz w:val="21"/>
                <w:szCs w:val="21"/>
              </w:rPr>
              <w:t>3</w:t>
            </w:r>
            <w:r>
              <w:rPr>
                <w:rFonts w:ascii="Times New Roman" w:eastAsia="Times New Roman" w:cs="Times New Roman"/>
                <w:spacing w:val="-2"/>
                <w:kern w:val="2"/>
                <w:sz w:val="21"/>
                <w:szCs w:val="21"/>
              </w:rPr>
              <w:t>7</w:t>
            </w:r>
          </w:p>
        </w:tc>
        <w:tc>
          <w:tcPr>
            <w:tcW w:w="2542" w:type="dxa"/>
          </w:tcPr>
          <w:p>
            <w:pPr>
              <w:topLinePunct w:val="0"/>
              <w:adjustRightInd/>
              <w:spacing w:before="71" w:line="186" w:lineRule="auto"/>
              <w:ind w:left="1059"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7.31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174" w:type="dxa"/>
          </w:tcPr>
          <w:p>
            <w:pPr>
              <w:topLinePunct w:val="0"/>
              <w:adjustRightInd/>
              <w:spacing w:before="54" w:line="219" w:lineRule="auto"/>
              <w:ind w:left="1264" w:firstLine="0" w:firstLineChars="0"/>
              <w:rPr>
                <w:rFonts w:ascii="Times New Roman" w:cs="Times New Roman"/>
                <w:kern w:val="2"/>
                <w:sz w:val="21"/>
                <w:szCs w:val="21"/>
              </w:rPr>
            </w:pPr>
            <w:r>
              <w:rPr>
                <w:rFonts w:ascii="Times New Roman" w:eastAsia="Times New Roman" w:cs="Times New Roman"/>
                <w:spacing w:val="-3"/>
                <w:kern w:val="2"/>
                <w:sz w:val="21"/>
                <w:szCs w:val="21"/>
              </w:rPr>
              <w:t>11.</w:t>
            </w:r>
            <w:r>
              <w:rPr>
                <w:rFonts w:ascii="Times New Roman" w:cs="Times New Roman"/>
                <w:spacing w:val="-3"/>
                <w:kern w:val="2"/>
                <w:sz w:val="21"/>
                <w:szCs w:val="21"/>
              </w:rPr>
              <w:t>温带亚洲分</w:t>
            </w:r>
            <w:r>
              <w:rPr>
                <w:rFonts w:ascii="Times New Roman" w:cs="Times New Roman"/>
                <w:spacing w:val="-2"/>
                <w:kern w:val="2"/>
                <w:sz w:val="21"/>
                <w:szCs w:val="21"/>
              </w:rPr>
              <w:t>布</w:t>
            </w:r>
          </w:p>
        </w:tc>
        <w:tc>
          <w:tcPr>
            <w:tcW w:w="1590" w:type="dxa"/>
          </w:tcPr>
          <w:p>
            <w:pPr>
              <w:topLinePunct w:val="0"/>
              <w:adjustRightInd/>
              <w:spacing w:before="71" w:line="186" w:lineRule="auto"/>
              <w:ind w:left="716" w:firstLine="0" w:firstLineChars="0"/>
              <w:rPr>
                <w:rFonts w:ascii="Times New Roman" w:eastAsia="Times New Roman" w:cs="Times New Roman"/>
                <w:kern w:val="2"/>
                <w:sz w:val="21"/>
                <w:szCs w:val="21"/>
              </w:rPr>
            </w:pPr>
            <w:r>
              <w:rPr>
                <w:rFonts w:ascii="Times New Roman" w:eastAsia="Times New Roman" w:cs="Times New Roman"/>
                <w:kern w:val="2"/>
                <w:sz w:val="21"/>
                <w:szCs w:val="21"/>
              </w:rPr>
              <w:t>9</w:t>
            </w:r>
          </w:p>
        </w:tc>
        <w:tc>
          <w:tcPr>
            <w:tcW w:w="2542" w:type="dxa"/>
          </w:tcPr>
          <w:p>
            <w:pPr>
              <w:topLinePunct w:val="0"/>
              <w:adjustRightInd/>
              <w:spacing w:before="71" w:line="186" w:lineRule="auto"/>
              <w:ind w:left="1076" w:firstLine="0" w:firstLineChars="0"/>
              <w:rPr>
                <w:rFonts w:ascii="Times New Roman" w:eastAsia="Times New Roman" w:cs="Times New Roman"/>
                <w:kern w:val="2"/>
                <w:sz w:val="21"/>
                <w:szCs w:val="21"/>
              </w:rPr>
            </w:pPr>
            <w:r>
              <w:rPr>
                <w:rFonts w:ascii="Times New Roman" w:eastAsia="Times New Roman" w:cs="Times New Roman"/>
                <w:spacing w:val="-6"/>
                <w:kern w:val="2"/>
                <w:sz w:val="21"/>
                <w:szCs w:val="21"/>
              </w:rPr>
              <w:t>1.87</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174" w:type="dxa"/>
          </w:tcPr>
          <w:p>
            <w:pPr>
              <w:topLinePunct w:val="0"/>
              <w:adjustRightInd/>
              <w:spacing w:before="56" w:line="219" w:lineRule="auto"/>
              <w:ind w:left="630" w:firstLine="0" w:firstLineChars="0"/>
              <w:rPr>
                <w:rFonts w:ascii="Times New Roman" w:cs="Times New Roman"/>
                <w:kern w:val="2"/>
                <w:sz w:val="21"/>
                <w:szCs w:val="21"/>
              </w:rPr>
            </w:pPr>
            <w:r>
              <w:rPr>
                <w:rFonts w:ascii="Times New Roman" w:eastAsia="Times New Roman" w:cs="Times New Roman"/>
                <w:spacing w:val="-3"/>
                <w:kern w:val="2"/>
                <w:sz w:val="21"/>
                <w:szCs w:val="21"/>
              </w:rPr>
              <w:t>1</w:t>
            </w:r>
            <w:r>
              <w:rPr>
                <w:rFonts w:ascii="Times New Roman" w:eastAsia="Times New Roman" w:cs="Times New Roman"/>
                <w:spacing w:val="-2"/>
                <w:kern w:val="2"/>
                <w:sz w:val="21"/>
                <w:szCs w:val="21"/>
              </w:rPr>
              <w:t>2.</w:t>
            </w:r>
            <w:r>
              <w:rPr>
                <w:rFonts w:ascii="Times New Roman" w:cs="Times New Roman"/>
                <w:spacing w:val="-2"/>
                <w:kern w:val="2"/>
                <w:sz w:val="21"/>
                <w:szCs w:val="21"/>
              </w:rPr>
              <w:t>地中海区、西亚至中亚分布</w:t>
            </w:r>
          </w:p>
        </w:tc>
        <w:tc>
          <w:tcPr>
            <w:tcW w:w="1590" w:type="dxa"/>
          </w:tcPr>
          <w:p>
            <w:pPr>
              <w:topLinePunct w:val="0"/>
              <w:adjustRightInd/>
              <w:spacing w:before="75" w:line="183" w:lineRule="auto"/>
              <w:ind w:left="715" w:firstLine="0" w:firstLineChars="0"/>
              <w:rPr>
                <w:rFonts w:ascii="Times New Roman" w:eastAsia="Times New Roman" w:cs="Times New Roman"/>
                <w:kern w:val="2"/>
                <w:sz w:val="21"/>
                <w:szCs w:val="21"/>
              </w:rPr>
            </w:pPr>
            <w:r>
              <w:rPr>
                <w:rFonts w:ascii="Times New Roman" w:eastAsia="Times New Roman" w:cs="Times New Roman"/>
                <w:kern w:val="2"/>
                <w:sz w:val="21"/>
                <w:szCs w:val="21"/>
              </w:rPr>
              <w:t>7</w:t>
            </w:r>
          </w:p>
        </w:tc>
        <w:tc>
          <w:tcPr>
            <w:tcW w:w="2542" w:type="dxa"/>
          </w:tcPr>
          <w:p>
            <w:pPr>
              <w:topLinePunct w:val="0"/>
              <w:adjustRightInd/>
              <w:spacing w:before="72" w:line="186" w:lineRule="auto"/>
              <w:ind w:left="1076" w:firstLine="0" w:firstLineChars="0"/>
              <w:rPr>
                <w:rFonts w:ascii="Times New Roman" w:eastAsia="Times New Roman" w:cs="Times New Roman"/>
                <w:kern w:val="2"/>
                <w:sz w:val="21"/>
                <w:szCs w:val="21"/>
              </w:rPr>
            </w:pPr>
            <w:r>
              <w:rPr>
                <w:rFonts w:ascii="Times New Roman" w:eastAsia="Times New Roman" w:cs="Times New Roman"/>
                <w:spacing w:val="-6"/>
                <w:kern w:val="2"/>
                <w:sz w:val="21"/>
                <w:szCs w:val="21"/>
              </w:rPr>
              <w:t>1.38</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4174" w:type="dxa"/>
          </w:tcPr>
          <w:p>
            <w:pPr>
              <w:topLinePunct w:val="0"/>
              <w:adjustRightInd/>
              <w:spacing w:before="54" w:line="219" w:lineRule="auto"/>
              <w:ind w:left="1523" w:firstLine="0" w:firstLineChars="0"/>
              <w:rPr>
                <w:rFonts w:ascii="Times New Roman" w:cs="Times New Roman"/>
                <w:kern w:val="2"/>
                <w:sz w:val="21"/>
                <w:szCs w:val="21"/>
              </w:rPr>
            </w:pPr>
            <w:r>
              <w:rPr>
                <w:rFonts w:ascii="Times New Roman" w:eastAsia="Times New Roman" w:cs="Times New Roman"/>
                <w:spacing w:val="-6"/>
                <w:kern w:val="2"/>
                <w:sz w:val="21"/>
                <w:szCs w:val="21"/>
              </w:rPr>
              <w:t>1</w:t>
            </w:r>
            <w:r>
              <w:rPr>
                <w:rFonts w:ascii="Times New Roman" w:eastAsia="Times New Roman" w:cs="Times New Roman"/>
                <w:spacing w:val="-3"/>
                <w:kern w:val="2"/>
                <w:sz w:val="21"/>
                <w:szCs w:val="21"/>
              </w:rPr>
              <w:t>3.</w:t>
            </w:r>
            <w:r>
              <w:rPr>
                <w:rFonts w:ascii="Times New Roman" w:cs="Times New Roman"/>
                <w:spacing w:val="-3"/>
                <w:kern w:val="2"/>
                <w:sz w:val="21"/>
                <w:szCs w:val="21"/>
              </w:rPr>
              <w:t>中亚分布</w:t>
            </w:r>
          </w:p>
        </w:tc>
        <w:tc>
          <w:tcPr>
            <w:tcW w:w="1590" w:type="dxa"/>
          </w:tcPr>
          <w:p>
            <w:pPr>
              <w:topLinePunct w:val="0"/>
              <w:adjustRightInd/>
              <w:spacing w:before="72" w:line="186" w:lineRule="auto"/>
              <w:ind w:left="732" w:firstLine="0" w:firstLineChars="0"/>
              <w:rPr>
                <w:rFonts w:ascii="Times New Roman" w:eastAsia="Times New Roman" w:cs="Times New Roman"/>
                <w:kern w:val="2"/>
                <w:sz w:val="21"/>
                <w:szCs w:val="21"/>
              </w:rPr>
            </w:pPr>
            <w:r>
              <w:rPr>
                <w:rFonts w:ascii="Times New Roman" w:eastAsia="Times New Roman" w:cs="Times New Roman"/>
                <w:kern w:val="2"/>
                <w:sz w:val="21"/>
                <w:szCs w:val="21"/>
              </w:rPr>
              <w:t>1</w:t>
            </w:r>
          </w:p>
        </w:tc>
        <w:tc>
          <w:tcPr>
            <w:tcW w:w="2542" w:type="dxa"/>
          </w:tcPr>
          <w:p>
            <w:pPr>
              <w:topLinePunct w:val="0"/>
              <w:adjustRightInd/>
              <w:spacing w:before="72" w:line="186" w:lineRule="auto"/>
              <w:ind w:left="1059"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0.1</w:t>
            </w:r>
            <w:r>
              <w:rPr>
                <w:rFonts w:ascii="Times New Roman" w:eastAsia="Times New Roman" w:cs="Times New Roman"/>
                <w:spacing w:val="-1"/>
                <w:kern w:val="2"/>
                <w:sz w:val="21"/>
                <w:szCs w:val="21"/>
              </w:rPr>
              <w:t>6</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4174" w:type="dxa"/>
          </w:tcPr>
          <w:p>
            <w:pPr>
              <w:topLinePunct w:val="0"/>
              <w:adjustRightInd/>
              <w:spacing w:before="55" w:line="219" w:lineRule="auto"/>
              <w:ind w:left="1523" w:firstLine="0" w:firstLineChars="0"/>
              <w:rPr>
                <w:rFonts w:ascii="Times New Roman" w:cs="Times New Roman"/>
                <w:kern w:val="2"/>
                <w:sz w:val="21"/>
                <w:szCs w:val="21"/>
              </w:rPr>
            </w:pPr>
            <w:r>
              <w:rPr>
                <w:rFonts w:ascii="Times New Roman" w:eastAsia="Times New Roman" w:cs="Times New Roman"/>
                <w:spacing w:val="-6"/>
                <w:kern w:val="2"/>
                <w:sz w:val="21"/>
                <w:szCs w:val="21"/>
              </w:rPr>
              <w:t>1</w:t>
            </w:r>
            <w:r>
              <w:rPr>
                <w:rFonts w:ascii="Times New Roman" w:eastAsia="Times New Roman" w:cs="Times New Roman"/>
                <w:spacing w:val="-3"/>
                <w:kern w:val="2"/>
                <w:sz w:val="21"/>
                <w:szCs w:val="21"/>
              </w:rPr>
              <w:t>4.</w:t>
            </w:r>
            <w:r>
              <w:rPr>
                <w:rFonts w:ascii="Times New Roman" w:cs="Times New Roman"/>
                <w:spacing w:val="-3"/>
                <w:kern w:val="2"/>
                <w:sz w:val="21"/>
                <w:szCs w:val="21"/>
              </w:rPr>
              <w:t>东亚分布</w:t>
            </w:r>
          </w:p>
        </w:tc>
        <w:tc>
          <w:tcPr>
            <w:tcW w:w="1590" w:type="dxa"/>
          </w:tcPr>
          <w:p>
            <w:pPr>
              <w:topLinePunct w:val="0"/>
              <w:adjustRightInd/>
              <w:spacing w:before="73" w:line="186" w:lineRule="auto"/>
              <w:ind w:left="662" w:firstLine="0" w:firstLineChars="0"/>
              <w:rPr>
                <w:rFonts w:ascii="Times New Roman" w:eastAsia="Times New Roman" w:cs="Times New Roman"/>
                <w:kern w:val="2"/>
                <w:sz w:val="21"/>
                <w:szCs w:val="21"/>
              </w:rPr>
            </w:pPr>
            <w:r>
              <w:rPr>
                <w:rFonts w:ascii="Times New Roman" w:eastAsia="Times New Roman" w:cs="Times New Roman"/>
                <w:spacing w:val="-2"/>
                <w:kern w:val="2"/>
                <w:sz w:val="21"/>
                <w:szCs w:val="21"/>
              </w:rPr>
              <w:t>72</w:t>
            </w:r>
          </w:p>
        </w:tc>
        <w:tc>
          <w:tcPr>
            <w:tcW w:w="2542" w:type="dxa"/>
          </w:tcPr>
          <w:p>
            <w:pPr>
              <w:topLinePunct w:val="0"/>
              <w:adjustRightInd/>
              <w:spacing w:before="73" w:line="186" w:lineRule="auto"/>
              <w:ind w:left="1023" w:firstLine="0" w:firstLineChars="0"/>
              <w:rPr>
                <w:rFonts w:ascii="Times New Roman" w:eastAsia="Times New Roman" w:cs="Times New Roman"/>
                <w:kern w:val="2"/>
                <w:sz w:val="21"/>
                <w:szCs w:val="21"/>
              </w:rPr>
            </w:pPr>
            <w:r>
              <w:rPr>
                <w:rFonts w:ascii="Times New Roman" w:eastAsia="Times New Roman" w:cs="Times New Roman"/>
                <w:spacing w:val="-8"/>
                <w:kern w:val="2"/>
                <w:sz w:val="21"/>
                <w:szCs w:val="21"/>
              </w:rPr>
              <w:t>1</w:t>
            </w:r>
            <w:r>
              <w:rPr>
                <w:rFonts w:ascii="Times New Roman" w:eastAsia="Times New Roman" w:cs="Times New Roman"/>
                <w:spacing w:val="-4"/>
                <w:kern w:val="2"/>
                <w:sz w:val="21"/>
                <w:szCs w:val="21"/>
              </w:rPr>
              <w:t>4.23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4174" w:type="dxa"/>
          </w:tcPr>
          <w:p>
            <w:pPr>
              <w:topLinePunct w:val="0"/>
              <w:adjustRightInd/>
              <w:spacing w:before="56" w:line="219" w:lineRule="auto"/>
              <w:ind w:left="1523" w:firstLine="0" w:firstLineChars="0"/>
              <w:rPr>
                <w:rFonts w:ascii="Times New Roman" w:cs="Times New Roman"/>
                <w:kern w:val="2"/>
                <w:sz w:val="21"/>
                <w:szCs w:val="21"/>
              </w:rPr>
            </w:pPr>
            <w:r>
              <w:rPr>
                <w:rFonts w:ascii="Times New Roman" w:eastAsia="Times New Roman" w:cs="Times New Roman"/>
                <w:spacing w:val="-6"/>
                <w:kern w:val="2"/>
                <w:sz w:val="21"/>
                <w:szCs w:val="21"/>
              </w:rPr>
              <w:t>1</w:t>
            </w:r>
            <w:r>
              <w:rPr>
                <w:rFonts w:ascii="Times New Roman" w:eastAsia="Times New Roman" w:cs="Times New Roman"/>
                <w:spacing w:val="-3"/>
                <w:kern w:val="2"/>
                <w:sz w:val="21"/>
                <w:szCs w:val="21"/>
              </w:rPr>
              <w:t>5.</w:t>
            </w:r>
            <w:r>
              <w:rPr>
                <w:rFonts w:ascii="Times New Roman" w:cs="Times New Roman"/>
                <w:spacing w:val="-3"/>
                <w:kern w:val="2"/>
                <w:sz w:val="21"/>
                <w:szCs w:val="21"/>
              </w:rPr>
              <w:t>中国特有</w:t>
            </w:r>
          </w:p>
        </w:tc>
        <w:tc>
          <w:tcPr>
            <w:tcW w:w="1590" w:type="dxa"/>
          </w:tcPr>
          <w:p>
            <w:pPr>
              <w:topLinePunct w:val="0"/>
              <w:adjustRightInd/>
              <w:spacing w:before="72" w:line="186" w:lineRule="auto"/>
              <w:ind w:left="717" w:firstLine="0" w:firstLineChars="0"/>
              <w:rPr>
                <w:rFonts w:ascii="Times New Roman" w:eastAsia="Times New Roman" w:cs="Times New Roman"/>
                <w:kern w:val="2"/>
                <w:sz w:val="21"/>
                <w:szCs w:val="21"/>
              </w:rPr>
            </w:pPr>
            <w:r>
              <w:rPr>
                <w:rFonts w:ascii="Times New Roman" w:eastAsia="Times New Roman" w:cs="Times New Roman"/>
                <w:kern w:val="2"/>
                <w:sz w:val="21"/>
                <w:szCs w:val="21"/>
              </w:rPr>
              <w:t>6</w:t>
            </w:r>
          </w:p>
        </w:tc>
        <w:tc>
          <w:tcPr>
            <w:tcW w:w="2542" w:type="dxa"/>
          </w:tcPr>
          <w:p>
            <w:pPr>
              <w:topLinePunct w:val="0"/>
              <w:adjustRightInd/>
              <w:spacing w:before="72" w:line="186" w:lineRule="auto"/>
              <w:ind w:left="1076" w:firstLine="0" w:firstLineChars="0"/>
              <w:rPr>
                <w:rFonts w:ascii="Times New Roman" w:eastAsia="Times New Roman" w:cs="Times New Roman"/>
                <w:kern w:val="2"/>
                <w:sz w:val="21"/>
                <w:szCs w:val="21"/>
              </w:rPr>
            </w:pPr>
            <w:r>
              <w:rPr>
                <w:rFonts w:ascii="Times New Roman" w:eastAsia="Times New Roman" w:cs="Times New Roman"/>
                <w:spacing w:val="-6"/>
                <w:kern w:val="2"/>
                <w:sz w:val="21"/>
                <w:szCs w:val="21"/>
              </w:rPr>
              <w:t>1.19</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4174" w:type="dxa"/>
          </w:tcPr>
          <w:p>
            <w:pPr>
              <w:topLinePunct w:val="0"/>
              <w:adjustRightInd/>
              <w:spacing w:before="55" w:line="221" w:lineRule="auto"/>
              <w:ind w:left="1691" w:firstLine="0" w:firstLineChars="0"/>
              <w:rPr>
                <w:rFonts w:ascii="Times New Roman" w:cs="Times New Roman"/>
                <w:kern w:val="2"/>
                <w:sz w:val="21"/>
                <w:szCs w:val="21"/>
              </w:rPr>
            </w:pPr>
            <w:r>
              <w:rPr>
                <w:rFonts w:ascii="Times New Roman" w:cs="Times New Roman"/>
                <w:spacing w:val="-1"/>
                <w:kern w:val="2"/>
                <w:sz w:val="21"/>
                <w:szCs w:val="21"/>
              </w:rPr>
              <w:t>合</w:t>
            </w:r>
            <w:r>
              <w:rPr>
                <w:rFonts w:ascii="Times New Roman" w:cs="Times New Roman"/>
                <w:kern w:val="2"/>
                <w:sz w:val="21"/>
                <w:szCs w:val="21"/>
              </w:rPr>
              <w:t>计</w:t>
            </w:r>
          </w:p>
        </w:tc>
        <w:tc>
          <w:tcPr>
            <w:tcW w:w="1590" w:type="dxa"/>
          </w:tcPr>
          <w:p>
            <w:pPr>
              <w:topLinePunct w:val="0"/>
              <w:adjustRightInd/>
              <w:spacing w:before="72" w:line="186" w:lineRule="auto"/>
              <w:ind w:left="612" w:firstLine="0" w:firstLineChars="0"/>
              <w:rPr>
                <w:rFonts w:ascii="Times New Roman" w:eastAsia="Times New Roman" w:cs="Times New Roman"/>
                <w:kern w:val="2"/>
                <w:sz w:val="21"/>
                <w:szCs w:val="21"/>
              </w:rPr>
            </w:pPr>
            <w:r>
              <w:rPr>
                <w:rFonts w:ascii="Times New Roman" w:eastAsia="Times New Roman" w:cs="Times New Roman"/>
                <w:spacing w:val="-3"/>
                <w:kern w:val="2"/>
                <w:sz w:val="21"/>
                <w:szCs w:val="21"/>
              </w:rPr>
              <w:t>5</w:t>
            </w:r>
            <w:r>
              <w:rPr>
                <w:rFonts w:ascii="Times New Roman" w:eastAsia="Times New Roman" w:cs="Times New Roman"/>
                <w:spacing w:val="-2"/>
                <w:kern w:val="2"/>
                <w:sz w:val="21"/>
                <w:szCs w:val="21"/>
              </w:rPr>
              <w:t>06</w:t>
            </w:r>
          </w:p>
        </w:tc>
        <w:tc>
          <w:tcPr>
            <w:tcW w:w="2542" w:type="dxa"/>
          </w:tcPr>
          <w:p>
            <w:pPr>
              <w:topLinePunct w:val="0"/>
              <w:adjustRightInd/>
              <w:spacing w:before="72" w:line="186" w:lineRule="auto"/>
              <w:ind w:firstLine="0" w:firstLineChars="0"/>
              <w:jc w:val="center"/>
              <w:rPr>
                <w:rFonts w:ascii="Times New Roman" w:cs="Times New Roman" w:eastAsiaTheme="minorEastAsia"/>
                <w:kern w:val="2"/>
                <w:sz w:val="21"/>
                <w:szCs w:val="21"/>
              </w:rPr>
            </w:pPr>
            <w:r>
              <w:rPr>
                <w:rFonts w:ascii="Times New Roman" w:eastAsia="Times New Roman" w:cs="Times New Roman"/>
                <w:spacing w:val="-4"/>
                <w:kern w:val="2"/>
                <w:sz w:val="21"/>
                <w:szCs w:val="21"/>
              </w:rPr>
              <w:t>100</w:t>
            </w:r>
          </w:p>
        </w:tc>
      </w:tr>
    </w:tbl>
    <w:p>
      <w:pPr>
        <w:topLinePunct w:val="0"/>
        <w:adjustRightInd/>
        <w:spacing w:before="29" w:line="233" w:lineRule="auto"/>
        <w:ind w:left="458" w:firstLine="0" w:firstLineChars="0"/>
        <w:rPr>
          <w:rFonts w:ascii="Times New Roman" w:cs="Times New Roman"/>
          <w:kern w:val="2"/>
          <w:sz w:val="21"/>
          <w:szCs w:val="21"/>
        </w:rPr>
      </w:pPr>
      <w:r>
        <w:rPr>
          <w:rFonts w:ascii="Times New Roman" w:cs="Times New Roman"/>
          <w:spacing w:val="-23"/>
          <w:kern w:val="2"/>
          <w:sz w:val="21"/>
          <w:szCs w:val="21"/>
        </w:rPr>
        <w:t>注</w:t>
      </w:r>
      <w:r>
        <w:rPr>
          <w:rFonts w:hint="eastAsia" w:ascii="Times New Roman" w:cs="Times New Roman"/>
          <w:spacing w:val="-23"/>
          <w:kern w:val="2"/>
          <w:sz w:val="21"/>
          <w:szCs w:val="21"/>
        </w:rPr>
        <w:t>：</w:t>
      </w:r>
      <w:r>
        <w:rPr>
          <w:rFonts w:hint="eastAsia" w:ascii="Times New Roman" w:cs="Times New Roman"/>
          <w:spacing w:val="-14"/>
          <w:kern w:val="2"/>
          <w:sz w:val="21"/>
          <w:szCs w:val="21"/>
        </w:rPr>
        <w:t>“*”</w:t>
      </w:r>
      <w:r>
        <w:rPr>
          <w:rFonts w:ascii="Times New Roman" w:cs="Times New Roman"/>
          <w:spacing w:val="-14"/>
          <w:kern w:val="2"/>
          <w:sz w:val="21"/>
          <w:szCs w:val="21"/>
        </w:rPr>
        <w:t>不含世界广布类型</w:t>
      </w:r>
    </w:p>
    <w:p>
      <w:pPr>
        <w:pStyle w:val="112"/>
        <w:ind w:firstLine="500"/>
        <w:rPr>
          <w:spacing w:val="15"/>
          <w:kern w:val="2"/>
          <w:szCs w:val="24"/>
        </w:rPr>
      </w:pPr>
      <w:r>
        <w:rPr>
          <w:spacing w:val="5"/>
          <w:kern w:val="2"/>
          <w:szCs w:val="24"/>
        </w:rPr>
        <w:t>上表的统计结果来看，</w:t>
      </w:r>
      <w:r>
        <w:rPr>
          <w:rFonts w:hint="eastAsia"/>
          <w:spacing w:val="5"/>
          <w:kern w:val="2"/>
          <w:szCs w:val="24"/>
        </w:rPr>
        <w:t>项目区域</w:t>
      </w:r>
      <w:r>
        <w:rPr>
          <w:spacing w:val="5"/>
          <w:kern w:val="2"/>
          <w:szCs w:val="24"/>
        </w:rPr>
        <w:t>热带分布区类型属</w:t>
      </w:r>
      <w:r>
        <w:rPr>
          <w:rFonts w:hint="eastAsia"/>
          <w:spacing w:val="5"/>
          <w:kern w:val="2"/>
          <w:szCs w:val="24"/>
        </w:rPr>
        <w:t>（</w:t>
      </w:r>
      <w:r>
        <w:rPr>
          <w:rFonts w:eastAsia="Times New Roman"/>
          <w:spacing w:val="5"/>
          <w:kern w:val="2"/>
          <w:szCs w:val="24"/>
        </w:rPr>
        <w:t>2-7</w:t>
      </w:r>
      <w:r>
        <w:rPr>
          <w:rFonts w:hint="eastAsia"/>
          <w:spacing w:val="5"/>
          <w:kern w:val="2"/>
          <w:szCs w:val="24"/>
        </w:rPr>
        <w:t>）</w:t>
      </w:r>
      <w:r>
        <w:rPr>
          <w:spacing w:val="5"/>
          <w:kern w:val="2"/>
          <w:szCs w:val="24"/>
        </w:rPr>
        <w:t>含有</w:t>
      </w:r>
      <w:r>
        <w:rPr>
          <w:rFonts w:eastAsia="Times New Roman"/>
          <w:spacing w:val="5"/>
          <w:kern w:val="2"/>
          <w:szCs w:val="24"/>
        </w:rPr>
        <w:t>199</w:t>
      </w:r>
      <w:r>
        <w:rPr>
          <w:spacing w:val="5"/>
          <w:kern w:val="2"/>
          <w:szCs w:val="24"/>
        </w:rPr>
        <w:t>属，占</w:t>
      </w:r>
      <w:r>
        <w:rPr>
          <w:rFonts w:hint="eastAsia"/>
          <w:spacing w:val="4"/>
          <w:kern w:val="2"/>
          <w:szCs w:val="24"/>
        </w:rPr>
        <w:t>项目区域</w:t>
      </w:r>
      <w:r>
        <w:rPr>
          <w:spacing w:val="-1"/>
          <w:kern w:val="2"/>
          <w:szCs w:val="24"/>
        </w:rPr>
        <w:t>非世界分布种子植物总属数的</w:t>
      </w:r>
      <w:r>
        <w:rPr>
          <w:rFonts w:eastAsia="Times New Roman"/>
          <w:spacing w:val="-1"/>
          <w:kern w:val="2"/>
          <w:szCs w:val="24"/>
        </w:rPr>
        <w:t>39.35%</w:t>
      </w:r>
      <w:r>
        <w:rPr>
          <w:spacing w:val="-1"/>
          <w:kern w:val="2"/>
          <w:szCs w:val="24"/>
        </w:rPr>
        <w:t>，具有代表性的属</w:t>
      </w:r>
      <w:r>
        <w:rPr>
          <w:kern w:val="2"/>
          <w:szCs w:val="24"/>
        </w:rPr>
        <w:t>有冬青属</w:t>
      </w:r>
      <w:r>
        <w:rPr>
          <w:rFonts w:eastAsia="Times New Roman"/>
          <w:i/>
          <w:iCs/>
          <w:kern w:val="2"/>
          <w:szCs w:val="24"/>
        </w:rPr>
        <w:t>Ilex</w:t>
      </w:r>
      <w:r>
        <w:rPr>
          <w:kern w:val="2"/>
          <w:szCs w:val="24"/>
        </w:rPr>
        <w:t>、柃木属</w:t>
      </w:r>
      <w:r>
        <w:rPr>
          <w:rFonts w:eastAsia="Times New Roman"/>
          <w:i/>
          <w:iCs/>
          <w:spacing w:val="-4"/>
          <w:kern w:val="2"/>
          <w:szCs w:val="24"/>
        </w:rPr>
        <w:t>Eurya</w:t>
      </w:r>
      <w:r>
        <w:rPr>
          <w:spacing w:val="-4"/>
          <w:kern w:val="2"/>
          <w:szCs w:val="24"/>
        </w:rPr>
        <w:t>、凤仙花属</w:t>
      </w:r>
      <w:r>
        <w:rPr>
          <w:rFonts w:eastAsia="Times New Roman"/>
          <w:i/>
          <w:iCs/>
          <w:spacing w:val="-4"/>
          <w:kern w:val="2"/>
          <w:szCs w:val="24"/>
        </w:rPr>
        <w:t>Impatiens</w:t>
      </w:r>
      <w:r>
        <w:rPr>
          <w:spacing w:val="-4"/>
          <w:kern w:val="2"/>
          <w:szCs w:val="24"/>
        </w:rPr>
        <w:t>、醉鱼草属</w:t>
      </w:r>
      <w:r>
        <w:rPr>
          <w:rFonts w:eastAsia="Times New Roman"/>
          <w:i/>
          <w:iCs/>
          <w:spacing w:val="-4"/>
          <w:kern w:val="2"/>
          <w:szCs w:val="24"/>
        </w:rPr>
        <w:t>Buddl</w:t>
      </w:r>
      <w:r>
        <w:rPr>
          <w:rFonts w:eastAsia="Times New Roman"/>
          <w:i/>
          <w:iCs/>
          <w:spacing w:val="-2"/>
          <w:kern w:val="2"/>
          <w:szCs w:val="24"/>
        </w:rPr>
        <w:t>e</w:t>
      </w:r>
      <w:r>
        <w:rPr>
          <w:rFonts w:eastAsia="Times New Roman"/>
          <w:i/>
          <w:iCs/>
          <w:kern w:val="2"/>
          <w:szCs w:val="24"/>
        </w:rPr>
        <w:t>ja</w:t>
      </w:r>
      <w:r>
        <w:rPr>
          <w:spacing w:val="-4"/>
          <w:kern w:val="2"/>
          <w:szCs w:val="24"/>
        </w:rPr>
        <w:t>等；温带分布区类型</w:t>
      </w:r>
      <w:r>
        <w:rPr>
          <w:rFonts w:hint="eastAsia"/>
          <w:spacing w:val="-4"/>
          <w:kern w:val="2"/>
          <w:szCs w:val="24"/>
        </w:rPr>
        <w:t>（</w:t>
      </w:r>
      <w:r>
        <w:rPr>
          <w:rFonts w:eastAsia="Times New Roman"/>
          <w:spacing w:val="-4"/>
          <w:kern w:val="2"/>
          <w:szCs w:val="24"/>
        </w:rPr>
        <w:t>8-14</w:t>
      </w:r>
      <w:r>
        <w:rPr>
          <w:rFonts w:hint="eastAsia"/>
          <w:spacing w:val="-4"/>
          <w:kern w:val="2"/>
          <w:szCs w:val="24"/>
        </w:rPr>
        <w:t>）</w:t>
      </w:r>
      <w:r>
        <w:rPr>
          <w:spacing w:val="-4"/>
          <w:kern w:val="2"/>
          <w:szCs w:val="24"/>
        </w:rPr>
        <w:t>含有</w:t>
      </w:r>
      <w:r>
        <w:rPr>
          <w:rFonts w:eastAsia="Times New Roman"/>
          <w:spacing w:val="1"/>
          <w:kern w:val="2"/>
          <w:szCs w:val="24"/>
        </w:rPr>
        <w:t>257</w:t>
      </w:r>
      <w:r>
        <w:rPr>
          <w:spacing w:val="1"/>
          <w:kern w:val="2"/>
          <w:szCs w:val="24"/>
        </w:rPr>
        <w:t>属，占评价区非世界分布种子植物</w:t>
      </w:r>
      <w:r>
        <w:rPr>
          <w:kern w:val="2"/>
          <w:szCs w:val="24"/>
        </w:rPr>
        <w:t>总属数的</w:t>
      </w:r>
      <w:r>
        <w:rPr>
          <w:rFonts w:eastAsia="Times New Roman"/>
          <w:kern w:val="2"/>
          <w:szCs w:val="24"/>
        </w:rPr>
        <w:t>50.84%</w:t>
      </w:r>
      <w:r>
        <w:rPr>
          <w:kern w:val="2"/>
          <w:szCs w:val="24"/>
        </w:rPr>
        <w:t>，具有代表性的有胡颓子</w:t>
      </w:r>
      <w:r>
        <w:rPr>
          <w:spacing w:val="-8"/>
          <w:kern w:val="2"/>
          <w:szCs w:val="24"/>
        </w:rPr>
        <w:t>属</w:t>
      </w:r>
      <w:r>
        <w:rPr>
          <w:rFonts w:eastAsia="Times New Roman"/>
          <w:i/>
          <w:iCs/>
          <w:spacing w:val="-4"/>
          <w:kern w:val="2"/>
          <w:szCs w:val="24"/>
        </w:rPr>
        <w:t>Elaeagnus</w:t>
      </w:r>
      <w:r>
        <w:rPr>
          <w:spacing w:val="-8"/>
          <w:kern w:val="2"/>
          <w:szCs w:val="24"/>
        </w:rPr>
        <w:t>、胡桃属</w:t>
      </w:r>
      <w:r>
        <w:rPr>
          <w:rFonts w:eastAsia="Times New Roman"/>
          <w:i/>
          <w:iCs/>
          <w:spacing w:val="-4"/>
          <w:kern w:val="2"/>
          <w:szCs w:val="24"/>
        </w:rPr>
        <w:t>Juglans</w:t>
      </w:r>
      <w:r>
        <w:rPr>
          <w:spacing w:val="-8"/>
          <w:kern w:val="2"/>
          <w:szCs w:val="24"/>
        </w:rPr>
        <w:t>、</w:t>
      </w:r>
      <w:r>
        <w:rPr>
          <w:spacing w:val="-7"/>
          <w:kern w:val="2"/>
          <w:szCs w:val="24"/>
        </w:rPr>
        <w:t>报</w:t>
      </w:r>
      <w:r>
        <w:rPr>
          <w:spacing w:val="-4"/>
          <w:kern w:val="2"/>
          <w:szCs w:val="24"/>
        </w:rPr>
        <w:t>春花属</w:t>
      </w:r>
      <w:r>
        <w:rPr>
          <w:rFonts w:eastAsia="Times New Roman"/>
          <w:i/>
          <w:iCs/>
          <w:spacing w:val="-4"/>
          <w:kern w:val="2"/>
          <w:szCs w:val="24"/>
        </w:rPr>
        <w:t>Primula</w:t>
      </w:r>
      <w:r>
        <w:rPr>
          <w:spacing w:val="-4"/>
          <w:kern w:val="2"/>
          <w:szCs w:val="24"/>
        </w:rPr>
        <w:t>、杜鹃属</w:t>
      </w:r>
      <w:r>
        <w:rPr>
          <w:rFonts w:eastAsia="Times New Roman"/>
          <w:i/>
          <w:iCs/>
          <w:spacing w:val="-4"/>
          <w:kern w:val="2"/>
          <w:szCs w:val="24"/>
        </w:rPr>
        <w:t>Rhododendron</w:t>
      </w:r>
      <w:r>
        <w:rPr>
          <w:spacing w:val="-4"/>
          <w:kern w:val="2"/>
          <w:szCs w:val="24"/>
        </w:rPr>
        <w:t>、胡枝子</w:t>
      </w:r>
      <w:r>
        <w:rPr>
          <w:spacing w:val="-10"/>
          <w:kern w:val="2"/>
          <w:szCs w:val="24"/>
        </w:rPr>
        <w:t>属</w:t>
      </w:r>
      <w:r>
        <w:rPr>
          <w:rFonts w:eastAsia="Times New Roman"/>
          <w:i/>
          <w:iCs/>
          <w:spacing w:val="-10"/>
          <w:kern w:val="2"/>
          <w:szCs w:val="24"/>
        </w:rPr>
        <w:t>Lespedeza</w:t>
      </w:r>
      <w:r>
        <w:rPr>
          <w:spacing w:val="-10"/>
          <w:kern w:val="2"/>
          <w:szCs w:val="24"/>
        </w:rPr>
        <w:t>、接骨木属</w:t>
      </w:r>
      <w:r>
        <w:rPr>
          <w:rFonts w:eastAsia="Times New Roman"/>
          <w:i/>
          <w:iCs/>
          <w:spacing w:val="-10"/>
          <w:kern w:val="2"/>
          <w:szCs w:val="24"/>
        </w:rPr>
        <w:t>Sambucus</w:t>
      </w:r>
      <w:r>
        <w:rPr>
          <w:spacing w:val="-10"/>
          <w:kern w:val="2"/>
          <w:szCs w:val="24"/>
        </w:rPr>
        <w:t>、楤木属</w:t>
      </w:r>
      <w:r>
        <w:rPr>
          <w:rFonts w:eastAsia="Times New Roman"/>
          <w:i/>
          <w:iCs/>
          <w:spacing w:val="-10"/>
          <w:kern w:val="2"/>
          <w:szCs w:val="24"/>
        </w:rPr>
        <w:t>Aralia</w:t>
      </w:r>
      <w:r>
        <w:rPr>
          <w:spacing w:val="-10"/>
          <w:kern w:val="2"/>
          <w:szCs w:val="24"/>
        </w:rPr>
        <w:t>、马桑属</w:t>
      </w:r>
      <w:r>
        <w:rPr>
          <w:rFonts w:eastAsia="Times New Roman"/>
          <w:i/>
          <w:iCs/>
          <w:spacing w:val="-10"/>
          <w:kern w:val="2"/>
          <w:szCs w:val="24"/>
        </w:rPr>
        <w:t>Coriaria</w:t>
      </w:r>
      <w:r>
        <w:rPr>
          <w:spacing w:val="-10"/>
          <w:kern w:val="2"/>
          <w:szCs w:val="24"/>
        </w:rPr>
        <w:t>、荚蒾属</w:t>
      </w:r>
      <w:r>
        <w:rPr>
          <w:rFonts w:eastAsia="Times New Roman"/>
          <w:i/>
          <w:iCs/>
          <w:spacing w:val="-10"/>
          <w:kern w:val="2"/>
          <w:szCs w:val="24"/>
        </w:rPr>
        <w:t>Viburnu</w:t>
      </w:r>
      <w:r>
        <w:rPr>
          <w:rFonts w:eastAsia="Times New Roman"/>
          <w:i/>
          <w:iCs/>
          <w:spacing w:val="-1"/>
          <w:kern w:val="2"/>
          <w:szCs w:val="24"/>
        </w:rPr>
        <w:t>m</w:t>
      </w:r>
      <w:r>
        <w:rPr>
          <w:spacing w:val="-10"/>
          <w:kern w:val="2"/>
          <w:szCs w:val="24"/>
        </w:rPr>
        <w:t>、</w:t>
      </w:r>
      <w:r>
        <w:rPr>
          <w:spacing w:val="-6"/>
          <w:kern w:val="2"/>
          <w:szCs w:val="24"/>
        </w:rPr>
        <w:t>栎属</w:t>
      </w:r>
      <w:r>
        <w:rPr>
          <w:rFonts w:eastAsia="Times New Roman"/>
          <w:i/>
          <w:iCs/>
          <w:spacing w:val="-3"/>
          <w:kern w:val="2"/>
          <w:szCs w:val="24"/>
        </w:rPr>
        <w:t>Quercus</w:t>
      </w:r>
      <w:r>
        <w:rPr>
          <w:spacing w:val="-6"/>
          <w:kern w:val="2"/>
          <w:szCs w:val="24"/>
        </w:rPr>
        <w:t>、蔷薇属</w:t>
      </w:r>
      <w:r>
        <w:rPr>
          <w:rFonts w:eastAsia="Times New Roman"/>
          <w:i/>
          <w:iCs/>
          <w:spacing w:val="-3"/>
          <w:kern w:val="2"/>
          <w:szCs w:val="24"/>
        </w:rPr>
        <w:t>Rosa</w:t>
      </w:r>
      <w:r>
        <w:rPr>
          <w:spacing w:val="-6"/>
          <w:kern w:val="2"/>
          <w:szCs w:val="24"/>
        </w:rPr>
        <w:t>、忍冬属</w:t>
      </w:r>
      <w:r>
        <w:rPr>
          <w:rFonts w:eastAsia="Times New Roman"/>
          <w:i/>
          <w:iCs/>
          <w:spacing w:val="-3"/>
          <w:kern w:val="2"/>
          <w:szCs w:val="24"/>
        </w:rPr>
        <w:t>Lonicera</w:t>
      </w:r>
      <w:r>
        <w:rPr>
          <w:spacing w:val="-4"/>
          <w:kern w:val="2"/>
          <w:szCs w:val="24"/>
        </w:rPr>
        <w:t>、</w:t>
      </w:r>
      <w:r>
        <w:rPr>
          <w:spacing w:val="-3"/>
          <w:kern w:val="2"/>
          <w:szCs w:val="24"/>
        </w:rPr>
        <w:t>香青属</w:t>
      </w:r>
      <w:r>
        <w:rPr>
          <w:rFonts w:eastAsia="Times New Roman"/>
          <w:i/>
          <w:iCs/>
          <w:spacing w:val="-3"/>
          <w:kern w:val="2"/>
          <w:szCs w:val="24"/>
        </w:rPr>
        <w:t>Anaphalis</w:t>
      </w:r>
      <w:r>
        <w:rPr>
          <w:spacing w:val="-3"/>
          <w:kern w:val="2"/>
          <w:szCs w:val="24"/>
        </w:rPr>
        <w:t>等；中国特有植</w:t>
      </w:r>
      <w:r>
        <w:rPr>
          <w:spacing w:val="-16"/>
          <w:kern w:val="2"/>
          <w:szCs w:val="24"/>
        </w:rPr>
        <w:t>物</w:t>
      </w:r>
      <w:r>
        <w:rPr>
          <w:spacing w:val="-9"/>
          <w:kern w:val="2"/>
          <w:szCs w:val="24"/>
        </w:rPr>
        <w:t>属</w:t>
      </w:r>
      <w:r>
        <w:rPr>
          <w:rFonts w:eastAsia="Times New Roman"/>
          <w:spacing w:val="-8"/>
          <w:kern w:val="2"/>
          <w:szCs w:val="24"/>
        </w:rPr>
        <w:t>6</w:t>
      </w:r>
      <w:r>
        <w:rPr>
          <w:spacing w:val="-8"/>
          <w:kern w:val="2"/>
          <w:szCs w:val="24"/>
        </w:rPr>
        <w:t>属，占</w:t>
      </w:r>
      <w:r>
        <w:rPr>
          <w:rFonts w:eastAsia="Times New Roman"/>
          <w:spacing w:val="-8"/>
          <w:kern w:val="2"/>
          <w:szCs w:val="24"/>
        </w:rPr>
        <w:t>1.19%</w:t>
      </w:r>
      <w:r>
        <w:rPr>
          <w:spacing w:val="-8"/>
          <w:kern w:val="2"/>
          <w:szCs w:val="24"/>
        </w:rPr>
        <w:t>，分别是喜树属</w:t>
      </w:r>
      <w:r>
        <w:rPr>
          <w:rFonts w:eastAsia="Times New Roman"/>
          <w:i/>
          <w:iCs/>
          <w:spacing w:val="-8"/>
          <w:kern w:val="2"/>
          <w:szCs w:val="24"/>
        </w:rPr>
        <w:t>Camptotheca</w:t>
      </w:r>
      <w:r>
        <w:rPr>
          <w:spacing w:val="-8"/>
          <w:kern w:val="2"/>
          <w:szCs w:val="24"/>
        </w:rPr>
        <w:t>、杉木属</w:t>
      </w:r>
      <w:r>
        <w:rPr>
          <w:rFonts w:eastAsia="Times New Roman"/>
          <w:i/>
          <w:iCs/>
          <w:spacing w:val="-8"/>
          <w:kern w:val="2"/>
          <w:szCs w:val="24"/>
        </w:rPr>
        <w:t>Cunninghamia</w:t>
      </w:r>
      <w:r>
        <w:rPr>
          <w:spacing w:val="-8"/>
          <w:kern w:val="2"/>
          <w:szCs w:val="24"/>
        </w:rPr>
        <w:t>、银杏属</w:t>
      </w:r>
      <w:r>
        <w:rPr>
          <w:rFonts w:eastAsia="Times New Roman"/>
          <w:i/>
          <w:iCs/>
          <w:spacing w:val="-2"/>
          <w:kern w:val="2"/>
          <w:szCs w:val="24"/>
        </w:rPr>
        <w:t>Ginkgo</w:t>
      </w:r>
      <w:r>
        <w:rPr>
          <w:spacing w:val="-2"/>
          <w:kern w:val="2"/>
          <w:szCs w:val="24"/>
        </w:rPr>
        <w:t>、水杉属</w:t>
      </w:r>
      <w:r>
        <w:rPr>
          <w:rFonts w:eastAsia="Times New Roman"/>
          <w:i/>
          <w:iCs/>
          <w:spacing w:val="-2"/>
          <w:kern w:val="2"/>
          <w:szCs w:val="24"/>
        </w:rPr>
        <w:t>Metasequoia</w:t>
      </w:r>
      <w:r>
        <w:rPr>
          <w:spacing w:val="-2"/>
          <w:kern w:val="2"/>
          <w:szCs w:val="24"/>
        </w:rPr>
        <w:t>、慈竹属</w:t>
      </w:r>
      <w:r>
        <w:rPr>
          <w:rFonts w:eastAsia="Times New Roman"/>
          <w:i/>
          <w:iCs/>
          <w:spacing w:val="-2"/>
          <w:kern w:val="2"/>
          <w:szCs w:val="24"/>
        </w:rPr>
        <w:t>Neos</w:t>
      </w:r>
      <w:r>
        <w:rPr>
          <w:rFonts w:eastAsia="Times New Roman"/>
          <w:i/>
          <w:iCs/>
          <w:spacing w:val="-1"/>
          <w:kern w:val="2"/>
          <w:szCs w:val="24"/>
        </w:rPr>
        <w:t>inocalamus</w:t>
      </w:r>
      <w:r>
        <w:rPr>
          <w:spacing w:val="-2"/>
          <w:kern w:val="2"/>
          <w:szCs w:val="24"/>
        </w:rPr>
        <w:t>、通脱木属</w:t>
      </w:r>
      <w:r>
        <w:rPr>
          <w:rFonts w:eastAsia="Times New Roman"/>
          <w:i/>
          <w:iCs/>
          <w:spacing w:val="-1"/>
          <w:kern w:val="2"/>
          <w:szCs w:val="24"/>
        </w:rPr>
        <w:t>Tetrapanax</w:t>
      </w:r>
      <w:r>
        <w:rPr>
          <w:spacing w:val="-2"/>
          <w:kern w:val="2"/>
          <w:szCs w:val="24"/>
        </w:rPr>
        <w:t>。从</w:t>
      </w:r>
      <w:r>
        <w:rPr>
          <w:spacing w:val="3"/>
          <w:kern w:val="2"/>
          <w:szCs w:val="24"/>
        </w:rPr>
        <w:t>属的分布区类型来看，</w:t>
      </w:r>
      <w:r>
        <w:rPr>
          <w:rFonts w:hint="eastAsia"/>
          <w:spacing w:val="3"/>
          <w:kern w:val="2"/>
          <w:szCs w:val="24"/>
        </w:rPr>
        <w:t>区域</w:t>
      </w:r>
      <w:r>
        <w:rPr>
          <w:spacing w:val="3"/>
          <w:kern w:val="2"/>
          <w:szCs w:val="24"/>
        </w:rPr>
        <w:t>内种子植物区系成分以北温带分布、东亚分布、</w:t>
      </w:r>
      <w:r>
        <w:rPr>
          <w:spacing w:val="1"/>
          <w:kern w:val="2"/>
          <w:szCs w:val="24"/>
        </w:rPr>
        <w:t>泛</w:t>
      </w:r>
      <w:r>
        <w:rPr>
          <w:spacing w:val="3"/>
          <w:kern w:val="2"/>
          <w:szCs w:val="24"/>
        </w:rPr>
        <w:t>热带分布、东亚和北美洲间断分布、旧世界温带所代表的温带成分为主，同时</w:t>
      </w:r>
      <w:r>
        <w:rPr>
          <w:spacing w:val="1"/>
          <w:kern w:val="2"/>
          <w:szCs w:val="24"/>
        </w:rPr>
        <w:t>热</w:t>
      </w:r>
      <w:r>
        <w:rPr>
          <w:spacing w:val="3"/>
          <w:kern w:val="2"/>
          <w:szCs w:val="24"/>
        </w:rPr>
        <w:t>带成分也有近四分之一的比例，反映出</w:t>
      </w:r>
      <w:r>
        <w:rPr>
          <w:rFonts w:hint="eastAsia"/>
          <w:spacing w:val="3"/>
          <w:kern w:val="2"/>
          <w:szCs w:val="24"/>
        </w:rPr>
        <w:t>项目区域</w:t>
      </w:r>
      <w:r>
        <w:rPr>
          <w:spacing w:val="3"/>
          <w:kern w:val="2"/>
          <w:szCs w:val="24"/>
        </w:rPr>
        <w:t>种子植物在属级水平上区系性质</w:t>
      </w:r>
      <w:r>
        <w:rPr>
          <w:spacing w:val="1"/>
          <w:kern w:val="2"/>
          <w:szCs w:val="24"/>
        </w:rPr>
        <w:t>的</w:t>
      </w:r>
      <w:r>
        <w:rPr>
          <w:spacing w:val="3"/>
          <w:kern w:val="2"/>
          <w:szCs w:val="24"/>
        </w:rPr>
        <w:t>复杂性，种子植物温带分布属显著多于其他区系成分，因此</w:t>
      </w:r>
      <w:r>
        <w:rPr>
          <w:rFonts w:hint="eastAsia"/>
          <w:spacing w:val="3"/>
          <w:kern w:val="2"/>
          <w:szCs w:val="24"/>
        </w:rPr>
        <w:t>项目区域</w:t>
      </w:r>
      <w:r>
        <w:rPr>
          <w:spacing w:val="3"/>
          <w:kern w:val="2"/>
          <w:szCs w:val="24"/>
        </w:rPr>
        <w:t>种子植物带</w:t>
      </w:r>
      <w:r>
        <w:rPr>
          <w:spacing w:val="1"/>
          <w:kern w:val="2"/>
          <w:szCs w:val="24"/>
        </w:rPr>
        <w:t>有</w:t>
      </w:r>
      <w:r>
        <w:rPr>
          <w:spacing w:val="-6"/>
          <w:kern w:val="2"/>
          <w:szCs w:val="24"/>
        </w:rPr>
        <w:t>极其明显的温带</w:t>
      </w:r>
      <w:r>
        <w:rPr>
          <w:spacing w:val="-4"/>
          <w:kern w:val="2"/>
          <w:szCs w:val="24"/>
        </w:rPr>
        <w:t>成</w:t>
      </w:r>
      <w:r>
        <w:rPr>
          <w:spacing w:val="-3"/>
          <w:kern w:val="2"/>
          <w:szCs w:val="24"/>
        </w:rPr>
        <w:t>分性质，这与</w:t>
      </w:r>
      <w:r>
        <w:rPr>
          <w:rFonts w:hint="eastAsia"/>
          <w:spacing w:val="-3"/>
          <w:kern w:val="2"/>
          <w:szCs w:val="24"/>
        </w:rPr>
        <w:t>项目区域</w:t>
      </w:r>
      <w:r>
        <w:rPr>
          <w:spacing w:val="-3"/>
          <w:kern w:val="2"/>
          <w:szCs w:val="24"/>
        </w:rPr>
        <w:t>所处的</w:t>
      </w:r>
      <w:r>
        <w:rPr>
          <w:rFonts w:hint="eastAsia"/>
          <w:spacing w:val="-3"/>
          <w:kern w:val="2"/>
          <w:szCs w:val="24"/>
        </w:rPr>
        <w:t>“</w:t>
      </w:r>
      <w:r>
        <w:rPr>
          <w:spacing w:val="-3"/>
          <w:kern w:val="2"/>
          <w:szCs w:val="24"/>
        </w:rPr>
        <w:t>亚热带常绿阔叶林区域</w:t>
      </w:r>
      <w:r>
        <w:rPr>
          <w:rFonts w:eastAsia="Times New Roman"/>
          <w:spacing w:val="-3"/>
          <w:kern w:val="2"/>
          <w:szCs w:val="24"/>
        </w:rPr>
        <w:t>—</w:t>
      </w:r>
      <w:r>
        <w:rPr>
          <w:spacing w:val="-3"/>
          <w:kern w:val="2"/>
          <w:szCs w:val="24"/>
        </w:rPr>
        <w:t>川东盆地</w:t>
      </w:r>
      <w:r>
        <w:rPr>
          <w:spacing w:val="8"/>
          <w:kern w:val="2"/>
          <w:szCs w:val="24"/>
        </w:rPr>
        <w:t>及川</w:t>
      </w:r>
      <w:r>
        <w:rPr>
          <w:spacing w:val="5"/>
          <w:kern w:val="2"/>
          <w:szCs w:val="24"/>
        </w:rPr>
        <w:t>西</w:t>
      </w:r>
      <w:r>
        <w:rPr>
          <w:spacing w:val="4"/>
          <w:kern w:val="2"/>
          <w:szCs w:val="24"/>
        </w:rPr>
        <w:t>南山地常绿阔叶林地带</w:t>
      </w:r>
      <w:r>
        <w:rPr>
          <w:rFonts w:hint="eastAsia"/>
          <w:spacing w:val="4"/>
          <w:kern w:val="2"/>
          <w:szCs w:val="24"/>
        </w:rPr>
        <w:t>（</w:t>
      </w:r>
      <w:r>
        <w:rPr>
          <w:spacing w:val="4"/>
          <w:kern w:val="2"/>
          <w:szCs w:val="24"/>
        </w:rPr>
        <w:t>东部常绿阔叶林亚区域</w:t>
      </w:r>
      <w:r>
        <w:rPr>
          <w:rFonts w:hint="eastAsia"/>
          <w:spacing w:val="4"/>
          <w:kern w:val="2"/>
          <w:szCs w:val="24"/>
        </w:rPr>
        <w:t>）</w:t>
      </w:r>
      <w:r>
        <w:rPr>
          <w:rFonts w:eastAsia="Times New Roman"/>
          <w:spacing w:val="4"/>
          <w:kern w:val="2"/>
          <w:szCs w:val="24"/>
        </w:rPr>
        <w:t>—</w:t>
      </w:r>
      <w:r>
        <w:rPr>
          <w:spacing w:val="4"/>
          <w:kern w:val="2"/>
          <w:szCs w:val="24"/>
        </w:rPr>
        <w:t>川东盆地偏湿性常绿</w:t>
      </w:r>
      <w:r>
        <w:rPr>
          <w:spacing w:val="11"/>
          <w:kern w:val="2"/>
          <w:szCs w:val="24"/>
        </w:rPr>
        <w:t>阔</w:t>
      </w:r>
      <w:r>
        <w:rPr>
          <w:spacing w:val="6"/>
          <w:kern w:val="2"/>
          <w:szCs w:val="24"/>
        </w:rPr>
        <w:t>叶林亚带</w:t>
      </w:r>
      <w:r>
        <w:rPr>
          <w:rFonts w:eastAsia="Times New Roman"/>
          <w:spacing w:val="6"/>
          <w:kern w:val="2"/>
          <w:szCs w:val="24"/>
        </w:rPr>
        <w:t>—</w:t>
      </w:r>
      <w:r>
        <w:rPr>
          <w:spacing w:val="6"/>
          <w:kern w:val="2"/>
          <w:szCs w:val="24"/>
        </w:rPr>
        <w:t>盆边北部中山植被地区</w:t>
      </w:r>
      <w:r>
        <w:rPr>
          <w:rFonts w:hint="eastAsia"/>
          <w:spacing w:val="6"/>
          <w:kern w:val="2"/>
          <w:szCs w:val="24"/>
        </w:rPr>
        <w:t>（</w:t>
      </w:r>
      <w:r>
        <w:rPr>
          <w:spacing w:val="6"/>
          <w:kern w:val="2"/>
          <w:szCs w:val="24"/>
        </w:rPr>
        <w:t>北亚热带常绿、落叶阔叶混交林地带</w:t>
      </w:r>
      <w:r>
        <w:rPr>
          <w:rFonts w:hint="eastAsia"/>
          <w:spacing w:val="6"/>
          <w:kern w:val="2"/>
          <w:szCs w:val="24"/>
        </w:rPr>
        <w:t>）</w:t>
      </w:r>
      <w:r>
        <w:rPr>
          <w:rFonts w:eastAsia="Times New Roman"/>
          <w:spacing w:val="6"/>
          <w:kern w:val="2"/>
          <w:szCs w:val="24"/>
        </w:rPr>
        <w:t>—</w:t>
      </w:r>
      <w:r>
        <w:rPr>
          <w:spacing w:val="4"/>
          <w:kern w:val="2"/>
          <w:szCs w:val="24"/>
        </w:rPr>
        <w:t>大</w:t>
      </w:r>
      <w:r>
        <w:rPr>
          <w:spacing w:val="3"/>
          <w:kern w:val="2"/>
          <w:szCs w:val="24"/>
        </w:rPr>
        <w:t>巴山植被小区</w:t>
      </w:r>
      <w:r>
        <w:rPr>
          <w:rFonts w:hint="eastAsia"/>
          <w:spacing w:val="3"/>
          <w:kern w:val="2"/>
          <w:szCs w:val="24"/>
        </w:rPr>
        <w:t>（</w:t>
      </w:r>
      <w:r>
        <w:rPr>
          <w:spacing w:val="3"/>
          <w:kern w:val="2"/>
          <w:szCs w:val="24"/>
        </w:rPr>
        <w:t>秦、巴山地丘陵，栎类林、巴山松、</w:t>
      </w:r>
      <w:r>
        <w:rPr>
          <w:rFonts w:hint="eastAsia"/>
          <w:spacing w:val="3"/>
          <w:kern w:val="2"/>
          <w:szCs w:val="24"/>
        </w:rPr>
        <w:t>马尾松</w:t>
      </w:r>
      <w:r>
        <w:rPr>
          <w:spacing w:val="3"/>
          <w:kern w:val="2"/>
          <w:szCs w:val="24"/>
        </w:rPr>
        <w:t>林区</w:t>
      </w:r>
      <w:r>
        <w:rPr>
          <w:rFonts w:hint="eastAsia"/>
          <w:spacing w:val="3"/>
          <w:kern w:val="2"/>
          <w:szCs w:val="24"/>
        </w:rPr>
        <w:t>）</w:t>
      </w:r>
      <w:r>
        <w:rPr>
          <w:rFonts w:hint="eastAsia"/>
          <w:spacing w:val="-3"/>
          <w:kern w:val="2"/>
          <w:szCs w:val="24"/>
        </w:rPr>
        <w:t>”</w:t>
      </w:r>
      <w:r>
        <w:rPr>
          <w:spacing w:val="3"/>
          <w:kern w:val="2"/>
          <w:szCs w:val="24"/>
        </w:rPr>
        <w:t>气候条件相</w:t>
      </w:r>
      <w:r>
        <w:rPr>
          <w:spacing w:val="-12"/>
          <w:kern w:val="2"/>
          <w:szCs w:val="24"/>
        </w:rPr>
        <w:t>符</w:t>
      </w:r>
      <w:r>
        <w:rPr>
          <w:spacing w:val="-10"/>
          <w:kern w:val="2"/>
          <w:szCs w:val="24"/>
        </w:rPr>
        <w:t>。</w:t>
      </w:r>
    </w:p>
    <w:p>
      <w:pPr>
        <w:pStyle w:val="4"/>
        <w:rPr>
          <w:rFonts w:eastAsia="宋体"/>
        </w:rPr>
      </w:pPr>
      <w:bookmarkStart w:id="421" w:name="_Toc12288585"/>
      <w:r>
        <w:rPr>
          <w:rFonts w:eastAsia="宋体"/>
        </w:rPr>
        <w:t>5.2.4</w:t>
      </w:r>
      <w:r>
        <w:rPr>
          <w:rFonts w:eastAsia="宋体"/>
          <w:bCs/>
          <w:szCs w:val="24"/>
        </w:rPr>
        <w:t>评价范围陆生植被现状调查</w:t>
      </w:r>
      <w:bookmarkEnd w:id="421"/>
    </w:p>
    <w:p>
      <w:pPr>
        <w:topLinePunct w:val="0"/>
        <w:snapToGrid w:val="0"/>
        <w:ind w:firstLine="482"/>
        <w:rPr>
          <w:rFonts w:ascii="Times New Roman" w:cs="Times New Roman"/>
          <w:b/>
          <w:bCs/>
          <w:kern w:val="2"/>
        </w:rPr>
      </w:pPr>
      <w:r>
        <w:rPr>
          <w:rFonts w:ascii="Times New Roman" w:cs="Times New Roman"/>
          <w:b/>
          <w:bCs/>
          <w:kern w:val="2"/>
        </w:rPr>
        <w:t>1、评价范围内植被概况</w:t>
      </w:r>
    </w:p>
    <w:p>
      <w:pPr>
        <w:topLinePunct w:val="0"/>
        <w:snapToGrid w:val="0"/>
        <w:ind w:firstLine="472"/>
        <w:rPr>
          <w:rFonts w:ascii="Times New Roman" w:cs="Times New Roman"/>
          <w:spacing w:val="-2"/>
          <w:kern w:val="2"/>
        </w:rPr>
      </w:pPr>
      <w:r>
        <w:rPr>
          <w:rFonts w:ascii="Times New Roman" w:cs="Times New Roman"/>
          <w:spacing w:val="-2"/>
          <w:kern w:val="2"/>
        </w:rPr>
        <w:t>现场调查情况，评价区地带性植物为亚热带常绿阔叶林，植被覆盖度较高，亚热带针叶林、阔叶林植被，亚热带灌丛、热性草丛植被较常见，有明显的热带特征，评价区内天然植被和人工栽植植被均广泛分布。</w:t>
      </w:r>
    </w:p>
    <w:p>
      <w:pPr>
        <w:topLinePunct w:val="0"/>
        <w:adjustRightInd/>
        <w:snapToGrid w:val="0"/>
        <w:ind w:firstLine="472" w:firstLineChars="196"/>
        <w:rPr>
          <w:rFonts w:ascii="Times New Roman" w:cs="Times New Roman"/>
          <w:b/>
          <w:bCs/>
          <w:kern w:val="2"/>
        </w:rPr>
      </w:pPr>
      <w:r>
        <w:rPr>
          <w:rFonts w:hint="eastAsia" w:ascii="Times New Roman" w:cs="Times New Roman"/>
          <w:b/>
          <w:bCs/>
          <w:kern w:val="2"/>
        </w:rPr>
        <w:t>2、</w:t>
      </w:r>
      <w:r>
        <w:rPr>
          <w:rFonts w:ascii="Times New Roman" w:cs="Times New Roman"/>
          <w:b/>
          <w:bCs/>
          <w:kern w:val="2"/>
        </w:rPr>
        <w:t>植物群落结构及演替规律</w:t>
      </w:r>
    </w:p>
    <w:p>
      <w:pPr>
        <w:topLinePunct w:val="0"/>
        <w:snapToGrid w:val="0"/>
        <w:ind w:firstLine="480"/>
        <w:rPr>
          <w:rFonts w:ascii="Times New Roman" w:cs="Times New Roman"/>
          <w:kern w:val="2"/>
        </w:rPr>
      </w:pPr>
      <w:r>
        <w:rPr>
          <w:rFonts w:ascii="Times New Roman" w:cs="Times New Roman"/>
          <w:kern w:val="2"/>
        </w:rPr>
        <w:t>评价区植物群落主要为乔木、灌木、草本为主的结构特征，其中乔木群落结构多为乔灌草三层植被，灌木群落结构多为灌草双层植被，草本群落则多为草丛单层植被。群落自然演替规律总体呈现草本-灌丛-乔木方向演替。同时，随着近年退耕还林等人为活动影响，还存在草本-园地、草本-乔木、灌丛-乔木、旱地-园地、旱地-乔木等结构演替，总之，项目区植物群落总体朝向生物多样性更加复杂、生产力和生物量更加丰富、生态系统结构更加稳定的方向演变。</w:t>
      </w:r>
    </w:p>
    <w:p>
      <w:pPr>
        <w:topLinePunct w:val="0"/>
        <w:snapToGrid w:val="0"/>
        <w:ind w:firstLine="482"/>
        <w:rPr>
          <w:rFonts w:ascii="Times New Roman" w:cs="Times New Roman"/>
          <w:b/>
          <w:bCs/>
          <w:kern w:val="2"/>
        </w:rPr>
      </w:pPr>
      <w:r>
        <w:rPr>
          <w:rFonts w:ascii="Times New Roman" w:cs="Times New Roman"/>
          <w:b/>
          <w:bCs/>
          <w:kern w:val="2"/>
        </w:rPr>
        <w:t>3、项目评价范围内主要植被类型</w:t>
      </w:r>
    </w:p>
    <w:p>
      <w:pPr>
        <w:pStyle w:val="112"/>
        <w:ind w:firstLine="480"/>
        <w:rPr>
          <w:kern w:val="2"/>
          <w:szCs w:val="24"/>
        </w:rPr>
      </w:pPr>
      <w:r>
        <w:rPr>
          <w:kern w:val="2"/>
          <w:szCs w:val="24"/>
        </w:rPr>
        <w:t>采用实地踏勘和样方调查相结合的方法对评价范围内植被进行实地调查，结合卫星影像解译成果，参考现有的资料和文献，根据各类群落的特征，按照吴征镒等《中国植物志》、《四川植物志》中对四川的自然、人工植被的分类系统，划分出评价区域内不同的植被类型，形成植被分类系统。</w:t>
      </w:r>
      <w:r>
        <w:t>评价区自然植被涉及</w:t>
      </w:r>
      <w:r>
        <w:rPr>
          <w:rFonts w:hint="eastAsia"/>
        </w:rPr>
        <w:t>3</w:t>
      </w:r>
      <w:r>
        <w:t>种植被型组，5种植被型和</w:t>
      </w:r>
      <w:r>
        <w:rPr>
          <w:rFonts w:hint="eastAsia"/>
        </w:rPr>
        <w:t>11</w:t>
      </w:r>
      <w:r>
        <w:t>种群系</w:t>
      </w:r>
      <w:r>
        <w:rPr>
          <w:kern w:val="2"/>
          <w:szCs w:val="24"/>
        </w:rPr>
        <w:t>，自然植被分类见表</w:t>
      </w:r>
      <w:r>
        <w:rPr>
          <w:rFonts w:hint="eastAsia"/>
          <w:kern w:val="2"/>
          <w:szCs w:val="24"/>
        </w:rPr>
        <w:t>5</w:t>
      </w:r>
      <w:r>
        <w:rPr>
          <w:kern w:val="2"/>
          <w:szCs w:val="24"/>
        </w:rPr>
        <w:t>.</w:t>
      </w:r>
      <w:r>
        <w:rPr>
          <w:rFonts w:hint="eastAsia"/>
          <w:kern w:val="2"/>
          <w:szCs w:val="24"/>
        </w:rPr>
        <w:t>2</w:t>
      </w:r>
      <w:r>
        <w:rPr>
          <w:kern w:val="2"/>
          <w:szCs w:val="24"/>
        </w:rPr>
        <w:t>-</w:t>
      </w:r>
      <w:r>
        <w:rPr>
          <w:rFonts w:hint="eastAsia"/>
          <w:kern w:val="2"/>
          <w:szCs w:val="24"/>
        </w:rPr>
        <w:t>10</w:t>
      </w:r>
      <w:r>
        <w:rPr>
          <w:kern w:val="2"/>
          <w:szCs w:val="24"/>
        </w:rPr>
        <w:t>。</w:t>
      </w:r>
    </w:p>
    <w:p>
      <w:pPr>
        <w:topLinePunct w:val="0"/>
        <w:autoSpaceDE w:val="0"/>
        <w:autoSpaceDN w:val="0"/>
        <w:spacing w:beforeLines="50" w:line="240" w:lineRule="auto"/>
        <w:ind w:firstLine="0" w:firstLineChars="0"/>
        <w:jc w:val="center"/>
        <w:rPr>
          <w:rFonts w:ascii="Times New Roman" w:cs="Times New Roman"/>
          <w:b/>
          <w:sz w:val="21"/>
        </w:rPr>
      </w:pPr>
      <w:r>
        <w:rPr>
          <w:rFonts w:ascii="Times New Roman" w:cs="Times New Roman"/>
          <w:b/>
          <w:sz w:val="21"/>
        </w:rPr>
        <w:t>表</w:t>
      </w:r>
      <w:r>
        <w:rPr>
          <w:rFonts w:hint="eastAsia" w:ascii="Times New Roman" w:cs="Times New Roman"/>
          <w:b/>
          <w:sz w:val="21"/>
        </w:rPr>
        <w:t>5.2</w:t>
      </w:r>
      <w:r>
        <w:rPr>
          <w:rFonts w:ascii="Times New Roman" w:cs="Times New Roman"/>
          <w:b/>
          <w:sz w:val="21"/>
        </w:rPr>
        <w:t>-1</w:t>
      </w:r>
      <w:r>
        <w:rPr>
          <w:rFonts w:hint="eastAsia" w:ascii="Times New Roman" w:cs="Times New Roman"/>
          <w:b/>
          <w:sz w:val="21"/>
        </w:rPr>
        <w:t>0</w:t>
      </w:r>
      <w:r>
        <w:rPr>
          <w:rFonts w:ascii="Times New Roman" w:cs="Times New Roman"/>
          <w:b/>
          <w:sz w:val="21"/>
        </w:rPr>
        <w:t xml:space="preserve"> 工程评价区植被分类系统</w:t>
      </w:r>
    </w:p>
    <w:tbl>
      <w:tblPr>
        <w:tblStyle w:val="577"/>
        <w:tblW w:w="8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4"/>
        <w:gridCol w:w="866"/>
        <w:gridCol w:w="776"/>
        <w:gridCol w:w="1897"/>
        <w:gridCol w:w="4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374" w:type="dxa"/>
            <w:vMerge w:val="restart"/>
            <w:tcBorders>
              <w:top w:val="single" w:color="auto" w:sz="12" w:space="0"/>
              <w:left w:val="nil"/>
            </w:tcBorders>
            <w:textDirection w:val="tbRlV"/>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自然植被</w:t>
            </w:r>
          </w:p>
        </w:tc>
        <w:tc>
          <w:tcPr>
            <w:tcW w:w="866" w:type="dxa"/>
            <w:tcBorders>
              <w:top w:val="single" w:color="auto" w:sz="12" w:space="0"/>
            </w:tcBorders>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植被型组</w:t>
            </w:r>
          </w:p>
        </w:tc>
        <w:tc>
          <w:tcPr>
            <w:tcW w:w="776" w:type="dxa"/>
            <w:tcBorders>
              <w:top w:val="single" w:color="auto" w:sz="12" w:space="0"/>
            </w:tcBorders>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植被型</w:t>
            </w:r>
          </w:p>
        </w:tc>
        <w:tc>
          <w:tcPr>
            <w:tcW w:w="1897" w:type="dxa"/>
            <w:tcBorders>
              <w:top w:val="single" w:color="auto" w:sz="12" w:space="0"/>
            </w:tcBorders>
            <w:vAlign w:val="center"/>
          </w:tcPr>
          <w:p>
            <w:pPr>
              <w:topLinePunct w:val="0"/>
              <w:adjustRightInd/>
              <w:spacing w:before="51" w:line="214" w:lineRule="auto"/>
              <w:ind w:firstLine="0" w:firstLineChars="0"/>
              <w:jc w:val="center"/>
              <w:rPr>
                <w:rFonts w:ascii="Times New Roman" w:cs="Times New Roman"/>
                <w:kern w:val="2"/>
                <w:sz w:val="21"/>
                <w:szCs w:val="21"/>
              </w:rPr>
            </w:pPr>
            <w:r>
              <w:rPr>
                <w:rFonts w:ascii="Times New Roman" w:cs="Times New Roman"/>
                <w:spacing w:val="-3"/>
                <w:kern w:val="2"/>
                <w:sz w:val="21"/>
                <w:szCs w:val="21"/>
              </w:rPr>
              <w:t>群</w:t>
            </w:r>
            <w:r>
              <w:rPr>
                <w:rFonts w:ascii="Times New Roman" w:cs="Times New Roman"/>
                <w:spacing w:val="-2"/>
                <w:kern w:val="2"/>
                <w:sz w:val="21"/>
                <w:szCs w:val="21"/>
              </w:rPr>
              <w:t>系</w:t>
            </w:r>
          </w:p>
        </w:tc>
        <w:tc>
          <w:tcPr>
            <w:tcW w:w="4103" w:type="dxa"/>
            <w:tcBorders>
              <w:top w:val="single" w:color="auto" w:sz="12" w:space="0"/>
              <w:right w:val="nil"/>
            </w:tcBorders>
            <w:vAlign w:val="center"/>
          </w:tcPr>
          <w:p>
            <w:pPr>
              <w:topLinePunct w:val="0"/>
              <w:adjustRightInd/>
              <w:spacing w:before="53" w:line="217" w:lineRule="auto"/>
              <w:ind w:left="1176" w:firstLine="0" w:firstLineChars="0"/>
              <w:rPr>
                <w:rFonts w:ascii="Times New Roman" w:cs="Times New Roman"/>
                <w:kern w:val="2"/>
                <w:sz w:val="21"/>
                <w:szCs w:val="21"/>
              </w:rPr>
            </w:pPr>
            <w:r>
              <w:rPr>
                <w:rFonts w:ascii="Times New Roman" w:cs="Times New Roman"/>
                <w:spacing w:val="-2"/>
                <w:kern w:val="2"/>
                <w:sz w:val="21"/>
                <w:szCs w:val="21"/>
              </w:rPr>
              <w:t>群系</w:t>
            </w:r>
            <w:r>
              <w:rPr>
                <w:rFonts w:ascii="Times New Roman" w:cs="Times New Roman"/>
                <w:spacing w:val="-1"/>
                <w:kern w:val="2"/>
                <w:sz w:val="21"/>
                <w:szCs w:val="21"/>
              </w:rPr>
              <w:t>拉丁名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jc w:val="center"/>
        </w:trPr>
        <w:tc>
          <w:tcPr>
            <w:tcW w:w="374" w:type="dxa"/>
            <w:vMerge w:val="continue"/>
            <w:tcBorders>
              <w:left w:val="nil"/>
            </w:tcBorders>
            <w:textDirection w:val="tbRlV"/>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866" w:type="dxa"/>
            <w:vMerge w:val="restart"/>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针叶林</w:t>
            </w:r>
          </w:p>
        </w:tc>
        <w:tc>
          <w:tcPr>
            <w:tcW w:w="776" w:type="dxa"/>
            <w:vMerge w:val="restart"/>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暖性针叶林</w:t>
            </w:r>
          </w:p>
        </w:tc>
        <w:tc>
          <w:tcPr>
            <w:tcW w:w="1897"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马尾松林</w:t>
            </w:r>
          </w:p>
        </w:tc>
        <w:tc>
          <w:tcPr>
            <w:tcW w:w="4103" w:type="dxa"/>
            <w:tcBorders>
              <w:right w:val="nil"/>
            </w:tcBorders>
            <w:vAlign w:val="center"/>
          </w:tcPr>
          <w:p>
            <w:pPr>
              <w:topLinePunct w:val="0"/>
              <w:adjustRightInd/>
              <w:spacing w:before="83" w:line="211" w:lineRule="auto"/>
              <w:ind w:left="650" w:firstLine="0" w:firstLineChars="0"/>
              <w:rPr>
                <w:rFonts w:ascii="Times New Roman" w:eastAsia="Times New Roman" w:cs="Times New Roman"/>
                <w:kern w:val="2"/>
                <w:sz w:val="21"/>
                <w:szCs w:val="21"/>
              </w:rPr>
            </w:pPr>
            <w:r>
              <w:rPr>
                <w:rFonts w:ascii="Times New Roman" w:eastAsia="Times New Roman" w:cs="Times New Roman"/>
                <w:spacing w:val="-1"/>
                <w:kern w:val="2"/>
                <w:sz w:val="21"/>
                <w:szCs w:val="21"/>
              </w:rPr>
              <w:t>F</w:t>
            </w:r>
            <w:r>
              <w:rPr>
                <w:rFonts w:ascii="Times New Roman" w:eastAsia="Times New Roman" w:cs="Times New Roman"/>
                <w:kern w:val="2"/>
                <w:sz w:val="21"/>
                <w:szCs w:val="21"/>
              </w:rPr>
              <w:t>orm</w:t>
            </w:r>
            <w:r>
              <w:rPr>
                <w:rFonts w:ascii="Times New Roman" w:eastAsia="Times New Roman" w:cs="Times New Roman"/>
                <w:spacing w:val="-1"/>
                <w:kern w:val="2"/>
                <w:sz w:val="21"/>
                <w:szCs w:val="21"/>
              </w:rPr>
              <w:t xml:space="preserve">. </w:t>
            </w:r>
            <w:r>
              <w:rPr>
                <w:rFonts w:ascii="Times New Roman" w:eastAsia="Times New Roman" w:cs="Times New Roman"/>
                <w:i/>
                <w:iCs/>
                <w:kern w:val="2"/>
                <w:sz w:val="21"/>
                <w:szCs w:val="21"/>
              </w:rPr>
              <w:t>Pinus</w:t>
            </w:r>
            <w:r>
              <w:rPr>
                <w:rFonts w:ascii="Times New Roman" w:eastAsia="Times New Roman" w:cs="Times New Roman"/>
                <w:spacing w:val="-1"/>
                <w:kern w:val="2"/>
                <w:sz w:val="21"/>
                <w:szCs w:val="21"/>
              </w:rPr>
              <w:t xml:space="preserve"> </w:t>
            </w:r>
            <w:r>
              <w:rPr>
                <w:rFonts w:ascii="Times New Roman" w:eastAsia="Times New Roman" w:cs="Times New Roman"/>
                <w:i/>
                <w:iCs/>
                <w:kern w:val="2"/>
                <w:sz w:val="21"/>
                <w:szCs w:val="21"/>
              </w:rPr>
              <w:t>massoniana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374" w:type="dxa"/>
            <w:vMerge w:val="continue"/>
            <w:tcBorders>
              <w:left w:val="nil"/>
            </w:tcBorders>
            <w:textDirection w:val="tbRlV"/>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86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77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1897"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杉木林</w:t>
            </w:r>
          </w:p>
        </w:tc>
        <w:tc>
          <w:tcPr>
            <w:tcW w:w="4103" w:type="dxa"/>
            <w:tcBorders>
              <w:right w:val="nil"/>
            </w:tcBorders>
            <w:vAlign w:val="center"/>
          </w:tcPr>
          <w:p>
            <w:pPr>
              <w:topLinePunct w:val="0"/>
              <w:adjustRightInd/>
              <w:spacing w:before="83" w:line="190" w:lineRule="auto"/>
              <w:ind w:left="322" w:firstLine="0" w:firstLineChars="0"/>
              <w:rPr>
                <w:rFonts w:ascii="Times New Roman" w:eastAsia="Times New Roman" w:cs="Times New Roman"/>
                <w:kern w:val="2"/>
                <w:sz w:val="21"/>
                <w:szCs w:val="21"/>
              </w:rPr>
            </w:pPr>
            <w:r>
              <w:rPr>
                <w:rFonts w:ascii="Times New Roman" w:eastAsia="Times New Roman" w:cs="Times New Roman"/>
                <w:kern w:val="2"/>
                <w:sz w:val="21"/>
                <w:szCs w:val="21"/>
              </w:rPr>
              <w:t>Form</w:t>
            </w:r>
            <w:r>
              <w:rPr>
                <w:rFonts w:ascii="Times New Roman" w:eastAsia="Times New Roman" w:cs="Times New Roman"/>
                <w:spacing w:val="-1"/>
                <w:kern w:val="2"/>
                <w:sz w:val="21"/>
                <w:szCs w:val="21"/>
              </w:rPr>
              <w:t>.</w:t>
            </w:r>
            <w:r>
              <w:rPr>
                <w:rFonts w:ascii="Times New Roman" w:eastAsia="Times New Roman" w:cs="Times New Roman"/>
                <w:kern w:val="2"/>
                <w:sz w:val="21"/>
                <w:szCs w:val="21"/>
              </w:rPr>
              <w:t xml:space="preserve"> </w:t>
            </w:r>
            <w:r>
              <w:rPr>
                <w:rFonts w:ascii="Times New Roman" w:eastAsia="Times New Roman" w:cs="Times New Roman"/>
                <w:i/>
                <w:iCs/>
                <w:kern w:val="2"/>
                <w:sz w:val="21"/>
                <w:szCs w:val="21"/>
              </w:rPr>
              <w:t>Cunninghamia</w:t>
            </w:r>
            <w:r>
              <w:rPr>
                <w:rFonts w:ascii="Times New Roman" w:eastAsia="Times New Roman" w:cs="Times New Roman"/>
                <w:kern w:val="2"/>
                <w:sz w:val="21"/>
                <w:szCs w:val="21"/>
              </w:rPr>
              <w:t xml:space="preserve"> </w:t>
            </w:r>
            <w:r>
              <w:rPr>
                <w:rFonts w:ascii="Times New Roman" w:eastAsia="Times New Roman" w:cs="Times New Roman"/>
                <w:i/>
                <w:iCs/>
                <w:kern w:val="2"/>
                <w:sz w:val="21"/>
                <w:szCs w:val="21"/>
              </w:rPr>
              <w:t>lanceolata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374" w:type="dxa"/>
            <w:vMerge w:val="continue"/>
            <w:tcBorders>
              <w:left w:val="nil"/>
            </w:tcBorders>
            <w:textDirection w:val="tbRlV"/>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86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77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1897"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柏木林</w:t>
            </w:r>
          </w:p>
        </w:tc>
        <w:tc>
          <w:tcPr>
            <w:tcW w:w="4103" w:type="dxa"/>
            <w:tcBorders>
              <w:right w:val="nil"/>
            </w:tcBorders>
            <w:vAlign w:val="center"/>
          </w:tcPr>
          <w:p>
            <w:pPr>
              <w:topLinePunct w:val="0"/>
              <w:adjustRightInd/>
              <w:spacing w:before="84" w:line="190" w:lineRule="auto"/>
              <w:ind w:left="639" w:firstLine="0" w:firstLineChars="0"/>
              <w:rPr>
                <w:rFonts w:ascii="Times New Roman" w:eastAsia="Times New Roman" w:cs="Times New Roman"/>
                <w:kern w:val="2"/>
                <w:sz w:val="21"/>
                <w:szCs w:val="21"/>
              </w:rPr>
            </w:pPr>
            <w:r>
              <w:rPr>
                <w:rFonts w:ascii="Times New Roman" w:eastAsia="Times New Roman" w:cs="Times New Roman"/>
                <w:kern w:val="2"/>
                <w:sz w:val="21"/>
                <w:szCs w:val="21"/>
              </w:rPr>
              <w:t>Form</w:t>
            </w:r>
            <w:r>
              <w:rPr>
                <w:rFonts w:ascii="Times New Roman" w:eastAsia="Times New Roman" w:cs="Times New Roman"/>
                <w:spacing w:val="41"/>
                <w:kern w:val="2"/>
                <w:sz w:val="21"/>
                <w:szCs w:val="21"/>
              </w:rPr>
              <w:t>.</w:t>
            </w:r>
            <w:r>
              <w:rPr>
                <w:rFonts w:ascii="Times New Roman" w:eastAsia="Times New Roman" w:cs="Times New Roman"/>
                <w:i/>
                <w:iCs/>
                <w:kern w:val="2"/>
                <w:sz w:val="21"/>
                <w:szCs w:val="21"/>
              </w:rPr>
              <w:t>Cupressusfunebris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jc w:val="center"/>
        </w:trPr>
        <w:tc>
          <w:tcPr>
            <w:tcW w:w="374" w:type="dxa"/>
            <w:vMerge w:val="continue"/>
            <w:tcBorders>
              <w:left w:val="nil"/>
            </w:tcBorders>
            <w:textDirection w:val="tbRlV"/>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866" w:type="dxa"/>
            <w:vMerge w:val="restart"/>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阔叶林</w:t>
            </w:r>
          </w:p>
        </w:tc>
        <w:tc>
          <w:tcPr>
            <w:tcW w:w="776" w:type="dxa"/>
            <w:vMerge w:val="restart"/>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落叶阔叶林</w:t>
            </w:r>
          </w:p>
        </w:tc>
        <w:tc>
          <w:tcPr>
            <w:tcW w:w="1897"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hint="eastAsia" w:ascii="Times New Roman" w:cs="Times New Roman"/>
                <w:spacing w:val="-4"/>
                <w:kern w:val="2"/>
                <w:sz w:val="21"/>
                <w:szCs w:val="21"/>
              </w:rPr>
              <w:t>麻栎、青冈</w:t>
            </w:r>
            <w:r>
              <w:rPr>
                <w:rFonts w:ascii="Times New Roman" w:cs="Times New Roman"/>
                <w:spacing w:val="-4"/>
                <w:kern w:val="2"/>
                <w:sz w:val="21"/>
                <w:szCs w:val="21"/>
              </w:rPr>
              <w:t>群系</w:t>
            </w:r>
          </w:p>
        </w:tc>
        <w:tc>
          <w:tcPr>
            <w:tcW w:w="4103" w:type="dxa"/>
            <w:tcBorders>
              <w:right w:val="nil"/>
            </w:tcBorders>
            <w:vAlign w:val="center"/>
          </w:tcPr>
          <w:p>
            <w:pPr>
              <w:topLinePunct w:val="0"/>
              <w:adjustRightInd/>
              <w:spacing w:before="51" w:line="214" w:lineRule="auto"/>
              <w:ind w:firstLine="0" w:firstLineChars="0"/>
              <w:jc w:val="center"/>
              <w:rPr>
                <w:rFonts w:ascii="Times New Roman" w:cs="Times New Roman"/>
                <w:i/>
                <w:iCs/>
                <w:spacing w:val="-4"/>
                <w:kern w:val="2"/>
                <w:sz w:val="21"/>
                <w:szCs w:val="21"/>
              </w:rPr>
            </w:pPr>
            <w:r>
              <w:rPr>
                <w:rFonts w:ascii="Times New Roman" w:cs="Times New Roman"/>
                <w:spacing w:val="-4"/>
                <w:kern w:val="2"/>
                <w:sz w:val="21"/>
                <w:szCs w:val="21"/>
              </w:rPr>
              <w:t>Form.</w:t>
            </w:r>
            <w:r>
              <w:rPr>
                <w:rFonts w:ascii="Times New Roman" w:cs="Times New Roman"/>
                <w:i/>
                <w:iCs/>
                <w:spacing w:val="-4"/>
                <w:kern w:val="2"/>
                <w:sz w:val="21"/>
                <w:szCs w:val="21"/>
              </w:rPr>
              <w:t>Quercus</w:t>
            </w:r>
            <w:r>
              <w:rPr>
                <w:rFonts w:hint="eastAsia" w:ascii="Times New Roman" w:cs="Times New Roman"/>
                <w:i/>
                <w:iCs/>
                <w:spacing w:val="-4"/>
                <w:kern w:val="2"/>
                <w:sz w:val="21"/>
                <w:szCs w:val="21"/>
              </w:rPr>
              <w:t xml:space="preserve"> </w:t>
            </w:r>
            <w:r>
              <w:rPr>
                <w:rFonts w:ascii="Times New Roman" w:cs="Times New Roman"/>
                <w:i/>
                <w:iCs/>
                <w:spacing w:val="-4"/>
                <w:kern w:val="2"/>
                <w:sz w:val="21"/>
                <w:szCs w:val="21"/>
              </w:rPr>
              <w:t xml:space="preserve">acutissima Carruth.+Quercus variabilis </w:t>
            </w:r>
            <w:r>
              <w:rPr>
                <w:rFonts w:ascii="Times New Roman" w:cs="Times New Roman"/>
                <w:spacing w:val="-4"/>
                <w:kern w:val="2"/>
                <w:sz w:val="21"/>
                <w:szCs w:val="21"/>
              </w:rPr>
              <w:t>Bl.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jc w:val="center"/>
        </w:trPr>
        <w:tc>
          <w:tcPr>
            <w:tcW w:w="374" w:type="dxa"/>
            <w:vMerge w:val="continue"/>
            <w:tcBorders>
              <w:left w:val="nil"/>
            </w:tcBorders>
            <w:textDirection w:val="tbRlV"/>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86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77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1897"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bCs/>
                <w:sz w:val="21"/>
                <w:szCs w:val="21"/>
              </w:rPr>
              <w:t>麻栎</w:t>
            </w:r>
            <w:r>
              <w:rPr>
                <w:rFonts w:hint="eastAsia" w:ascii="Times New Roman" w:cs="Times New Roman"/>
                <w:bCs/>
                <w:sz w:val="21"/>
                <w:szCs w:val="21"/>
              </w:rPr>
              <w:t>、</w:t>
            </w:r>
            <w:r>
              <w:rPr>
                <w:rFonts w:ascii="Times New Roman" w:cs="Times New Roman"/>
                <w:bCs/>
                <w:sz w:val="21"/>
                <w:szCs w:val="21"/>
              </w:rPr>
              <w:t>柏木混交林群落</w:t>
            </w:r>
          </w:p>
        </w:tc>
        <w:tc>
          <w:tcPr>
            <w:tcW w:w="4103" w:type="dxa"/>
            <w:tcBorders>
              <w:right w:val="nil"/>
            </w:tcBorders>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Form.</w:t>
            </w:r>
            <w:r>
              <w:rPr>
                <w:rFonts w:ascii="Times New Roman" w:cs="Times New Roman"/>
                <w:i/>
                <w:iCs/>
                <w:spacing w:val="-4"/>
                <w:kern w:val="2"/>
                <w:sz w:val="21"/>
                <w:szCs w:val="21"/>
              </w:rPr>
              <w:t>Quercus</w:t>
            </w:r>
            <w:r>
              <w:rPr>
                <w:rFonts w:hint="eastAsia" w:ascii="Times New Roman" w:cs="Times New Roman"/>
                <w:i/>
                <w:iCs/>
                <w:spacing w:val="-4"/>
                <w:kern w:val="2"/>
                <w:sz w:val="21"/>
                <w:szCs w:val="21"/>
              </w:rPr>
              <w:t xml:space="preserve"> </w:t>
            </w:r>
            <w:r>
              <w:rPr>
                <w:rFonts w:ascii="Times New Roman" w:cs="Times New Roman"/>
                <w:i/>
                <w:iCs/>
                <w:spacing w:val="-4"/>
                <w:kern w:val="2"/>
                <w:sz w:val="21"/>
                <w:szCs w:val="21"/>
              </w:rPr>
              <w:t>acutissima Carruth.+</w:t>
            </w:r>
            <w:r>
              <w:rPr>
                <w:rFonts w:ascii="Times New Roman" w:eastAsia="Times New Roman" w:cs="Times New Roman"/>
                <w:i/>
                <w:iCs/>
                <w:kern w:val="2"/>
                <w:sz w:val="21"/>
                <w:szCs w:val="21"/>
              </w:rPr>
              <w:t>Cupressusfunebris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374" w:type="dxa"/>
            <w:vMerge w:val="continue"/>
            <w:tcBorders>
              <w:left w:val="nil"/>
            </w:tcBorders>
            <w:textDirection w:val="tbRlV"/>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866" w:type="dxa"/>
            <w:vMerge w:val="restart"/>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灌丛和灌 草丛</w:t>
            </w:r>
          </w:p>
        </w:tc>
        <w:tc>
          <w:tcPr>
            <w:tcW w:w="776" w:type="dxa"/>
            <w:vMerge w:val="restart"/>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阔叶灌丛</w:t>
            </w:r>
          </w:p>
        </w:tc>
        <w:tc>
          <w:tcPr>
            <w:tcW w:w="1897"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槲栎灌丛群系</w:t>
            </w:r>
          </w:p>
        </w:tc>
        <w:tc>
          <w:tcPr>
            <w:tcW w:w="4103" w:type="dxa"/>
            <w:tcBorders>
              <w:right w:val="nil"/>
            </w:tcBorders>
            <w:vAlign w:val="center"/>
          </w:tcPr>
          <w:p>
            <w:pPr>
              <w:topLinePunct w:val="0"/>
              <w:adjustRightInd/>
              <w:spacing w:before="51" w:line="214" w:lineRule="auto"/>
              <w:ind w:firstLine="0" w:firstLineChars="0"/>
              <w:jc w:val="center"/>
              <w:rPr>
                <w:rFonts w:ascii="Times New Roman" w:cs="Times New Roman"/>
                <w:i/>
                <w:iCs/>
                <w:spacing w:val="-4"/>
                <w:kern w:val="2"/>
                <w:sz w:val="21"/>
                <w:szCs w:val="21"/>
              </w:rPr>
            </w:pPr>
            <w:r>
              <w:rPr>
                <w:rFonts w:ascii="Times New Roman" w:cs="Times New Roman"/>
                <w:kern w:val="2"/>
              </w:rPr>
              <w:t>Form.</w:t>
            </w:r>
            <w:r>
              <w:rPr>
                <w:rFonts w:ascii="Times New Roman" w:cs="Times New Roman"/>
                <w:i/>
                <w:iCs/>
                <w:kern w:val="2"/>
              </w:rPr>
              <w:t>Quercus aliena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374" w:type="dxa"/>
            <w:vMerge w:val="continue"/>
            <w:tcBorders>
              <w:left w:val="nil"/>
            </w:tcBorders>
            <w:textDirection w:val="tbRlV"/>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86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77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1897"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bCs/>
                <w:sz w:val="21"/>
                <w:szCs w:val="21"/>
              </w:rPr>
              <w:t>火棘灌丛群落</w:t>
            </w:r>
          </w:p>
        </w:tc>
        <w:tc>
          <w:tcPr>
            <w:tcW w:w="4103" w:type="dxa"/>
            <w:tcBorders>
              <w:right w:val="nil"/>
            </w:tcBorders>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kern w:val="2"/>
              </w:rPr>
              <w:t>Form.</w:t>
            </w:r>
            <w:r>
              <w:rPr>
                <w:rFonts w:ascii="Times New Roman" w:cs="Times New Roman"/>
                <w:i/>
                <w:iCs/>
                <w:spacing w:val="-4"/>
                <w:kern w:val="2"/>
                <w:sz w:val="21"/>
                <w:szCs w:val="21"/>
              </w:rPr>
              <w:t>Pyracantha fortuneana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374" w:type="dxa"/>
            <w:vMerge w:val="continue"/>
            <w:tcBorders>
              <w:left w:val="nil"/>
            </w:tcBorders>
            <w:textDirection w:val="tbRlV"/>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86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77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1897"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马桑、黄荆、火棘</w:t>
            </w:r>
            <w:r>
              <w:rPr>
                <w:rFonts w:hint="eastAsia" w:ascii="Times New Roman" w:cs="Times New Roman"/>
                <w:spacing w:val="-4"/>
                <w:kern w:val="2"/>
                <w:sz w:val="21"/>
                <w:szCs w:val="21"/>
              </w:rPr>
              <w:t>灌丛</w:t>
            </w:r>
            <w:r>
              <w:rPr>
                <w:rFonts w:ascii="Times New Roman" w:cs="Times New Roman"/>
                <w:spacing w:val="-4"/>
                <w:kern w:val="2"/>
                <w:sz w:val="21"/>
                <w:szCs w:val="21"/>
              </w:rPr>
              <w:t>群系</w:t>
            </w:r>
          </w:p>
        </w:tc>
        <w:tc>
          <w:tcPr>
            <w:tcW w:w="4103" w:type="dxa"/>
            <w:tcBorders>
              <w:right w:val="nil"/>
            </w:tcBorders>
            <w:vAlign w:val="center"/>
          </w:tcPr>
          <w:p>
            <w:pPr>
              <w:topLinePunct w:val="0"/>
              <w:adjustRightInd/>
              <w:spacing w:before="51" w:line="214" w:lineRule="auto"/>
              <w:ind w:firstLine="0" w:firstLineChars="0"/>
              <w:jc w:val="center"/>
              <w:rPr>
                <w:rFonts w:ascii="Times New Roman" w:cs="Times New Roman"/>
                <w:i/>
                <w:iCs/>
                <w:spacing w:val="-4"/>
                <w:kern w:val="2"/>
                <w:sz w:val="21"/>
                <w:szCs w:val="21"/>
              </w:rPr>
            </w:pPr>
            <w:r>
              <w:rPr>
                <w:rFonts w:ascii="Times New Roman" w:cs="Times New Roman"/>
                <w:spacing w:val="-4"/>
                <w:kern w:val="2"/>
                <w:sz w:val="21"/>
                <w:szCs w:val="21"/>
              </w:rPr>
              <w:t>Form.</w:t>
            </w:r>
            <w:r>
              <w:rPr>
                <w:rFonts w:ascii="Times New Roman" w:cs="Times New Roman"/>
                <w:i/>
                <w:iCs/>
                <w:spacing w:val="-4"/>
                <w:kern w:val="2"/>
                <w:sz w:val="21"/>
                <w:szCs w:val="21"/>
              </w:rPr>
              <w:t>Coriaria nepalensis+Vitex negundo+Pyracantha fortuneana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374" w:type="dxa"/>
            <w:vMerge w:val="continue"/>
            <w:tcBorders>
              <w:left w:val="nil"/>
            </w:tcBorders>
            <w:textDirection w:val="tbRlV"/>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86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776" w:type="dxa"/>
            <w:vMerge w:val="restart"/>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草丛</w:t>
            </w:r>
          </w:p>
        </w:tc>
        <w:tc>
          <w:tcPr>
            <w:tcW w:w="1897"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白茅、五节芒、野古草</w:t>
            </w:r>
            <w:r>
              <w:rPr>
                <w:rFonts w:hint="eastAsia" w:ascii="Times New Roman" w:cs="Times New Roman"/>
                <w:spacing w:val="-4"/>
                <w:kern w:val="2"/>
                <w:sz w:val="21"/>
                <w:szCs w:val="21"/>
              </w:rPr>
              <w:t>草丛</w:t>
            </w:r>
            <w:r>
              <w:rPr>
                <w:rFonts w:ascii="Times New Roman" w:cs="Times New Roman"/>
                <w:spacing w:val="-4"/>
                <w:kern w:val="2"/>
                <w:sz w:val="21"/>
                <w:szCs w:val="21"/>
              </w:rPr>
              <w:t>群系</w:t>
            </w:r>
          </w:p>
        </w:tc>
        <w:tc>
          <w:tcPr>
            <w:tcW w:w="4103" w:type="dxa"/>
            <w:tcBorders>
              <w:right w:val="nil"/>
            </w:tcBorders>
            <w:vAlign w:val="center"/>
          </w:tcPr>
          <w:p>
            <w:pPr>
              <w:topLinePunct w:val="0"/>
              <w:adjustRightInd/>
              <w:spacing w:before="51" w:line="214" w:lineRule="auto"/>
              <w:ind w:firstLine="0" w:firstLineChars="0"/>
              <w:jc w:val="center"/>
              <w:rPr>
                <w:rFonts w:ascii="Times New Roman" w:cs="Times New Roman"/>
                <w:i/>
                <w:iCs/>
                <w:spacing w:val="-4"/>
                <w:kern w:val="2"/>
                <w:sz w:val="21"/>
                <w:szCs w:val="21"/>
              </w:rPr>
            </w:pPr>
            <w:r>
              <w:rPr>
                <w:rFonts w:ascii="Times New Roman" w:cs="Times New Roman"/>
                <w:spacing w:val="-4"/>
                <w:kern w:val="2"/>
                <w:sz w:val="21"/>
                <w:szCs w:val="21"/>
              </w:rPr>
              <w:t>Form.</w:t>
            </w:r>
            <w:r>
              <w:rPr>
                <w:rFonts w:ascii="Times New Roman" w:cs="Times New Roman"/>
                <w:i/>
                <w:iCs/>
                <w:spacing w:val="-4"/>
                <w:kern w:val="2"/>
                <w:sz w:val="21"/>
                <w:szCs w:val="21"/>
              </w:rPr>
              <w:t>Imperata</w:t>
            </w:r>
            <w:r>
              <w:rPr>
                <w:rFonts w:hint="eastAsia" w:ascii="Times New Roman" w:cs="Times New Roman"/>
                <w:i/>
                <w:iCs/>
                <w:spacing w:val="-4"/>
                <w:kern w:val="2"/>
                <w:sz w:val="21"/>
                <w:szCs w:val="21"/>
              </w:rPr>
              <w:t xml:space="preserve"> </w:t>
            </w:r>
            <w:r>
              <w:rPr>
                <w:rFonts w:ascii="Times New Roman" w:cs="Times New Roman"/>
                <w:i/>
                <w:iCs/>
                <w:spacing w:val="-4"/>
                <w:kern w:val="2"/>
                <w:sz w:val="21"/>
                <w:szCs w:val="21"/>
              </w:rPr>
              <w:t>cylindrica.+ Miscanthus floridulus+Arundinella anomala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374" w:type="dxa"/>
            <w:vMerge w:val="continue"/>
            <w:tcBorders>
              <w:left w:val="nil"/>
            </w:tcBorders>
            <w:textDirection w:val="tbRlV"/>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86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77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1897"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芒、蕨、芒萁</w:t>
            </w:r>
            <w:r>
              <w:rPr>
                <w:rFonts w:hint="eastAsia" w:ascii="Times New Roman" w:cs="Times New Roman"/>
                <w:spacing w:val="-4"/>
                <w:kern w:val="2"/>
                <w:sz w:val="21"/>
                <w:szCs w:val="21"/>
              </w:rPr>
              <w:t>草丛</w:t>
            </w:r>
            <w:r>
              <w:rPr>
                <w:rFonts w:ascii="Times New Roman" w:cs="Times New Roman"/>
                <w:spacing w:val="-4"/>
                <w:kern w:val="2"/>
                <w:sz w:val="21"/>
                <w:szCs w:val="21"/>
              </w:rPr>
              <w:t>群系</w:t>
            </w:r>
          </w:p>
        </w:tc>
        <w:tc>
          <w:tcPr>
            <w:tcW w:w="4103" w:type="dxa"/>
            <w:tcBorders>
              <w:right w:val="nil"/>
            </w:tcBorders>
            <w:vAlign w:val="center"/>
          </w:tcPr>
          <w:p>
            <w:pPr>
              <w:topLinePunct w:val="0"/>
              <w:adjustRightInd/>
              <w:spacing w:before="51" w:line="214" w:lineRule="auto"/>
              <w:ind w:firstLine="0" w:firstLineChars="0"/>
              <w:jc w:val="center"/>
              <w:rPr>
                <w:rFonts w:ascii="Times New Roman" w:cs="Times New Roman"/>
                <w:i/>
                <w:iCs/>
                <w:spacing w:val="-4"/>
                <w:kern w:val="2"/>
                <w:sz w:val="21"/>
                <w:szCs w:val="21"/>
              </w:rPr>
            </w:pPr>
            <w:r>
              <w:rPr>
                <w:rFonts w:ascii="Times New Roman" w:cs="Times New Roman"/>
                <w:spacing w:val="-4"/>
                <w:kern w:val="2"/>
                <w:sz w:val="21"/>
                <w:szCs w:val="21"/>
              </w:rPr>
              <w:t>Form.</w:t>
            </w:r>
            <w:r>
              <w:rPr>
                <w:rFonts w:ascii="Times New Roman" w:cs="Times New Roman"/>
                <w:i/>
                <w:iCs/>
                <w:spacing w:val="-4"/>
                <w:kern w:val="2"/>
                <w:sz w:val="21"/>
                <w:szCs w:val="21"/>
              </w:rPr>
              <w:t>Miscanthus</w:t>
            </w:r>
            <w:r>
              <w:rPr>
                <w:rFonts w:hint="eastAsia" w:ascii="Times New Roman" w:cs="Times New Roman"/>
                <w:i/>
                <w:iCs/>
                <w:spacing w:val="-4"/>
                <w:kern w:val="2"/>
                <w:sz w:val="21"/>
                <w:szCs w:val="21"/>
              </w:rPr>
              <w:t xml:space="preserve"> </w:t>
            </w:r>
            <w:r>
              <w:rPr>
                <w:rFonts w:ascii="Times New Roman" w:cs="Times New Roman"/>
                <w:i/>
                <w:iCs/>
                <w:spacing w:val="-4"/>
                <w:kern w:val="2"/>
                <w:sz w:val="21"/>
                <w:szCs w:val="21"/>
              </w:rPr>
              <w:t>sinensis+P.Aquilinum+Dicranopteris dichotoma</w:t>
            </w:r>
            <w:r>
              <w:rPr>
                <w:rFonts w:ascii="Times New Roman" w:cs="Times New Roman"/>
                <w:spacing w:val="-4"/>
                <w:kern w:val="2"/>
                <w:sz w:val="21"/>
                <w:szCs w:val="21"/>
              </w:rPr>
              <w:t>(Thunb.)Bernh.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jc w:val="center"/>
        </w:trPr>
        <w:tc>
          <w:tcPr>
            <w:tcW w:w="374" w:type="dxa"/>
            <w:vMerge w:val="continue"/>
            <w:tcBorders>
              <w:left w:val="nil"/>
            </w:tcBorders>
            <w:textDirection w:val="tbRlV"/>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86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776" w:type="dxa"/>
            <w:vMerge w:val="continue"/>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1897" w:type="dxa"/>
            <w:vAlign w:val="center"/>
          </w:tcPr>
          <w:p>
            <w:pPr>
              <w:topLinePunct w:val="0"/>
              <w:adjustRightInd/>
              <w:spacing w:before="51" w:line="214" w:lineRule="auto"/>
              <w:ind w:firstLine="0" w:firstLineChars="0"/>
              <w:jc w:val="center"/>
              <w:rPr>
                <w:rFonts w:ascii="Times New Roman" w:cs="Times New Roman"/>
                <w:spacing w:val="-4"/>
                <w:kern w:val="2"/>
                <w:sz w:val="21"/>
                <w:szCs w:val="21"/>
              </w:rPr>
            </w:pPr>
          </w:p>
        </w:tc>
        <w:tc>
          <w:tcPr>
            <w:tcW w:w="4103" w:type="dxa"/>
            <w:tcBorders>
              <w:right w:val="nil"/>
            </w:tcBorders>
            <w:vAlign w:val="center"/>
          </w:tcPr>
          <w:p>
            <w:pPr>
              <w:topLinePunct w:val="0"/>
              <w:adjustRightInd/>
              <w:spacing w:before="51" w:line="214" w:lineRule="auto"/>
              <w:ind w:firstLine="0" w:firstLineChars="0"/>
              <w:jc w:val="center"/>
              <w:rPr>
                <w:rFonts w:ascii="Times New Roman" w:cs="Times New Roman"/>
                <w:i/>
                <w:iCs/>
                <w:spacing w:val="-4"/>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374" w:type="dxa"/>
            <w:vMerge w:val="restart"/>
            <w:tcBorders>
              <w:left w:val="nil"/>
            </w:tcBorders>
            <w:textDirection w:val="tbRlV"/>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人工植被</w:t>
            </w:r>
          </w:p>
        </w:tc>
        <w:tc>
          <w:tcPr>
            <w:tcW w:w="7642" w:type="dxa"/>
            <w:gridSpan w:val="4"/>
            <w:tcBorders>
              <w:right w:val="nil"/>
            </w:tcBorders>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1、一年两熟水田作物组合型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374" w:type="dxa"/>
            <w:vMerge w:val="continue"/>
            <w:tcBorders>
              <w:left w:val="nil"/>
            </w:tcBorders>
            <w:textDirection w:val="tbRlV"/>
            <w:vAlign w:val="center"/>
          </w:tcPr>
          <w:p>
            <w:pPr>
              <w:topLinePunct w:val="0"/>
              <w:adjustRightInd/>
              <w:spacing w:line="240" w:lineRule="auto"/>
              <w:ind w:firstLine="0" w:firstLineChars="0"/>
              <w:rPr>
                <w:rFonts w:ascii="Times New Roman" w:cs="Times New Roman"/>
                <w:kern w:val="2"/>
                <w:sz w:val="21"/>
              </w:rPr>
            </w:pPr>
          </w:p>
        </w:tc>
        <w:tc>
          <w:tcPr>
            <w:tcW w:w="7642" w:type="dxa"/>
            <w:gridSpan w:val="4"/>
            <w:tcBorders>
              <w:right w:val="nil"/>
            </w:tcBorders>
            <w:vAlign w:val="center"/>
          </w:tcPr>
          <w:p>
            <w:pPr>
              <w:topLinePunct w:val="0"/>
              <w:adjustRightInd/>
              <w:spacing w:before="51" w:line="214" w:lineRule="auto"/>
              <w:ind w:firstLine="0" w:firstLineChars="0"/>
              <w:jc w:val="center"/>
              <w:rPr>
                <w:rFonts w:ascii="Times New Roman" w:cs="Times New Roman"/>
                <w:spacing w:val="-4"/>
                <w:kern w:val="2"/>
                <w:sz w:val="21"/>
                <w:szCs w:val="21"/>
              </w:rPr>
            </w:pPr>
            <w:r>
              <w:rPr>
                <w:rFonts w:ascii="Times New Roman" w:cs="Times New Roman"/>
                <w:spacing w:val="-4"/>
                <w:kern w:val="2"/>
                <w:sz w:val="21"/>
                <w:szCs w:val="21"/>
              </w:rPr>
              <w:t>2、一年两熟旱地作物组合型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374" w:type="dxa"/>
            <w:vMerge w:val="continue"/>
            <w:tcBorders>
              <w:left w:val="nil"/>
              <w:bottom w:val="single" w:color="auto" w:sz="12" w:space="0"/>
            </w:tcBorders>
            <w:textDirection w:val="tbRlV"/>
            <w:vAlign w:val="center"/>
          </w:tcPr>
          <w:p>
            <w:pPr>
              <w:topLinePunct w:val="0"/>
              <w:adjustRightInd/>
              <w:spacing w:line="240" w:lineRule="auto"/>
              <w:ind w:firstLine="0" w:firstLineChars="0"/>
              <w:rPr>
                <w:rFonts w:ascii="Times New Roman" w:cs="Times New Roman"/>
                <w:kern w:val="2"/>
                <w:sz w:val="21"/>
              </w:rPr>
            </w:pPr>
          </w:p>
        </w:tc>
        <w:tc>
          <w:tcPr>
            <w:tcW w:w="7642" w:type="dxa"/>
            <w:gridSpan w:val="4"/>
            <w:tcBorders>
              <w:bottom w:val="single" w:color="auto" w:sz="12" w:space="0"/>
              <w:right w:val="nil"/>
            </w:tcBorders>
            <w:vAlign w:val="center"/>
          </w:tcPr>
          <w:p>
            <w:pPr>
              <w:topLinePunct w:val="0"/>
              <w:adjustRightInd/>
              <w:spacing w:before="51" w:line="214" w:lineRule="auto"/>
              <w:ind w:firstLine="0" w:firstLineChars="0"/>
              <w:jc w:val="center"/>
              <w:rPr>
                <w:rFonts w:ascii="Times New Roman" w:cs="Times New Roman"/>
                <w:kern w:val="2"/>
                <w:sz w:val="21"/>
              </w:rPr>
            </w:pPr>
            <w:r>
              <w:rPr>
                <w:rFonts w:ascii="Times New Roman" w:cs="Times New Roman"/>
                <w:kern w:val="2"/>
                <w:sz w:val="21"/>
              </w:rPr>
              <w:t>3、</w:t>
            </w:r>
            <w:r>
              <w:rPr>
                <w:rFonts w:hint="eastAsia" w:ascii="Times New Roman" w:cs="Times New Roman"/>
                <w:kern w:val="2"/>
                <w:sz w:val="21"/>
              </w:rPr>
              <w:t>经果林</w:t>
            </w:r>
            <w:r>
              <w:rPr>
                <w:rFonts w:ascii="Times New Roman" w:cs="Times New Roman"/>
                <w:kern w:val="2"/>
                <w:sz w:val="21"/>
              </w:rPr>
              <w:t>植被(苹果、川梨、枇杷、桃、木瓜、樱桃、李、核桃、柑橘、柚子等)</w:t>
            </w:r>
          </w:p>
        </w:tc>
      </w:tr>
    </w:tbl>
    <w:p>
      <w:pPr>
        <w:topLinePunct w:val="0"/>
        <w:adjustRightInd/>
        <w:spacing w:beforeLines="50"/>
        <w:ind w:firstLine="482"/>
        <w:rPr>
          <w:rFonts w:ascii="Times New Roman" w:cs="Times New Roman"/>
          <w:b/>
          <w:kern w:val="2"/>
        </w:rPr>
      </w:pPr>
      <w:r>
        <w:rPr>
          <w:rFonts w:hint="eastAsia" w:ascii="Times New Roman" w:cs="Times New Roman"/>
          <w:b/>
          <w:kern w:val="2"/>
        </w:rPr>
        <w:t>Ⅰ</w:t>
      </w:r>
      <w:r>
        <w:rPr>
          <w:rFonts w:ascii="Times New Roman" w:cs="Times New Roman"/>
          <w:b/>
          <w:kern w:val="2"/>
        </w:rPr>
        <w:t>森林植被</w:t>
      </w:r>
    </w:p>
    <w:p>
      <w:pPr>
        <w:topLinePunct w:val="0"/>
        <w:ind w:firstLine="469" w:firstLineChars="174"/>
        <w:rPr>
          <w:rFonts w:ascii="Times New Roman" w:cs="Times New Roman"/>
        </w:rPr>
      </w:pPr>
      <w:r>
        <w:rPr>
          <w:rFonts w:hint="eastAsia" w:hAnsi="宋体"/>
          <w:spacing w:val="15"/>
        </w:rPr>
        <w:t>①</w:t>
      </w:r>
      <w:r>
        <w:rPr>
          <w:rFonts w:ascii="Times New Roman" w:cs="Times New Roman"/>
          <w:spacing w:val="9"/>
        </w:rPr>
        <w:t>马尾松林(</w:t>
      </w:r>
      <w:r>
        <w:rPr>
          <w:rFonts w:ascii="Times New Roman" w:eastAsia="Times New Roman" w:cs="Times New Roman"/>
        </w:rPr>
        <w:t>Form</w:t>
      </w:r>
      <w:r>
        <w:rPr>
          <w:rFonts w:ascii="Times New Roman" w:eastAsia="Times New Roman" w:cs="Times New Roman"/>
          <w:spacing w:val="9"/>
        </w:rPr>
        <w:t>.</w:t>
      </w:r>
      <w:r>
        <w:rPr>
          <w:rFonts w:ascii="Times New Roman" w:eastAsia="Times New Roman" w:cs="Times New Roman"/>
          <w:i/>
          <w:iCs/>
        </w:rPr>
        <w:t>P</w:t>
      </w:r>
      <w:r>
        <w:rPr>
          <w:rFonts w:ascii="Times New Roman" w:eastAsia="Times New Roman" w:cs="Times New Roman"/>
          <w:i/>
          <w:iCs/>
          <w:spacing w:val="9"/>
        </w:rPr>
        <w:t>.</w:t>
      </w:r>
      <w:r>
        <w:rPr>
          <w:rFonts w:ascii="Times New Roman" w:eastAsia="Times New Roman" w:cs="Times New Roman"/>
          <w:i/>
          <w:iCs/>
        </w:rPr>
        <w:t>massoniana</w:t>
      </w:r>
      <w:r>
        <w:rPr>
          <w:rFonts w:ascii="Times New Roman" w:cs="Times New Roman"/>
          <w:spacing w:val="9"/>
        </w:rPr>
        <w:t>)</w:t>
      </w:r>
    </w:p>
    <w:p>
      <w:pPr>
        <w:topLinePunct w:val="0"/>
        <w:snapToGrid w:val="0"/>
        <w:ind w:firstLine="448"/>
        <w:rPr>
          <w:rFonts w:ascii="Times New Roman" w:cs="Times New Roman"/>
        </w:rPr>
      </w:pPr>
      <w:r>
        <w:rPr>
          <w:rFonts w:ascii="Times New Roman" w:cs="Times New Roman"/>
          <w:spacing w:val="-8"/>
        </w:rPr>
        <w:t>评</w:t>
      </w:r>
      <w:r>
        <w:rPr>
          <w:rFonts w:ascii="Times New Roman" w:cs="Times New Roman"/>
          <w:spacing w:val="-4"/>
        </w:rPr>
        <w:t>价区的</w:t>
      </w:r>
      <w:r>
        <w:rPr>
          <w:rFonts w:ascii="Times New Roman" w:cs="Times New Roman"/>
        </w:rPr>
        <w:t>马尾</w:t>
      </w:r>
      <w:r>
        <w:rPr>
          <w:rFonts w:ascii="Times New Roman" w:cs="Times New Roman"/>
          <w:spacing w:val="-4"/>
        </w:rPr>
        <w:t>松(</w:t>
      </w:r>
      <w:r>
        <w:rPr>
          <w:rFonts w:ascii="Times New Roman" w:eastAsia="Times New Roman" w:cs="Times New Roman"/>
          <w:i/>
          <w:iCs/>
          <w:spacing w:val="-4"/>
        </w:rPr>
        <w:t>P.massoniana</w:t>
      </w:r>
      <w:r>
        <w:rPr>
          <w:rFonts w:ascii="Times New Roman" w:cs="Times New Roman"/>
          <w:spacing w:val="-4"/>
        </w:rPr>
        <w:t>)林为人工起源，多呈块状或片状分布在评价</w:t>
      </w:r>
      <w:r>
        <w:rPr>
          <w:rFonts w:ascii="Times New Roman" w:cs="Times New Roman"/>
          <w:spacing w:val="3"/>
        </w:rPr>
        <w:t>区所在山体中、上部</w:t>
      </w:r>
      <w:r>
        <w:rPr>
          <w:rFonts w:hAnsi="宋体"/>
          <w:spacing w:val="-5"/>
        </w:rPr>
        <w:t>砂页岩发育的黄壤地段上</w:t>
      </w:r>
      <w:r>
        <w:rPr>
          <w:rFonts w:ascii="Times New Roman" w:cs="Times New Roman"/>
          <w:spacing w:val="3"/>
        </w:rPr>
        <w:t>，在评价区广泛分布。群落外貌呈翠绿色，林冠整齐，层</w:t>
      </w:r>
      <w:r>
        <w:rPr>
          <w:rFonts w:ascii="Times New Roman" w:cs="Times New Roman"/>
        </w:rPr>
        <w:t>次</w:t>
      </w:r>
      <w:r>
        <w:rPr>
          <w:rFonts w:ascii="Times New Roman" w:cs="Times New Roman"/>
          <w:spacing w:val="-20"/>
        </w:rPr>
        <w:t>分</w:t>
      </w:r>
      <w:r>
        <w:rPr>
          <w:rFonts w:ascii="Times New Roman" w:cs="Times New Roman"/>
          <w:spacing w:val="-16"/>
        </w:rPr>
        <w:t>明</w:t>
      </w:r>
      <w:r>
        <w:rPr>
          <w:rFonts w:ascii="Times New Roman" w:cs="Times New Roman"/>
          <w:spacing w:val="-10"/>
        </w:rPr>
        <w:t>。主要以纯林为主，乔灌层次分明。乔木层较少，主要有杉木</w:t>
      </w:r>
      <w:r>
        <w:rPr>
          <w:rFonts w:ascii="Times New Roman" w:cs="Times New Roman"/>
          <w:spacing w:val="-4"/>
        </w:rPr>
        <w:t>、</w:t>
      </w:r>
      <w:r>
        <w:rPr>
          <w:rFonts w:ascii="Times New Roman" w:cs="Times New Roman"/>
          <w:spacing w:val="-3"/>
        </w:rPr>
        <w:t>枫香、栓皮栎、麻栎等。灌木层种类较多，</w:t>
      </w:r>
      <w:r>
        <w:rPr>
          <w:rFonts w:ascii="Times New Roman" w:cs="Times New Roman"/>
          <w:spacing w:val="14"/>
        </w:rPr>
        <w:t>常见</w:t>
      </w:r>
      <w:r>
        <w:rPr>
          <w:rFonts w:ascii="Times New Roman" w:cs="Times New Roman"/>
          <w:spacing w:val="12"/>
        </w:rPr>
        <w:t>为</w:t>
      </w:r>
      <w:r>
        <w:rPr>
          <w:rFonts w:ascii="Times New Roman" w:cs="Times New Roman"/>
          <w:spacing w:val="7"/>
        </w:rPr>
        <w:t>多种</w:t>
      </w:r>
      <w:r>
        <w:rPr>
          <w:rFonts w:hAnsi="宋体"/>
          <w:spacing w:val="-5"/>
        </w:rPr>
        <w:t>米饭花、映山红、米碎花、铁仔</w:t>
      </w:r>
      <w:r>
        <w:rPr>
          <w:rFonts w:hint="eastAsia" w:hAnsi="宋体"/>
          <w:spacing w:val="-5"/>
        </w:rPr>
        <w:t>、</w:t>
      </w:r>
      <w:r>
        <w:rPr>
          <w:rFonts w:ascii="Times New Roman" w:cs="Times New Roman"/>
          <w:spacing w:val="7"/>
        </w:rPr>
        <w:t>柃</w:t>
      </w:r>
      <w:r>
        <w:rPr>
          <w:rFonts w:ascii="Times New Roman" w:cs="Times New Roman"/>
        </w:rPr>
        <w:t>木、杜鹃、鹅掌</w:t>
      </w:r>
      <w:r>
        <w:rPr>
          <w:rFonts w:ascii="Times New Roman" w:cs="Times New Roman"/>
          <w:spacing w:val="7"/>
        </w:rPr>
        <w:t>柴、山矾(</w:t>
      </w:r>
      <w:r>
        <w:rPr>
          <w:rFonts w:ascii="Times New Roman" w:eastAsia="Times New Roman" w:cs="Times New Roman"/>
          <w:i/>
          <w:iCs/>
        </w:rPr>
        <w:t>Symplocos</w:t>
      </w:r>
      <w:r>
        <w:rPr>
          <w:rFonts w:ascii="Times New Roman" w:eastAsia="Times New Roman" w:cs="Times New Roman"/>
          <w:spacing w:val="7"/>
        </w:rPr>
        <w:t xml:space="preserve"> </w:t>
      </w:r>
      <w:r>
        <w:rPr>
          <w:rFonts w:ascii="Times New Roman" w:eastAsia="Times New Roman" w:cs="Times New Roman"/>
          <w:i/>
          <w:iCs/>
        </w:rPr>
        <w:t>spp</w:t>
      </w:r>
      <w:r>
        <w:rPr>
          <w:rFonts w:ascii="Times New Roman" w:eastAsia="Times New Roman" w:cs="Times New Roman"/>
          <w:i/>
          <w:iCs/>
          <w:spacing w:val="7"/>
        </w:rPr>
        <w:t>.</w:t>
      </w:r>
      <w:r>
        <w:rPr>
          <w:rFonts w:ascii="Times New Roman" w:cs="Times New Roman"/>
          <w:spacing w:val="7"/>
        </w:rPr>
        <w:t>)、木莓、川莓、悬钩子</w:t>
      </w:r>
      <w:r>
        <w:rPr>
          <w:rFonts w:ascii="Times New Roman" w:cs="Times New Roman"/>
          <w:spacing w:val="30"/>
        </w:rPr>
        <w:t>(</w:t>
      </w:r>
      <w:r>
        <w:rPr>
          <w:rFonts w:ascii="Times New Roman" w:eastAsia="Times New Roman" w:cs="Times New Roman"/>
          <w:i/>
          <w:iCs/>
        </w:rPr>
        <w:t>Rubus</w:t>
      </w:r>
      <w:r>
        <w:rPr>
          <w:rFonts w:ascii="Times New Roman" w:eastAsia="Times New Roman" w:cs="Times New Roman"/>
          <w:spacing w:val="17"/>
        </w:rPr>
        <w:t xml:space="preserve"> </w:t>
      </w:r>
      <w:r>
        <w:rPr>
          <w:rFonts w:ascii="Times New Roman" w:eastAsia="Times New Roman" w:cs="Times New Roman"/>
          <w:i/>
          <w:iCs/>
        </w:rPr>
        <w:t>spp</w:t>
      </w:r>
      <w:r>
        <w:rPr>
          <w:rFonts w:ascii="Times New Roman" w:cs="Times New Roman"/>
          <w:spacing w:val="15"/>
        </w:rPr>
        <w:t>)、火棘、马桑等。草本层主要有芒萁(</w:t>
      </w:r>
      <w:r>
        <w:rPr>
          <w:rFonts w:ascii="Times New Roman" w:eastAsia="Times New Roman" w:cs="Times New Roman"/>
          <w:i/>
          <w:iCs/>
        </w:rPr>
        <w:t>Dicranopteris</w:t>
      </w:r>
      <w:r>
        <w:rPr>
          <w:rFonts w:ascii="Times New Roman" w:eastAsia="Times New Roman" w:cs="Times New Roman"/>
          <w:spacing w:val="15"/>
        </w:rPr>
        <w:t xml:space="preserve"> </w:t>
      </w:r>
      <w:r>
        <w:rPr>
          <w:rFonts w:ascii="Times New Roman" w:eastAsia="Times New Roman" w:cs="Times New Roman"/>
          <w:i/>
          <w:iCs/>
        </w:rPr>
        <w:t>dichotoma</w:t>
      </w:r>
      <w:r>
        <w:rPr>
          <w:rFonts w:ascii="Times New Roman" w:cs="Times New Roman"/>
          <w:spacing w:val="15"/>
        </w:rPr>
        <w:t>)、</w:t>
      </w:r>
      <w:r>
        <w:rPr>
          <w:rFonts w:ascii="Times New Roman" w:cs="Times New Roman"/>
          <w:spacing w:val="27"/>
        </w:rPr>
        <w:t>芒</w:t>
      </w:r>
      <w:r>
        <w:rPr>
          <w:rFonts w:ascii="Times New Roman" w:cs="Times New Roman"/>
          <w:spacing w:val="24"/>
        </w:rPr>
        <w:t>、苔草、麦冬(</w:t>
      </w:r>
      <w:r>
        <w:rPr>
          <w:rFonts w:ascii="Times New Roman" w:cs="Times New Roman"/>
        </w:rPr>
        <w:t xml:space="preserve">Ophiopogon </w:t>
      </w:r>
      <w:r>
        <w:rPr>
          <w:rFonts w:ascii="Times New Roman" w:eastAsia="Times New Roman" w:cs="Times New Roman"/>
          <w:i/>
          <w:iCs/>
        </w:rPr>
        <w:t>japonicus</w:t>
      </w:r>
      <w:r>
        <w:rPr>
          <w:rFonts w:ascii="Times New Roman" w:cs="Times New Roman"/>
          <w:spacing w:val="24"/>
        </w:rPr>
        <w:t>)、翠云草(</w:t>
      </w:r>
      <w:r>
        <w:rPr>
          <w:rFonts w:ascii="Times New Roman" w:eastAsia="Times New Roman" w:cs="Times New Roman"/>
          <w:i/>
          <w:iCs/>
        </w:rPr>
        <w:t>Selaginella</w:t>
      </w:r>
      <w:r>
        <w:rPr>
          <w:rFonts w:ascii="Times New Roman" w:eastAsia="Times New Roman" w:cs="Times New Roman"/>
          <w:spacing w:val="24"/>
        </w:rPr>
        <w:t xml:space="preserve"> </w:t>
      </w:r>
      <w:r>
        <w:rPr>
          <w:rFonts w:ascii="Times New Roman" w:eastAsia="Times New Roman" w:cs="Times New Roman"/>
          <w:i/>
          <w:iCs/>
        </w:rPr>
        <w:t>uncinata</w:t>
      </w:r>
      <w:r>
        <w:rPr>
          <w:rFonts w:ascii="Times New Roman" w:cs="Times New Roman"/>
          <w:spacing w:val="24"/>
        </w:rPr>
        <w:t>)、蒿</w:t>
      </w:r>
      <w:r>
        <w:rPr>
          <w:rFonts w:ascii="Times New Roman" w:cs="Times New Roman"/>
          <w:spacing w:val="-11"/>
        </w:rPr>
        <w:t>等</w:t>
      </w:r>
      <w:r>
        <w:rPr>
          <w:rFonts w:ascii="Times New Roman" w:cs="Times New Roman"/>
          <w:spacing w:val="-9"/>
        </w:rPr>
        <w:t>。</w:t>
      </w:r>
    </w:p>
    <w:p>
      <w:pPr>
        <w:topLinePunct w:val="0"/>
        <w:snapToGrid w:val="0"/>
        <w:ind w:firstLine="528"/>
        <w:rPr>
          <w:rFonts w:ascii="Times New Roman" w:cs="Times New Roman"/>
        </w:rPr>
      </w:pPr>
      <w:r>
        <w:rPr>
          <w:rFonts w:hint="eastAsia" w:hAnsi="宋体"/>
          <w:spacing w:val="12"/>
        </w:rPr>
        <w:t>②</w:t>
      </w:r>
      <w:r>
        <w:rPr>
          <w:rFonts w:ascii="Times New Roman" w:cs="Times New Roman"/>
          <w:spacing w:val="12"/>
        </w:rPr>
        <w:t>杉</w:t>
      </w:r>
      <w:r>
        <w:rPr>
          <w:rFonts w:ascii="Times New Roman" w:cs="Times New Roman"/>
          <w:spacing w:val="7"/>
        </w:rPr>
        <w:t>木</w:t>
      </w:r>
      <w:r>
        <w:rPr>
          <w:rFonts w:ascii="Times New Roman" w:cs="Times New Roman"/>
          <w:spacing w:val="6"/>
        </w:rPr>
        <w:t>林(</w:t>
      </w:r>
      <w:r>
        <w:rPr>
          <w:rFonts w:ascii="Times New Roman" w:eastAsia="Times New Roman" w:cs="Times New Roman"/>
        </w:rPr>
        <w:t>Form</w:t>
      </w:r>
      <w:r>
        <w:rPr>
          <w:rFonts w:ascii="Times New Roman" w:eastAsia="Times New Roman" w:cs="Times New Roman"/>
          <w:spacing w:val="6"/>
        </w:rPr>
        <w:t>.</w:t>
      </w:r>
      <w:r>
        <w:rPr>
          <w:rFonts w:ascii="Times New Roman" w:eastAsia="Times New Roman" w:cs="Times New Roman"/>
          <w:i/>
          <w:iCs/>
        </w:rPr>
        <w:t>Cunninghamia</w:t>
      </w:r>
      <w:r>
        <w:rPr>
          <w:rFonts w:ascii="Times New Roman" w:eastAsia="Times New Roman" w:cs="Times New Roman"/>
          <w:spacing w:val="6"/>
        </w:rPr>
        <w:t xml:space="preserve"> </w:t>
      </w:r>
      <w:r>
        <w:rPr>
          <w:rFonts w:ascii="Times New Roman" w:eastAsia="Times New Roman" w:cs="Times New Roman"/>
          <w:i/>
          <w:iCs/>
        </w:rPr>
        <w:t>lanceolata</w:t>
      </w:r>
      <w:r>
        <w:rPr>
          <w:rFonts w:ascii="Times New Roman" w:cs="Times New Roman"/>
          <w:spacing w:val="6"/>
        </w:rPr>
        <w:t>(</w:t>
      </w:r>
      <w:r>
        <w:rPr>
          <w:rFonts w:ascii="Times New Roman" w:eastAsia="Times New Roman" w:cs="Times New Roman"/>
        </w:rPr>
        <w:t>Lamb</w:t>
      </w:r>
      <w:r>
        <w:rPr>
          <w:rFonts w:ascii="Times New Roman" w:eastAsia="Times New Roman" w:cs="Times New Roman"/>
          <w:spacing w:val="6"/>
        </w:rPr>
        <w:t>.</w:t>
      </w:r>
      <w:r>
        <w:rPr>
          <w:rFonts w:ascii="Times New Roman" w:cs="Times New Roman"/>
          <w:spacing w:val="6"/>
        </w:rPr>
        <w:t>)</w:t>
      </w:r>
      <w:r>
        <w:rPr>
          <w:rFonts w:ascii="Times New Roman" w:eastAsia="Times New Roman" w:cs="Times New Roman"/>
        </w:rPr>
        <w:t>Hook</w:t>
      </w:r>
      <w:r>
        <w:rPr>
          <w:rFonts w:ascii="Times New Roman" w:eastAsia="Times New Roman" w:cs="Times New Roman"/>
          <w:spacing w:val="6"/>
        </w:rPr>
        <w:t>.</w:t>
      </w:r>
      <w:r>
        <w:rPr>
          <w:rFonts w:ascii="Times New Roman" w:cs="Times New Roman"/>
          <w:spacing w:val="6"/>
        </w:rPr>
        <w:t>)</w:t>
      </w:r>
    </w:p>
    <w:p>
      <w:pPr>
        <w:topLinePunct w:val="0"/>
        <w:snapToGrid w:val="0"/>
        <w:ind w:firstLine="512"/>
        <w:rPr>
          <w:rFonts w:ascii="Times New Roman" w:cs="Times New Roman"/>
          <w:spacing w:val="12"/>
        </w:rPr>
      </w:pPr>
      <w:r>
        <w:rPr>
          <w:rFonts w:ascii="Times New Roman" w:cs="Times New Roman"/>
          <w:spacing w:val="8"/>
        </w:rPr>
        <w:t>杉木(</w:t>
      </w:r>
      <w:r>
        <w:rPr>
          <w:rFonts w:ascii="Times New Roman" w:eastAsia="Times New Roman" w:cs="Times New Roman"/>
          <w:i/>
          <w:iCs/>
        </w:rPr>
        <w:t>Cunninghamia</w:t>
      </w:r>
      <w:r>
        <w:rPr>
          <w:rFonts w:ascii="Times New Roman" w:eastAsia="Times New Roman" w:cs="Times New Roman"/>
          <w:spacing w:val="5"/>
        </w:rPr>
        <w:t xml:space="preserve"> </w:t>
      </w:r>
      <w:r>
        <w:rPr>
          <w:rFonts w:ascii="Times New Roman" w:eastAsia="Times New Roman" w:cs="Times New Roman"/>
          <w:i/>
          <w:iCs/>
        </w:rPr>
        <w:t>lanceolata</w:t>
      </w:r>
      <w:r>
        <w:rPr>
          <w:rFonts w:ascii="Times New Roman" w:cs="Times New Roman"/>
          <w:i/>
          <w:iCs/>
          <w:spacing w:val="4"/>
          <w:sz w:val="25"/>
          <w:szCs w:val="25"/>
        </w:rPr>
        <w:t>(</w:t>
      </w:r>
      <w:r>
        <w:rPr>
          <w:rFonts w:ascii="Times New Roman" w:eastAsia="Times New Roman" w:cs="Times New Roman"/>
          <w:i/>
          <w:iCs/>
        </w:rPr>
        <w:t>Lamb</w:t>
      </w:r>
      <w:r>
        <w:rPr>
          <w:rFonts w:ascii="Times New Roman" w:eastAsia="Times New Roman" w:cs="Times New Roman"/>
          <w:i/>
          <w:iCs/>
          <w:spacing w:val="4"/>
        </w:rPr>
        <w:t>.</w:t>
      </w:r>
      <w:r>
        <w:rPr>
          <w:rFonts w:ascii="Times New Roman" w:cs="Times New Roman"/>
          <w:i/>
          <w:iCs/>
          <w:spacing w:val="4"/>
          <w:sz w:val="25"/>
          <w:szCs w:val="25"/>
        </w:rPr>
        <w:t>)</w:t>
      </w:r>
      <w:r>
        <w:rPr>
          <w:rFonts w:ascii="Times New Roman" w:eastAsia="Times New Roman" w:cs="Times New Roman"/>
          <w:i/>
          <w:iCs/>
        </w:rPr>
        <w:t>Hook</w:t>
      </w:r>
      <w:r>
        <w:rPr>
          <w:rFonts w:ascii="Times New Roman" w:eastAsia="Times New Roman" w:cs="Times New Roman"/>
          <w:i/>
          <w:iCs/>
          <w:spacing w:val="4"/>
        </w:rPr>
        <w:t>.</w:t>
      </w:r>
      <w:r>
        <w:rPr>
          <w:rFonts w:ascii="Times New Roman" w:cs="Times New Roman"/>
          <w:spacing w:val="4"/>
        </w:rPr>
        <w:t>)林在评价区内</w:t>
      </w:r>
      <w:r>
        <w:rPr>
          <w:rFonts w:ascii="Times New Roman" w:cs="Times New Roman"/>
        </w:rPr>
        <w:t>分布较为广泛，多为人工林，胸径</w:t>
      </w:r>
      <w:r>
        <w:rPr>
          <w:rFonts w:ascii="Times New Roman" w:eastAsia="Times New Roman" w:cs="Times New Roman"/>
        </w:rPr>
        <w:t>10</w:t>
      </w:r>
      <w:r>
        <w:rPr>
          <w:rFonts w:ascii="Times New Roman" w:cs="Times New Roman"/>
        </w:rPr>
        <w:t>~</w:t>
      </w:r>
      <w:r>
        <w:rPr>
          <w:rFonts w:ascii="Times New Roman" w:eastAsia="Times New Roman" w:cs="Times New Roman"/>
        </w:rPr>
        <w:t>25cm</w:t>
      </w:r>
      <w:r>
        <w:rPr>
          <w:rFonts w:ascii="Times New Roman" w:cs="Times New Roman"/>
        </w:rPr>
        <w:t>，伴生有</w:t>
      </w:r>
      <w:r>
        <w:rPr>
          <w:rFonts w:hint="eastAsia" w:ascii="Times New Roman" w:cs="Times New Roman"/>
          <w:spacing w:val="4"/>
        </w:rPr>
        <w:t>马尾松</w:t>
      </w:r>
      <w:r>
        <w:rPr>
          <w:rFonts w:ascii="Times New Roman" w:cs="Times New Roman"/>
          <w:spacing w:val="4"/>
        </w:rPr>
        <w:t>、</w:t>
      </w:r>
      <w:r>
        <w:rPr>
          <w:rFonts w:hint="eastAsia" w:ascii="Times New Roman" w:cs="Times New Roman"/>
          <w:spacing w:val="4"/>
        </w:rPr>
        <w:t>青冈、</w:t>
      </w:r>
      <w:r>
        <w:rPr>
          <w:rFonts w:ascii="Times New Roman" w:cs="Times New Roman"/>
          <w:spacing w:val="4"/>
        </w:rPr>
        <w:t>栎类等。灌木层主要有</w:t>
      </w:r>
      <w:r>
        <w:rPr>
          <w:rFonts w:hAnsi="宋体"/>
          <w:spacing w:val="-5"/>
        </w:rPr>
        <w:t>米饭花、映山红、米碎花、铁仔</w:t>
      </w:r>
      <w:r>
        <w:rPr>
          <w:rFonts w:hint="eastAsia" w:hAnsi="宋体"/>
          <w:spacing w:val="-5"/>
        </w:rPr>
        <w:t>、</w:t>
      </w:r>
      <w:r>
        <w:rPr>
          <w:rFonts w:ascii="Times New Roman" w:cs="Times New Roman"/>
          <w:spacing w:val="4"/>
        </w:rPr>
        <w:t>胡颓子(</w:t>
      </w:r>
      <w:r>
        <w:rPr>
          <w:rFonts w:ascii="Times New Roman" w:eastAsia="Times New Roman" w:cs="Times New Roman"/>
          <w:i/>
          <w:iCs/>
        </w:rPr>
        <w:t>Elaeagnus</w:t>
      </w:r>
      <w:r>
        <w:rPr>
          <w:rFonts w:ascii="Times New Roman" w:eastAsia="Times New Roman" w:cs="Times New Roman"/>
          <w:spacing w:val="4"/>
        </w:rPr>
        <w:t xml:space="preserve"> </w:t>
      </w:r>
      <w:r>
        <w:rPr>
          <w:rFonts w:ascii="Times New Roman" w:eastAsia="Times New Roman" w:cs="Times New Roman"/>
          <w:i/>
          <w:iCs/>
        </w:rPr>
        <w:t>spp</w:t>
      </w:r>
      <w:r>
        <w:rPr>
          <w:rFonts w:ascii="Times New Roman" w:eastAsia="Times New Roman" w:cs="Times New Roman"/>
          <w:i/>
          <w:iCs/>
          <w:spacing w:val="4"/>
        </w:rPr>
        <w:t>.</w:t>
      </w:r>
      <w:r>
        <w:rPr>
          <w:rFonts w:ascii="Times New Roman" w:cs="Times New Roman"/>
          <w:spacing w:val="4"/>
        </w:rPr>
        <w:t>)、</w:t>
      </w:r>
      <w:r>
        <w:rPr>
          <w:rFonts w:ascii="Times New Roman" w:cs="Times New Roman"/>
          <w:spacing w:val="26"/>
        </w:rPr>
        <w:t>木</w:t>
      </w:r>
      <w:r>
        <w:rPr>
          <w:rFonts w:ascii="Times New Roman" w:cs="Times New Roman"/>
          <w:spacing w:val="19"/>
        </w:rPr>
        <w:t>姜</w:t>
      </w:r>
      <w:r>
        <w:rPr>
          <w:rFonts w:ascii="Times New Roman" w:cs="Times New Roman"/>
          <w:spacing w:val="13"/>
        </w:rPr>
        <w:t>子(</w:t>
      </w:r>
      <w:r>
        <w:rPr>
          <w:rFonts w:ascii="Times New Roman" w:eastAsia="Times New Roman" w:cs="Times New Roman"/>
          <w:i/>
          <w:iCs/>
        </w:rPr>
        <w:t>Litsea</w:t>
      </w:r>
      <w:r>
        <w:rPr>
          <w:rFonts w:ascii="Times New Roman" w:eastAsia="Times New Roman" w:cs="Times New Roman"/>
          <w:spacing w:val="13"/>
        </w:rPr>
        <w:t xml:space="preserve"> </w:t>
      </w:r>
      <w:r>
        <w:rPr>
          <w:rFonts w:ascii="Times New Roman" w:cs="Times New Roman"/>
        </w:rPr>
        <w:t>cubeba</w:t>
      </w:r>
      <w:r>
        <w:rPr>
          <w:rFonts w:ascii="Times New Roman" w:cs="Times New Roman"/>
          <w:spacing w:val="13"/>
        </w:rPr>
        <w:t>)、荚蒾(</w:t>
      </w:r>
      <w:r>
        <w:rPr>
          <w:rFonts w:ascii="Times New Roman" w:eastAsia="Times New Roman" w:cs="Times New Roman"/>
          <w:i/>
          <w:iCs/>
        </w:rPr>
        <w:t>Viburnum</w:t>
      </w:r>
      <w:r>
        <w:rPr>
          <w:rFonts w:ascii="Times New Roman" w:eastAsia="Times New Roman" w:cs="Times New Roman"/>
          <w:spacing w:val="13"/>
        </w:rPr>
        <w:t xml:space="preserve"> </w:t>
      </w:r>
      <w:r>
        <w:rPr>
          <w:rFonts w:ascii="Times New Roman" w:eastAsia="Times New Roman" w:cs="Times New Roman"/>
          <w:i/>
          <w:iCs/>
        </w:rPr>
        <w:t>spp</w:t>
      </w:r>
      <w:r>
        <w:rPr>
          <w:rFonts w:ascii="Times New Roman" w:cs="Times New Roman"/>
          <w:spacing w:val="13"/>
        </w:rPr>
        <w:t>)、杜茎山、盐肤木</w:t>
      </w:r>
      <w:r>
        <w:rPr>
          <w:rFonts w:ascii="Times New Roman" w:cs="Times New Roman"/>
          <w:spacing w:val="11"/>
        </w:rPr>
        <w:t>等</w:t>
      </w:r>
      <w:r>
        <w:rPr>
          <w:rFonts w:ascii="Times New Roman" w:cs="Times New Roman"/>
          <w:spacing w:val="9"/>
        </w:rPr>
        <w:t>，草本层主要有翠云草(</w:t>
      </w:r>
      <w:r>
        <w:rPr>
          <w:rFonts w:ascii="Times New Roman" w:eastAsia="Times New Roman" w:cs="Times New Roman"/>
          <w:i/>
          <w:iCs/>
        </w:rPr>
        <w:t>Selaginella</w:t>
      </w:r>
      <w:r>
        <w:rPr>
          <w:rFonts w:ascii="Times New Roman" w:eastAsia="Times New Roman" w:cs="Times New Roman"/>
          <w:spacing w:val="9"/>
        </w:rPr>
        <w:t xml:space="preserve"> </w:t>
      </w:r>
      <w:r>
        <w:rPr>
          <w:rFonts w:ascii="Times New Roman" w:eastAsia="Times New Roman" w:cs="Times New Roman"/>
          <w:i/>
          <w:iCs/>
        </w:rPr>
        <w:t>uncinata</w:t>
      </w:r>
      <w:r>
        <w:rPr>
          <w:rFonts w:ascii="Times New Roman" w:cs="Times New Roman"/>
          <w:spacing w:val="9"/>
        </w:rPr>
        <w:t>)、白车轴草、飞蓬、里白、荩</w:t>
      </w:r>
      <w:r>
        <w:rPr>
          <w:rFonts w:ascii="Times New Roman" w:cs="Times New Roman"/>
          <w:spacing w:val="24"/>
        </w:rPr>
        <w:t>草</w:t>
      </w:r>
      <w:r>
        <w:rPr>
          <w:rFonts w:ascii="Times New Roman" w:cs="Times New Roman"/>
          <w:spacing w:val="15"/>
        </w:rPr>
        <w:t>等</w:t>
      </w:r>
      <w:r>
        <w:rPr>
          <w:rFonts w:ascii="Times New Roman" w:cs="Times New Roman"/>
          <w:spacing w:val="12"/>
        </w:rPr>
        <w:t>。层间有菝葜(</w:t>
      </w:r>
      <w:r>
        <w:rPr>
          <w:rFonts w:ascii="Times New Roman" w:eastAsia="Times New Roman" w:cs="Times New Roman"/>
          <w:i/>
          <w:iCs/>
        </w:rPr>
        <w:t>Smilax</w:t>
      </w:r>
      <w:r>
        <w:rPr>
          <w:rFonts w:ascii="Times New Roman" w:eastAsia="Times New Roman" w:cs="Times New Roman"/>
          <w:spacing w:val="12"/>
        </w:rPr>
        <w:t xml:space="preserve"> </w:t>
      </w:r>
      <w:r>
        <w:rPr>
          <w:rFonts w:ascii="Times New Roman" w:eastAsia="Times New Roman" w:cs="Times New Roman"/>
          <w:i/>
          <w:iCs/>
        </w:rPr>
        <w:t>spp</w:t>
      </w:r>
      <w:r>
        <w:rPr>
          <w:rFonts w:ascii="Times New Roman" w:cs="Times New Roman"/>
          <w:spacing w:val="12"/>
        </w:rPr>
        <w:t>)、蛇葡萄(</w:t>
      </w:r>
      <w:r>
        <w:rPr>
          <w:rFonts w:ascii="Times New Roman" w:eastAsia="Times New Roman" w:cs="Times New Roman"/>
          <w:i/>
          <w:iCs/>
        </w:rPr>
        <w:t>Ampelopsis</w:t>
      </w:r>
      <w:r>
        <w:rPr>
          <w:rFonts w:ascii="Times New Roman" w:eastAsia="Times New Roman" w:cs="Times New Roman"/>
          <w:spacing w:val="12"/>
        </w:rPr>
        <w:t xml:space="preserve"> </w:t>
      </w:r>
      <w:r>
        <w:rPr>
          <w:rFonts w:ascii="Times New Roman" w:eastAsia="Times New Roman" w:cs="Times New Roman"/>
          <w:i/>
          <w:iCs/>
        </w:rPr>
        <w:t>spp</w:t>
      </w:r>
      <w:r>
        <w:rPr>
          <w:rFonts w:ascii="Times New Roman" w:cs="Times New Roman"/>
          <w:spacing w:val="12"/>
        </w:rPr>
        <w:t>)等藤本植物。</w:t>
      </w:r>
    </w:p>
    <w:p>
      <w:pPr>
        <w:topLinePunct w:val="0"/>
        <w:adjustRightInd/>
        <w:ind w:firstLine="480"/>
        <w:rPr>
          <w:rFonts w:ascii="Times New Roman" w:cs="Times New Roman"/>
        </w:rPr>
      </w:pPr>
      <w:r>
        <w:rPr>
          <w:rFonts w:hint="eastAsia" w:hAnsi="宋体"/>
        </w:rPr>
        <w:t>③</w:t>
      </w:r>
      <w:r>
        <w:rPr>
          <w:rFonts w:ascii="Times New Roman" w:cs="Times New Roman"/>
        </w:rPr>
        <w:t>柏木</w:t>
      </w:r>
      <w:r>
        <w:rPr>
          <w:rFonts w:hint="eastAsia" w:ascii="Times New Roman" w:cs="Times New Roman"/>
        </w:rPr>
        <w:t>林</w:t>
      </w:r>
      <w:r>
        <w:rPr>
          <w:rFonts w:ascii="Times New Roman" w:cs="Times New Roman"/>
        </w:rPr>
        <w:t>(Form.</w:t>
      </w:r>
      <w:r>
        <w:rPr>
          <w:rFonts w:ascii="Times New Roman" w:cs="Times New Roman"/>
          <w:i/>
          <w:iCs/>
        </w:rPr>
        <w:t xml:space="preserve">Cupressus funebris </w:t>
      </w:r>
      <w:r>
        <w:rPr>
          <w:rFonts w:ascii="Times New Roman" w:cs="Times New Roman"/>
        </w:rPr>
        <w:t>Endl.)</w:t>
      </w:r>
    </w:p>
    <w:p>
      <w:pPr>
        <w:topLinePunct w:val="0"/>
        <w:snapToGrid w:val="0"/>
        <w:ind w:firstLine="480"/>
        <w:rPr>
          <w:rFonts w:ascii="Times New Roman" w:cs="Times New Roman"/>
        </w:rPr>
      </w:pPr>
      <w:r>
        <w:rPr>
          <w:rFonts w:ascii="Times New Roman" w:cs="Times New Roman"/>
        </w:rPr>
        <w:t>柏木对土壤的适应性较强，喜肥沃、湿润、深厚、排水良好的土壤，能耐干旱瘠薄，亦能稍耐水湿。中性、微酸性及钙质土均能生长。特别在土层浅薄的钙质紫色土和黑色石灰土上其它乔木不易生长的地区，柏木却生长良好。在土壤瘠簿干旱和基岩裸露地区，常呈疏林状态，酸性黄壤及红壤上虽能生长，但生长极缓慢。</w:t>
      </w:r>
    </w:p>
    <w:p>
      <w:pPr>
        <w:topLinePunct w:val="0"/>
        <w:snapToGrid w:val="0"/>
        <w:ind w:firstLine="480"/>
        <w:rPr>
          <w:rFonts w:ascii="Times New Roman" w:cs="Times New Roman"/>
        </w:rPr>
      </w:pPr>
      <w:r>
        <w:rPr>
          <w:rFonts w:ascii="Times New Roman" w:cs="Times New Roman"/>
        </w:rPr>
        <w:t>该类型在评价区广泛分布，多为人工栽种的用材林，柏木群落外貌整齐，生境岩石多有裸露，风化较为严重。乔木层主要为柏树，高7～9m不等，胸径8～25cm。除柏木外，乔木层中常混生有枫香、响叶杨等阔叶树种，但其优势程度低于柏木，且多为幼树。灌木、草本层种类不多，有</w:t>
      </w:r>
      <w:r>
        <w:rPr>
          <w:rFonts w:hAnsi="宋体"/>
          <w:spacing w:val="2"/>
        </w:rPr>
        <w:t>化香、黄连木</w:t>
      </w:r>
      <w:r>
        <w:rPr>
          <w:rFonts w:hint="eastAsia" w:hAnsi="宋体"/>
          <w:spacing w:val="2"/>
        </w:rPr>
        <w:t>、</w:t>
      </w:r>
      <w:r>
        <w:rPr>
          <w:rFonts w:hAnsi="宋体"/>
          <w:spacing w:val="2"/>
        </w:rPr>
        <w:t>黄荆、牡荆、马桑、铁仔、短柄枹栎</w:t>
      </w:r>
      <w:r>
        <w:rPr>
          <w:rFonts w:hint="eastAsia" w:hAnsi="宋体"/>
          <w:spacing w:val="2"/>
        </w:rPr>
        <w:t>、</w:t>
      </w:r>
      <w:r>
        <w:rPr>
          <w:rFonts w:ascii="Times New Roman" w:cs="Times New Roman"/>
        </w:rPr>
        <w:t>火棘、悬钩子、八角金盘、山胡椒等</w:t>
      </w:r>
      <w:r>
        <w:rPr>
          <w:rFonts w:hint="eastAsia" w:ascii="Times New Roman" w:cs="Times New Roman"/>
        </w:rPr>
        <w:t>，草本有</w:t>
      </w:r>
      <w:r>
        <w:rPr>
          <w:rFonts w:hAnsi="宋体"/>
          <w:spacing w:val="1"/>
        </w:rPr>
        <w:t>以黄茅、</w:t>
      </w:r>
      <w:r>
        <w:rPr>
          <w:rFonts w:hAnsi="宋体"/>
          <w:spacing w:val="4"/>
        </w:rPr>
        <w:t>白茅、香茅为主的亚</w:t>
      </w:r>
      <w:r>
        <w:rPr>
          <w:rFonts w:hAnsi="宋体"/>
          <w:spacing w:val="3"/>
        </w:rPr>
        <w:t>热</w:t>
      </w:r>
      <w:r>
        <w:rPr>
          <w:rFonts w:hAnsi="宋体"/>
          <w:spacing w:val="2"/>
        </w:rPr>
        <w:t>带草丛</w:t>
      </w:r>
      <w:r>
        <w:rPr>
          <w:rFonts w:ascii="Times New Roman" w:cs="Times New Roman"/>
        </w:rPr>
        <w:t>。</w:t>
      </w:r>
    </w:p>
    <w:p>
      <w:pPr>
        <w:topLinePunct w:val="0"/>
        <w:adjustRightInd/>
        <w:ind w:firstLine="528"/>
        <w:rPr>
          <w:rFonts w:ascii="Times New Roman" w:cs="Times New Roman"/>
        </w:rPr>
      </w:pPr>
      <w:r>
        <w:rPr>
          <w:rFonts w:hint="eastAsia" w:hAnsi="宋体"/>
          <w:spacing w:val="12"/>
        </w:rPr>
        <w:t>④</w:t>
      </w:r>
      <w:r>
        <w:rPr>
          <w:rFonts w:hint="eastAsia" w:hAnsi="宋体"/>
          <w:spacing w:val="-4"/>
        </w:rPr>
        <w:t>麻栎、青冈</w:t>
      </w:r>
      <w:r>
        <w:rPr>
          <w:rFonts w:ascii="Times New Roman" w:cs="Times New Roman"/>
        </w:rPr>
        <w:t>群系(Form.</w:t>
      </w:r>
      <w:r>
        <w:rPr>
          <w:rFonts w:ascii="Times New Roman" w:eastAsia="Times New Roman" w:cs="Times New Roman"/>
          <w:i/>
          <w:iCs/>
        </w:rPr>
        <w:t xml:space="preserve">Quercus acutissima </w:t>
      </w:r>
      <w:r>
        <w:rPr>
          <w:rFonts w:ascii="Times New Roman" w:cs="Times New Roman"/>
        </w:rPr>
        <w:t>Carruth.</w:t>
      </w:r>
      <w:r>
        <w:rPr>
          <w:rFonts w:ascii="Times New Roman" w:cs="Times New Roman"/>
          <w:i/>
          <w:iCs/>
        </w:rPr>
        <w:t>+</w:t>
      </w:r>
      <w:r>
        <w:rPr>
          <w:rFonts w:ascii="Times New Roman" w:eastAsia="Times New Roman" w:cs="Times New Roman"/>
          <w:i/>
          <w:iCs/>
        </w:rPr>
        <w:t xml:space="preserve">Quercus variabilis </w:t>
      </w:r>
      <w:r>
        <w:rPr>
          <w:rFonts w:ascii="Times New Roman" w:cs="Times New Roman"/>
        </w:rPr>
        <w:t>Bl.)</w:t>
      </w:r>
    </w:p>
    <w:p>
      <w:pPr>
        <w:topLinePunct w:val="0"/>
        <w:adjustRightInd/>
        <w:ind w:firstLine="480"/>
        <w:rPr>
          <w:rFonts w:ascii="Times New Roman" w:cs="Times New Roman"/>
        </w:rPr>
      </w:pPr>
      <w:r>
        <w:rPr>
          <w:rFonts w:ascii="Times New Roman" w:cs="Times New Roman"/>
        </w:rPr>
        <w:t>该植被类型是评价区及周边房前屋后分布较广的植被类型，多为人工栽培，是一个生态幅度较大的森林类型，在不同气候类型的影响下，该植被类型生长发育都较好，表现出较强的适应性。这种较强的适应性，也表现在对林地的地形、岩石及土壤等环境无严格的选择上，常混生有枫香、响叶杨等</w:t>
      </w:r>
      <w:r>
        <w:rPr>
          <w:rFonts w:hint="eastAsia" w:ascii="Times New Roman" w:cs="Times New Roman"/>
        </w:rPr>
        <w:t>混生</w:t>
      </w:r>
      <w:r>
        <w:rPr>
          <w:rFonts w:ascii="Times New Roman" w:cs="Times New Roman"/>
        </w:rPr>
        <w:t>，林内平均胸径25厘米，树高介于10-20米。常受到人类活动地影响，林下灌木极少。林下</w:t>
      </w:r>
      <w:r>
        <w:rPr>
          <w:rFonts w:hint="eastAsia" w:ascii="Times New Roman" w:cs="Times New Roman"/>
        </w:rPr>
        <w:t>灌木主要为</w:t>
      </w:r>
      <w:r>
        <w:rPr>
          <w:rFonts w:hAnsi="宋体"/>
          <w:spacing w:val="-2"/>
        </w:rPr>
        <w:t>烟管荚蓬、火棘、蔷薇、盐肤木、映山红、铁仔、毛黄栌</w:t>
      </w:r>
      <w:r>
        <w:rPr>
          <w:rFonts w:ascii="Times New Roman" w:cs="Times New Roman"/>
        </w:rPr>
        <w:t>等分布。</w:t>
      </w:r>
    </w:p>
    <w:p>
      <w:pPr>
        <w:topLinePunct w:val="0"/>
        <w:adjustRightInd/>
        <w:ind w:firstLine="480"/>
        <w:rPr>
          <w:rFonts w:ascii="Times New Roman" w:cs="Times New Roman"/>
        </w:rPr>
      </w:pPr>
      <w:r>
        <w:rPr>
          <w:rFonts w:ascii="Times New Roman" w:cs="Times New Roman"/>
        </w:rPr>
        <w:t>草本植物稍多，主要种类有狗牙根（</w:t>
      </w:r>
      <w:r>
        <w:rPr>
          <w:rFonts w:ascii="Times New Roman" w:cs="Times New Roman"/>
          <w:i/>
          <w:iCs/>
        </w:rPr>
        <w:t>Cynodon dactylon</w:t>
      </w:r>
      <w:r>
        <w:rPr>
          <w:rFonts w:ascii="Times New Roman" w:cs="Times New Roman"/>
        </w:rPr>
        <w:t>）、马唐（</w:t>
      </w:r>
      <w:r>
        <w:rPr>
          <w:rFonts w:ascii="Times New Roman" w:cs="Times New Roman"/>
          <w:i/>
          <w:iCs/>
        </w:rPr>
        <w:t>Digitaria sanguinalis</w:t>
      </w:r>
      <w:r>
        <w:rPr>
          <w:rFonts w:ascii="Times New Roman" w:cs="Times New Roman"/>
        </w:rPr>
        <w:t>）、酢浆草（</w:t>
      </w:r>
      <w:r>
        <w:rPr>
          <w:rFonts w:ascii="Times New Roman" w:cs="Times New Roman"/>
          <w:i/>
          <w:iCs/>
        </w:rPr>
        <w:t>Oxalis corniculata</w:t>
      </w:r>
      <w:r>
        <w:rPr>
          <w:rFonts w:ascii="Times New Roman" w:cs="Times New Roman"/>
        </w:rPr>
        <w:t>）、堇菜（</w:t>
      </w:r>
      <w:r>
        <w:rPr>
          <w:rFonts w:ascii="Times New Roman" w:cs="Times New Roman"/>
          <w:i/>
          <w:iCs/>
        </w:rPr>
        <w:t>Viola spp.</w:t>
      </w:r>
      <w:r>
        <w:rPr>
          <w:rFonts w:ascii="Times New Roman" w:cs="Times New Roman"/>
        </w:rPr>
        <w:t>）、车前（</w:t>
      </w:r>
      <w:r>
        <w:rPr>
          <w:rFonts w:ascii="Times New Roman" w:cs="Times New Roman"/>
          <w:i/>
          <w:iCs/>
        </w:rPr>
        <w:t>Plantgo asiatica</w:t>
      </w:r>
      <w:r>
        <w:rPr>
          <w:rFonts w:ascii="Times New Roman" w:cs="Times New Roman"/>
        </w:rPr>
        <w:t>）、欧夏枯草（</w:t>
      </w:r>
      <w:r>
        <w:rPr>
          <w:rFonts w:ascii="Times New Roman" w:cs="Times New Roman"/>
          <w:i/>
          <w:iCs/>
        </w:rPr>
        <w:t>Prunella vulgaris</w:t>
      </w:r>
      <w:r>
        <w:rPr>
          <w:rFonts w:ascii="Times New Roman" w:cs="Times New Roman"/>
        </w:rPr>
        <w:t>）、龙牙草（</w:t>
      </w:r>
      <w:r>
        <w:rPr>
          <w:rFonts w:ascii="Times New Roman" w:cs="Times New Roman"/>
          <w:i/>
          <w:iCs/>
        </w:rPr>
        <w:t>Agrimonia pilosa</w:t>
      </w:r>
      <w:r>
        <w:rPr>
          <w:rFonts w:ascii="Times New Roman" w:cs="Times New Roman"/>
        </w:rPr>
        <w:t>）、蕺菜（</w:t>
      </w:r>
      <w:r>
        <w:rPr>
          <w:rFonts w:ascii="Times New Roman" w:cs="Times New Roman"/>
          <w:i/>
          <w:iCs/>
        </w:rPr>
        <w:t>Houttuynia cordata</w:t>
      </w:r>
      <w:r>
        <w:rPr>
          <w:rFonts w:ascii="Times New Roman" w:cs="Times New Roman"/>
        </w:rPr>
        <w:t>）、紫花地丁(</w:t>
      </w:r>
      <w:r>
        <w:rPr>
          <w:rFonts w:ascii="Times New Roman" w:cs="Times New Roman"/>
          <w:i/>
          <w:iCs/>
        </w:rPr>
        <w:t>Viola philippica</w:t>
      </w:r>
      <w:r>
        <w:rPr>
          <w:rFonts w:ascii="Times New Roman" w:cs="Times New Roman"/>
        </w:rPr>
        <w:t>)、风轮菜(</w:t>
      </w:r>
      <w:r>
        <w:rPr>
          <w:rFonts w:ascii="Times New Roman" w:cs="Times New Roman"/>
          <w:i/>
          <w:iCs/>
        </w:rPr>
        <w:t>Clinopodium chinensis</w:t>
      </w:r>
      <w:r>
        <w:rPr>
          <w:rFonts w:ascii="Times New Roman" w:cs="Times New Roman"/>
        </w:rPr>
        <w:t>)、茅叶荩草(</w:t>
      </w:r>
      <w:r>
        <w:rPr>
          <w:rFonts w:ascii="Times New Roman" w:cs="Times New Roman"/>
          <w:i/>
        </w:rPr>
        <w:t>Arthr</w:t>
      </w:r>
      <w:r>
        <w:rPr>
          <w:rFonts w:ascii="Times New Roman" w:cs="Times New Roman"/>
          <w:i/>
          <w:iCs/>
        </w:rPr>
        <w:t>axon lanc</w:t>
      </w:r>
      <w:r>
        <w:rPr>
          <w:rFonts w:ascii="Times New Roman" w:cs="Times New Roman"/>
          <w:i/>
        </w:rPr>
        <w:t>eoltus</w:t>
      </w:r>
      <w:r>
        <w:rPr>
          <w:rFonts w:ascii="Times New Roman" w:cs="Times New Roman"/>
        </w:rPr>
        <w:t>)、阿拉伯婆婆纳(</w:t>
      </w:r>
      <w:r>
        <w:rPr>
          <w:rFonts w:ascii="Times New Roman" w:cs="Times New Roman"/>
          <w:i/>
        </w:rPr>
        <w:t>Veronica persica</w:t>
      </w:r>
      <w:r>
        <w:rPr>
          <w:rFonts w:ascii="Times New Roman" w:cs="Times New Roman"/>
        </w:rPr>
        <w:t>)、日本金星蕨(</w:t>
      </w:r>
      <w:r>
        <w:rPr>
          <w:rFonts w:ascii="Times New Roman" w:cs="Times New Roman"/>
          <w:i/>
        </w:rPr>
        <w:t>Parathel</w:t>
      </w:r>
      <w:r>
        <w:rPr>
          <w:rFonts w:ascii="Times New Roman" w:cs="Times New Roman"/>
          <w:i/>
          <w:iCs/>
        </w:rPr>
        <w:t>ypteris japo</w:t>
      </w:r>
      <w:r>
        <w:rPr>
          <w:rFonts w:ascii="Times New Roman" w:cs="Times New Roman"/>
          <w:i/>
        </w:rPr>
        <w:t>nica</w:t>
      </w:r>
      <w:r>
        <w:rPr>
          <w:rFonts w:ascii="Times New Roman" w:cs="Times New Roman"/>
        </w:rPr>
        <w:t>)、问荆(</w:t>
      </w:r>
      <w:r>
        <w:rPr>
          <w:rFonts w:ascii="Times New Roman" w:cs="Times New Roman"/>
          <w:i/>
        </w:rPr>
        <w:t>Equ</w:t>
      </w:r>
      <w:r>
        <w:rPr>
          <w:rFonts w:ascii="Times New Roman" w:cs="Times New Roman"/>
          <w:i/>
          <w:iCs/>
        </w:rPr>
        <w:t>isetum arven</w:t>
      </w:r>
      <w:r>
        <w:rPr>
          <w:rFonts w:ascii="Times New Roman" w:cs="Times New Roman"/>
          <w:i/>
        </w:rPr>
        <w:t>se</w:t>
      </w:r>
      <w:r>
        <w:rPr>
          <w:rFonts w:ascii="Times New Roman" w:cs="Times New Roman"/>
        </w:rPr>
        <w:t>)、马鞭草(</w:t>
      </w:r>
      <w:r>
        <w:rPr>
          <w:rFonts w:ascii="Times New Roman" w:cs="Times New Roman"/>
          <w:i/>
        </w:rPr>
        <w:t>Verbena officinalis</w:t>
      </w:r>
      <w:r>
        <w:rPr>
          <w:rFonts w:ascii="Times New Roman" w:cs="Times New Roman"/>
        </w:rPr>
        <w:t>)、狗牙根(</w:t>
      </w:r>
      <w:r>
        <w:rPr>
          <w:rFonts w:ascii="Times New Roman" w:cs="Times New Roman"/>
          <w:i/>
        </w:rPr>
        <w:t>Cynodondactylon</w:t>
      </w:r>
      <w:r>
        <w:rPr>
          <w:rFonts w:ascii="Times New Roman" w:cs="Times New Roman"/>
        </w:rPr>
        <w:t>)、稗(</w:t>
      </w:r>
      <w:r>
        <w:rPr>
          <w:rFonts w:ascii="Times New Roman" w:cs="Times New Roman"/>
          <w:i/>
        </w:rPr>
        <w:t>Echinoc</w:t>
      </w:r>
      <w:r>
        <w:rPr>
          <w:rFonts w:ascii="Times New Roman" w:cs="Times New Roman"/>
          <w:i/>
          <w:iCs/>
        </w:rPr>
        <w:t>hloa crusgal</w:t>
      </w:r>
      <w:r>
        <w:rPr>
          <w:rFonts w:ascii="Times New Roman" w:cs="Times New Roman"/>
          <w:i/>
        </w:rPr>
        <w:t>li</w:t>
      </w:r>
      <w:r>
        <w:rPr>
          <w:rFonts w:ascii="Times New Roman" w:cs="Times New Roman"/>
        </w:rPr>
        <w:t>)、球米草(</w:t>
      </w:r>
      <w:r>
        <w:rPr>
          <w:rFonts w:ascii="Times New Roman" w:cs="Times New Roman"/>
          <w:i/>
        </w:rPr>
        <w:t>Oplismehus compositus</w:t>
      </w:r>
      <w:r>
        <w:rPr>
          <w:rFonts w:ascii="Times New Roman" w:cs="Times New Roman"/>
        </w:rPr>
        <w:t>)、蜈蚣草(</w:t>
      </w:r>
      <w:r>
        <w:rPr>
          <w:rFonts w:ascii="Times New Roman" w:cs="Times New Roman"/>
          <w:i/>
        </w:rPr>
        <w:t>Pteris vittata</w:t>
      </w:r>
      <w:r>
        <w:rPr>
          <w:rFonts w:ascii="Times New Roman" w:cs="Times New Roman"/>
        </w:rPr>
        <w:t>)、三叶鬼针草(</w:t>
      </w:r>
      <w:r>
        <w:rPr>
          <w:rFonts w:ascii="Times New Roman" w:cs="Times New Roman"/>
          <w:i/>
        </w:rPr>
        <w:t>Bidens pilosa</w:t>
      </w:r>
      <w:r>
        <w:rPr>
          <w:rFonts w:ascii="Times New Roman" w:cs="Times New Roman"/>
        </w:rPr>
        <w:t>)、野艾蒿(</w:t>
      </w:r>
      <w:r>
        <w:rPr>
          <w:rFonts w:ascii="Times New Roman" w:cs="Times New Roman"/>
          <w:i/>
        </w:rPr>
        <w:t>Artemisia lavandulaefolia</w:t>
      </w:r>
      <w:r>
        <w:rPr>
          <w:rFonts w:ascii="Times New Roman" w:cs="Times New Roman"/>
        </w:rPr>
        <w:t>)等。</w:t>
      </w:r>
    </w:p>
    <w:p>
      <w:pPr>
        <w:topLinePunct w:val="0"/>
        <w:spacing w:before="2"/>
        <w:ind w:left="34" w:right="105" w:firstLine="480"/>
        <w:rPr>
          <w:rFonts w:ascii="Times New Roman" w:cs="Times New Roman"/>
        </w:rPr>
      </w:pPr>
      <w:r>
        <w:rPr>
          <w:rFonts w:hint="eastAsia" w:hAnsi="宋体"/>
        </w:rPr>
        <w:t>⑤</w:t>
      </w:r>
      <w:r>
        <w:rPr>
          <w:rFonts w:ascii="Times New Roman" w:cs="Times New Roman"/>
          <w:spacing w:val="-4"/>
        </w:rPr>
        <w:t>麻栎</w:t>
      </w:r>
      <w:r>
        <w:rPr>
          <w:rFonts w:ascii="Times New Roman" w:eastAsia="Times New Roman" w:cs="Times New Roman"/>
          <w:spacing w:val="12"/>
        </w:rPr>
        <w:t>-</w:t>
      </w:r>
      <w:r>
        <w:rPr>
          <w:rFonts w:ascii="Times New Roman" w:cs="Times New Roman"/>
          <w:spacing w:val="12"/>
        </w:rPr>
        <w:t>柏木混交林(</w:t>
      </w:r>
      <w:r>
        <w:rPr>
          <w:rFonts w:ascii="Times New Roman" w:eastAsia="Times New Roman" w:cs="Times New Roman"/>
        </w:rPr>
        <w:t>Form</w:t>
      </w:r>
      <w:r>
        <w:rPr>
          <w:rFonts w:ascii="Times New Roman" w:eastAsia="Times New Roman" w:cs="Times New Roman"/>
          <w:spacing w:val="12"/>
        </w:rPr>
        <w:t>.</w:t>
      </w:r>
      <w:r>
        <w:rPr>
          <w:rFonts w:ascii="Times New Roman" w:eastAsia="Times New Roman" w:cs="Times New Roman"/>
          <w:i/>
          <w:iCs/>
        </w:rPr>
        <w:t>Quercus acutissima</w:t>
      </w:r>
      <w:r>
        <w:rPr>
          <w:rStyle w:val="64"/>
          <w:rFonts w:cs="Times New Roman"/>
          <w:i/>
          <w:iCs w:val="0"/>
          <w:sz w:val="21"/>
          <w:szCs w:val="21"/>
          <w:shd w:val="clear" w:color="auto" w:fill="FFFFFF"/>
        </w:rPr>
        <w:t xml:space="preserve"> </w:t>
      </w:r>
      <w:r>
        <w:rPr>
          <w:rFonts w:ascii="Times New Roman" w:eastAsia="Times New Roman" w:cs="Times New Roman"/>
          <w:spacing w:val="-1"/>
        </w:rPr>
        <w:t>Carruth.</w:t>
      </w:r>
      <w:r>
        <w:rPr>
          <w:rFonts w:ascii="Times New Roman" w:eastAsia="Times New Roman" w:cs="Times New Roman"/>
          <w:i/>
          <w:iCs/>
          <w:spacing w:val="12"/>
        </w:rPr>
        <w:t>+</w:t>
      </w:r>
      <w:r>
        <w:rPr>
          <w:rFonts w:ascii="Times New Roman" w:eastAsia="Times New Roman" w:cs="Times New Roman"/>
          <w:i/>
          <w:iCs/>
        </w:rPr>
        <w:t>Cupressus</w:t>
      </w:r>
      <w:r>
        <w:rPr>
          <w:rFonts w:ascii="Times New Roman" w:eastAsia="Times New Roman" w:cs="Times New Roman"/>
          <w:spacing w:val="10"/>
        </w:rPr>
        <w:t xml:space="preserve"> </w:t>
      </w:r>
      <w:r>
        <w:rPr>
          <w:rFonts w:ascii="Times New Roman" w:eastAsia="Times New Roman" w:cs="Times New Roman"/>
          <w:i/>
          <w:iCs/>
        </w:rPr>
        <w:t>funebris</w:t>
      </w:r>
      <w:r>
        <w:rPr>
          <w:rFonts w:ascii="Times New Roman" w:eastAsia="Times New Roman" w:cs="Times New Roman"/>
        </w:rPr>
        <w:t xml:space="preserve"> </w:t>
      </w:r>
      <w:r>
        <w:rPr>
          <w:rFonts w:ascii="Times New Roman" w:eastAsia="Times New Roman" w:cs="Times New Roman"/>
          <w:spacing w:val="-1"/>
        </w:rPr>
        <w:t>Endl.</w:t>
      </w:r>
      <w:r>
        <w:rPr>
          <w:rFonts w:ascii="Times New Roman" w:cs="Times New Roman"/>
          <w:spacing w:val="-1"/>
        </w:rPr>
        <w:t>)</w:t>
      </w:r>
    </w:p>
    <w:p>
      <w:pPr>
        <w:topLinePunct w:val="0"/>
        <w:snapToGrid w:val="0"/>
        <w:ind w:firstLine="524"/>
        <w:rPr>
          <w:rFonts w:ascii="Times New Roman" w:cs="Times New Roman"/>
          <w:spacing w:val="-5"/>
        </w:rPr>
      </w:pPr>
      <w:r>
        <w:rPr>
          <w:rFonts w:ascii="Times New Roman" w:cs="Times New Roman"/>
          <w:spacing w:val="11"/>
        </w:rPr>
        <w:t>评</w:t>
      </w:r>
      <w:r>
        <w:rPr>
          <w:rFonts w:ascii="Times New Roman" w:cs="Times New Roman"/>
          <w:spacing w:val="9"/>
        </w:rPr>
        <w:t>价区域内的</w:t>
      </w:r>
      <w:r>
        <w:rPr>
          <w:rFonts w:ascii="Times New Roman" w:cs="Times New Roman"/>
          <w:spacing w:val="-4"/>
        </w:rPr>
        <w:t>麻栎</w:t>
      </w:r>
      <w:r>
        <w:rPr>
          <w:rFonts w:ascii="Times New Roman" w:cs="Times New Roman"/>
          <w:spacing w:val="9"/>
        </w:rPr>
        <w:t>和柏木混交(</w:t>
      </w:r>
      <w:r>
        <w:rPr>
          <w:rFonts w:ascii="Times New Roman" w:eastAsia="Times New Roman" w:cs="Times New Roman"/>
          <w:i/>
          <w:iCs/>
        </w:rPr>
        <w:t xml:space="preserve">Quercus acutissima </w:t>
      </w:r>
      <w:r>
        <w:rPr>
          <w:rFonts w:ascii="Times New Roman" w:eastAsia="Times New Roman" w:cs="Times New Roman"/>
        </w:rPr>
        <w:t>Carruth.</w:t>
      </w:r>
      <w:r>
        <w:rPr>
          <w:rFonts w:ascii="Times New Roman" w:eastAsia="Times New Roman" w:cs="Times New Roman"/>
          <w:i/>
          <w:iCs/>
          <w:spacing w:val="9"/>
        </w:rPr>
        <w:t>+</w:t>
      </w:r>
      <w:r>
        <w:rPr>
          <w:rFonts w:ascii="Times New Roman" w:eastAsia="Times New Roman" w:cs="Times New Roman"/>
          <w:i/>
          <w:iCs/>
        </w:rPr>
        <w:t>Cupressus</w:t>
      </w:r>
      <w:r>
        <w:rPr>
          <w:rFonts w:ascii="Times New Roman" w:eastAsia="Times New Roman" w:cs="Times New Roman"/>
          <w:spacing w:val="9"/>
        </w:rPr>
        <w:t xml:space="preserve"> </w:t>
      </w:r>
      <w:r>
        <w:rPr>
          <w:rFonts w:ascii="Times New Roman" w:eastAsia="Times New Roman" w:cs="Times New Roman"/>
          <w:i/>
          <w:iCs/>
        </w:rPr>
        <w:t>funebris</w:t>
      </w:r>
      <w:r>
        <w:rPr>
          <w:rFonts w:ascii="Times New Roman" w:cs="Times New Roman"/>
        </w:rPr>
        <w:t xml:space="preserve"> </w:t>
      </w:r>
      <w:r>
        <w:rPr>
          <w:rFonts w:ascii="Times New Roman" w:eastAsia="Times New Roman" w:cs="Times New Roman"/>
        </w:rPr>
        <w:t>Endl</w:t>
      </w:r>
      <w:r>
        <w:rPr>
          <w:rFonts w:ascii="Times New Roman" w:eastAsia="Times New Roman" w:cs="Times New Roman"/>
          <w:spacing w:val="4"/>
        </w:rPr>
        <w:t>.</w:t>
      </w:r>
      <w:r>
        <w:rPr>
          <w:rFonts w:ascii="Times New Roman" w:cs="Times New Roman"/>
          <w:spacing w:val="4"/>
        </w:rPr>
        <w:t>)林多为人工林，分布</w:t>
      </w:r>
      <w:r>
        <w:rPr>
          <w:rFonts w:ascii="Times New Roman" w:cs="Times New Roman"/>
          <w:spacing w:val="2"/>
        </w:rPr>
        <w:t>在土层深厚、肥沃、湿润的山谷、山坡下部或中部、</w:t>
      </w:r>
      <w:r>
        <w:rPr>
          <w:rFonts w:ascii="Times New Roman" w:cs="Times New Roman"/>
          <w:spacing w:val="6"/>
        </w:rPr>
        <w:t>道</w:t>
      </w:r>
      <w:r>
        <w:rPr>
          <w:rFonts w:ascii="Times New Roman" w:cs="Times New Roman"/>
          <w:spacing w:val="5"/>
        </w:rPr>
        <w:t>路</w:t>
      </w:r>
      <w:r>
        <w:rPr>
          <w:rFonts w:ascii="Times New Roman" w:cs="Times New Roman"/>
          <w:spacing w:val="3"/>
        </w:rPr>
        <w:t>两旁以及河流两岸，能适应酸性、中性和微碱性土壤，喜温暖气候和深厚湿</w:t>
      </w:r>
      <w:r>
        <w:rPr>
          <w:rFonts w:ascii="Times New Roman" w:cs="Times New Roman"/>
          <w:spacing w:val="-9"/>
        </w:rPr>
        <w:t>润</w:t>
      </w:r>
      <w:r>
        <w:rPr>
          <w:rFonts w:ascii="Times New Roman" w:cs="Times New Roman"/>
          <w:spacing w:val="-8"/>
        </w:rPr>
        <w:t>、肥沃土壤，在干脊</w:t>
      </w:r>
      <w:r>
        <w:rPr>
          <w:rFonts w:ascii="Times New Roman" w:cs="Times New Roman"/>
        </w:rPr>
        <w:t>荒地</w:t>
      </w:r>
      <w:r>
        <w:rPr>
          <w:rFonts w:ascii="Times New Roman" w:cs="Times New Roman"/>
          <w:spacing w:val="-8"/>
        </w:rPr>
        <w:t>荒山地也能生长。一般垂直分布于海拔</w:t>
      </w:r>
      <w:r>
        <w:rPr>
          <w:rFonts w:ascii="Times New Roman" w:eastAsia="Times New Roman" w:cs="Times New Roman"/>
          <w:spacing w:val="-8"/>
        </w:rPr>
        <w:t>200-1200m</w:t>
      </w:r>
      <w:r>
        <w:rPr>
          <w:rFonts w:ascii="Times New Roman" w:cs="Times New Roman"/>
          <w:spacing w:val="-8"/>
        </w:rPr>
        <w:t>。根</w:t>
      </w:r>
      <w:r>
        <w:rPr>
          <w:rFonts w:ascii="Times New Roman" w:cs="Times New Roman"/>
          <w:spacing w:val="2"/>
        </w:rPr>
        <w:t>系发达，结实量大。一般高度为</w:t>
      </w:r>
      <w:r>
        <w:rPr>
          <w:rFonts w:ascii="Times New Roman" w:eastAsia="Times New Roman" w:cs="Times New Roman"/>
          <w:spacing w:val="2"/>
        </w:rPr>
        <w:t>12</w:t>
      </w:r>
      <w:r>
        <w:rPr>
          <w:rFonts w:ascii="Times New Roman" w:eastAsia="Times New Roman" w:cs="Times New Roman"/>
        </w:rPr>
        <w:t>m</w:t>
      </w:r>
      <w:r>
        <w:rPr>
          <w:rFonts w:ascii="Times New Roman" w:cs="Times New Roman"/>
          <w:spacing w:val="2"/>
        </w:rPr>
        <w:t>，胸</w:t>
      </w:r>
      <w:r>
        <w:rPr>
          <w:rFonts w:ascii="Times New Roman" w:cs="Times New Roman"/>
          <w:spacing w:val="1"/>
        </w:rPr>
        <w:t>径</w:t>
      </w:r>
      <w:r>
        <w:rPr>
          <w:rFonts w:ascii="Times New Roman" w:eastAsia="Times New Roman" w:cs="Times New Roman"/>
          <w:spacing w:val="1"/>
        </w:rPr>
        <w:t>20</w:t>
      </w:r>
      <w:r>
        <w:rPr>
          <w:rFonts w:ascii="Times New Roman" w:cs="Times New Roman"/>
          <w:spacing w:val="1"/>
        </w:rPr>
        <w:t>~</w:t>
      </w:r>
      <w:r>
        <w:rPr>
          <w:rFonts w:ascii="Times New Roman" w:eastAsia="Times New Roman" w:cs="Times New Roman"/>
          <w:spacing w:val="1"/>
        </w:rPr>
        <w:t>25</w:t>
      </w:r>
      <w:r>
        <w:rPr>
          <w:rFonts w:ascii="Times New Roman" w:eastAsia="Times New Roman" w:cs="Times New Roman"/>
        </w:rPr>
        <w:t>cm</w:t>
      </w:r>
      <w:r>
        <w:rPr>
          <w:rFonts w:ascii="Times New Roman" w:cs="Times New Roman"/>
          <w:spacing w:val="1"/>
        </w:rPr>
        <w:t>，盖度</w:t>
      </w:r>
      <w:r>
        <w:rPr>
          <w:rFonts w:ascii="Times New Roman" w:eastAsia="Times New Roman" w:cs="Times New Roman"/>
          <w:spacing w:val="1"/>
        </w:rPr>
        <w:t>60%</w:t>
      </w:r>
      <w:r>
        <w:rPr>
          <w:rFonts w:ascii="Times New Roman" w:cs="Times New Roman"/>
          <w:spacing w:val="1"/>
        </w:rPr>
        <w:t>~</w:t>
      </w:r>
      <w:r>
        <w:rPr>
          <w:rFonts w:ascii="Times New Roman" w:eastAsia="Times New Roman" w:cs="Times New Roman"/>
          <w:spacing w:val="1"/>
        </w:rPr>
        <w:t>80%</w:t>
      </w:r>
      <w:r>
        <w:rPr>
          <w:rFonts w:ascii="Times New Roman" w:cs="Times New Roman"/>
          <w:spacing w:val="1"/>
        </w:rPr>
        <w:t>。</w:t>
      </w:r>
      <w:r>
        <w:rPr>
          <w:rFonts w:ascii="Times New Roman" w:cs="Times New Roman"/>
        </w:rPr>
        <w:t>常混生有枫香、响叶杨等阔叶树种</w:t>
      </w:r>
      <w:r>
        <w:rPr>
          <w:rFonts w:hint="eastAsia" w:ascii="Times New Roman" w:cs="Times New Roman"/>
        </w:rPr>
        <w:t>，</w:t>
      </w:r>
      <w:r>
        <w:rPr>
          <w:rFonts w:ascii="Times New Roman" w:cs="Times New Roman"/>
          <w:spacing w:val="1"/>
        </w:rPr>
        <w:t>除了建</w:t>
      </w:r>
      <w:r>
        <w:rPr>
          <w:rFonts w:ascii="Times New Roman" w:cs="Times New Roman"/>
          <w:spacing w:val="-6"/>
        </w:rPr>
        <w:t>群种外，灌木层主要</w:t>
      </w:r>
      <w:r>
        <w:rPr>
          <w:rFonts w:ascii="Times New Roman" w:cs="Times New Roman"/>
          <w:spacing w:val="-3"/>
        </w:rPr>
        <w:t>有</w:t>
      </w:r>
      <w:r>
        <w:rPr>
          <w:rFonts w:ascii="Times New Roman" w:cs="Times New Roman"/>
          <w:spacing w:val="2"/>
        </w:rPr>
        <w:t>化香、黄连木、油桐、</w:t>
      </w:r>
      <w:r>
        <w:rPr>
          <w:rFonts w:ascii="Times New Roman" w:cs="Times New Roman"/>
          <w:spacing w:val="-3"/>
        </w:rPr>
        <w:t>鹅掌柴(</w:t>
      </w:r>
      <w:r>
        <w:rPr>
          <w:rFonts w:ascii="Times New Roman" w:eastAsia="Times New Roman" w:cs="Times New Roman"/>
          <w:i/>
          <w:iCs/>
          <w:spacing w:val="-3"/>
        </w:rPr>
        <w:t>Schefflera</w:t>
      </w:r>
      <w:r>
        <w:rPr>
          <w:rFonts w:ascii="Times New Roman" w:eastAsia="Times New Roman" w:cs="Times New Roman"/>
          <w:spacing w:val="-3"/>
        </w:rPr>
        <w:t xml:space="preserve"> </w:t>
      </w:r>
      <w:r>
        <w:rPr>
          <w:rFonts w:ascii="Times New Roman" w:eastAsia="Times New Roman" w:cs="Times New Roman"/>
          <w:i/>
          <w:iCs/>
          <w:spacing w:val="-3"/>
        </w:rPr>
        <w:t>delavayi</w:t>
      </w:r>
      <w:r>
        <w:rPr>
          <w:rFonts w:ascii="Times New Roman" w:cs="Times New Roman"/>
          <w:spacing w:val="-3"/>
        </w:rPr>
        <w:t>)、柃木(</w:t>
      </w:r>
      <w:r>
        <w:rPr>
          <w:rFonts w:ascii="Times New Roman" w:eastAsia="Times New Roman" w:cs="Times New Roman"/>
          <w:i/>
          <w:iCs/>
          <w:spacing w:val="-3"/>
        </w:rPr>
        <w:t>Eurya</w:t>
      </w:r>
      <w:r>
        <w:rPr>
          <w:rFonts w:ascii="Times New Roman" w:eastAsia="Times New Roman" w:cs="Times New Roman"/>
          <w:spacing w:val="-3"/>
        </w:rPr>
        <w:t xml:space="preserve"> </w:t>
      </w:r>
      <w:r>
        <w:rPr>
          <w:rFonts w:ascii="Times New Roman" w:eastAsia="Times New Roman" w:cs="Times New Roman"/>
          <w:i/>
          <w:iCs/>
          <w:spacing w:val="-3"/>
        </w:rPr>
        <w:t>spp</w:t>
      </w:r>
      <w:r>
        <w:rPr>
          <w:rFonts w:ascii="Times New Roman" w:cs="Times New Roman"/>
          <w:spacing w:val="-3"/>
        </w:rPr>
        <w:t>)、楤木(</w:t>
      </w:r>
      <w:r>
        <w:rPr>
          <w:rFonts w:ascii="Times New Roman" w:eastAsia="Times New Roman" w:cs="Times New Roman"/>
          <w:i/>
          <w:iCs/>
          <w:spacing w:val="-3"/>
        </w:rPr>
        <w:t>Aralia</w:t>
      </w:r>
      <w:r>
        <w:rPr>
          <w:rFonts w:ascii="Times New Roman" w:eastAsia="Times New Roman" w:cs="Times New Roman"/>
        </w:rPr>
        <w:t xml:space="preserve"> </w:t>
      </w:r>
      <w:r>
        <w:rPr>
          <w:rFonts w:ascii="Times New Roman" w:eastAsia="Times New Roman" w:cs="Times New Roman"/>
          <w:i/>
          <w:iCs/>
          <w:spacing w:val="-4"/>
        </w:rPr>
        <w:t>elata</w:t>
      </w:r>
      <w:r>
        <w:rPr>
          <w:rFonts w:ascii="Times New Roman" w:cs="Times New Roman"/>
          <w:spacing w:val="-8"/>
        </w:rPr>
        <w:t>)、木</w:t>
      </w:r>
      <w:r>
        <w:rPr>
          <w:rFonts w:ascii="Times New Roman" w:cs="Times New Roman"/>
          <w:spacing w:val="-4"/>
        </w:rPr>
        <w:t>姜子(</w:t>
      </w:r>
      <w:r>
        <w:rPr>
          <w:rFonts w:ascii="Times New Roman" w:eastAsia="Times New Roman" w:cs="Times New Roman"/>
          <w:i/>
          <w:iCs/>
          <w:spacing w:val="-4"/>
        </w:rPr>
        <w:t>Litsea</w:t>
      </w:r>
      <w:r>
        <w:rPr>
          <w:rFonts w:ascii="Times New Roman" w:eastAsia="Times New Roman" w:cs="Times New Roman"/>
          <w:spacing w:val="-4"/>
        </w:rPr>
        <w:t xml:space="preserve"> </w:t>
      </w:r>
      <w:r>
        <w:rPr>
          <w:rFonts w:ascii="Times New Roman" w:eastAsia="Times New Roman" w:cs="Times New Roman"/>
          <w:i/>
          <w:iCs/>
          <w:spacing w:val="-4"/>
        </w:rPr>
        <w:t>cubeba</w:t>
      </w:r>
      <w:r>
        <w:rPr>
          <w:rFonts w:ascii="Times New Roman" w:cs="Times New Roman"/>
          <w:spacing w:val="-4"/>
        </w:rPr>
        <w:t>)、荚蒾(</w:t>
      </w:r>
      <w:r>
        <w:rPr>
          <w:rFonts w:ascii="Times New Roman" w:eastAsia="Times New Roman" w:cs="Times New Roman"/>
          <w:i/>
          <w:iCs/>
          <w:spacing w:val="-4"/>
        </w:rPr>
        <w:t>Viburnum</w:t>
      </w:r>
      <w:r>
        <w:rPr>
          <w:rFonts w:ascii="Times New Roman" w:eastAsia="Times New Roman" w:cs="Times New Roman"/>
          <w:spacing w:val="-4"/>
        </w:rPr>
        <w:t xml:space="preserve"> </w:t>
      </w:r>
      <w:r>
        <w:rPr>
          <w:rFonts w:ascii="Times New Roman" w:eastAsia="Times New Roman" w:cs="Times New Roman"/>
          <w:i/>
          <w:iCs/>
          <w:spacing w:val="-4"/>
        </w:rPr>
        <w:t>spp</w:t>
      </w:r>
      <w:r>
        <w:rPr>
          <w:rFonts w:ascii="Times New Roman" w:cs="Times New Roman"/>
          <w:spacing w:val="-4"/>
        </w:rPr>
        <w:t>)、杜茎山(</w:t>
      </w:r>
      <w:r>
        <w:rPr>
          <w:rFonts w:ascii="Times New Roman" w:eastAsia="Times New Roman" w:cs="Times New Roman"/>
          <w:i/>
          <w:iCs/>
          <w:spacing w:val="-4"/>
        </w:rPr>
        <w:t>Maesa</w:t>
      </w:r>
      <w:r>
        <w:rPr>
          <w:rFonts w:ascii="Times New Roman" w:eastAsia="Times New Roman" w:cs="Times New Roman"/>
          <w:spacing w:val="-4"/>
        </w:rPr>
        <w:t xml:space="preserve"> </w:t>
      </w:r>
      <w:r>
        <w:rPr>
          <w:rFonts w:ascii="Times New Roman" w:eastAsia="Times New Roman" w:cs="Times New Roman"/>
          <w:i/>
          <w:iCs/>
          <w:spacing w:val="-4"/>
        </w:rPr>
        <w:t>hupehensis</w:t>
      </w:r>
      <w:r>
        <w:rPr>
          <w:rFonts w:ascii="Times New Roman" w:cs="Times New Roman"/>
          <w:spacing w:val="-4"/>
        </w:rPr>
        <w:t>)</w:t>
      </w:r>
      <w:r>
        <w:rPr>
          <w:rFonts w:ascii="Times New Roman" w:cs="Times New Roman"/>
          <w:spacing w:val="1"/>
        </w:rPr>
        <w:t>等。草本层主要有黄茅、</w:t>
      </w:r>
      <w:r>
        <w:rPr>
          <w:rFonts w:ascii="Times New Roman" w:cs="Times New Roman"/>
          <w:spacing w:val="4"/>
        </w:rPr>
        <w:t>白茅、香茅、</w:t>
      </w:r>
      <w:r>
        <w:rPr>
          <w:rFonts w:ascii="Times New Roman" w:cs="Times New Roman"/>
          <w:spacing w:val="1"/>
        </w:rPr>
        <w:t>翠</w:t>
      </w:r>
      <w:r>
        <w:rPr>
          <w:rFonts w:ascii="Times New Roman" w:cs="Times New Roman"/>
        </w:rPr>
        <w:t>云草(</w:t>
      </w:r>
      <w:r>
        <w:rPr>
          <w:rFonts w:ascii="Times New Roman" w:eastAsia="Times New Roman" w:cs="Times New Roman"/>
          <w:i/>
          <w:iCs/>
        </w:rPr>
        <w:t>Selaginella</w:t>
      </w:r>
      <w:r>
        <w:rPr>
          <w:rFonts w:ascii="Times New Roman" w:eastAsia="Times New Roman" w:cs="Times New Roman"/>
        </w:rPr>
        <w:t xml:space="preserve"> </w:t>
      </w:r>
      <w:r>
        <w:rPr>
          <w:rFonts w:ascii="Times New Roman" w:eastAsia="Times New Roman" w:cs="Times New Roman"/>
          <w:i/>
          <w:iCs/>
        </w:rPr>
        <w:t>uncinata</w:t>
      </w:r>
      <w:r>
        <w:rPr>
          <w:rFonts w:ascii="Times New Roman" w:cs="Times New Roman"/>
        </w:rPr>
        <w:t>)、里白(</w:t>
      </w:r>
      <w:r>
        <w:rPr>
          <w:rFonts w:ascii="Times New Roman" w:eastAsia="Times New Roman" w:cs="Times New Roman"/>
          <w:i/>
          <w:iCs/>
        </w:rPr>
        <w:t>Diplopterygium</w:t>
      </w:r>
      <w:r>
        <w:rPr>
          <w:rFonts w:ascii="Times New Roman" w:eastAsia="Times New Roman" w:cs="Times New Roman"/>
        </w:rPr>
        <w:t xml:space="preserve"> </w:t>
      </w:r>
      <w:r>
        <w:rPr>
          <w:rFonts w:ascii="Times New Roman" w:eastAsia="Times New Roman" w:cs="Times New Roman"/>
          <w:i/>
          <w:iCs/>
        </w:rPr>
        <w:t>glaucum</w:t>
      </w:r>
      <w:r>
        <w:rPr>
          <w:rFonts w:ascii="Times New Roman" w:cs="Times New Roman"/>
        </w:rPr>
        <w:t>)、</w:t>
      </w:r>
      <w:r>
        <w:rPr>
          <w:rFonts w:ascii="Times New Roman" w:cs="Times New Roman"/>
          <w:spacing w:val="-8"/>
        </w:rPr>
        <w:t>荩</w:t>
      </w:r>
      <w:r>
        <w:rPr>
          <w:rFonts w:ascii="Times New Roman" w:cs="Times New Roman"/>
          <w:spacing w:val="-5"/>
        </w:rPr>
        <w:t>草等。</w:t>
      </w:r>
    </w:p>
    <w:p>
      <w:pPr>
        <w:topLinePunct w:val="0"/>
        <w:adjustRightInd/>
        <w:spacing w:beforeLines="50"/>
        <w:ind w:firstLine="482"/>
        <w:rPr>
          <w:rFonts w:ascii="Times New Roman" w:cs="Times New Roman"/>
          <w:b/>
        </w:rPr>
      </w:pPr>
      <w:r>
        <w:rPr>
          <w:rFonts w:hint="eastAsia" w:hAnsi="宋体"/>
          <w:b/>
        </w:rPr>
        <w:t>Ⅱ</w:t>
      </w:r>
      <w:r>
        <w:rPr>
          <w:rFonts w:ascii="Times New Roman" w:cs="Times New Roman"/>
          <w:b/>
        </w:rPr>
        <w:t xml:space="preserve"> 灌丛植被</w:t>
      </w:r>
    </w:p>
    <w:p>
      <w:pPr>
        <w:topLinePunct w:val="0"/>
        <w:adjustRightInd/>
        <w:ind w:left="60" w:right="100" w:firstLine="512"/>
        <w:rPr>
          <w:rFonts w:ascii="Times New Roman" w:cs="Times New Roman"/>
        </w:rPr>
      </w:pPr>
      <w:r>
        <w:rPr>
          <w:rFonts w:hint="eastAsia" w:hAnsi="宋体"/>
          <w:spacing w:val="8"/>
        </w:rPr>
        <w:t>①</w:t>
      </w:r>
      <w:r>
        <w:rPr>
          <w:rFonts w:ascii="Times New Roman" w:cs="Times New Roman"/>
        </w:rPr>
        <w:t>槲栎灌丛（Form.</w:t>
      </w:r>
      <w:r>
        <w:rPr>
          <w:rFonts w:ascii="Times New Roman" w:cs="Times New Roman"/>
          <w:i/>
          <w:iCs/>
        </w:rPr>
        <w:t>Quercus aliena</w:t>
      </w:r>
      <w:r>
        <w:rPr>
          <w:rFonts w:ascii="Times New Roman" w:cs="Times New Roman"/>
        </w:rPr>
        <w:t>）</w:t>
      </w:r>
    </w:p>
    <w:p>
      <w:pPr>
        <w:topLinePunct w:val="0"/>
        <w:adjustRightInd/>
        <w:ind w:left="60" w:right="100" w:firstLine="480"/>
        <w:rPr>
          <w:rFonts w:ascii="Times New Roman" w:cs="Times New Roman"/>
        </w:rPr>
      </w:pPr>
      <w:r>
        <w:rPr>
          <w:rFonts w:ascii="Times New Roman" w:cs="Times New Roman"/>
        </w:rPr>
        <w:t>槲栎灌丛在评价区内分布于</w:t>
      </w:r>
      <w:r>
        <w:rPr>
          <w:rFonts w:hint="eastAsia" w:ascii="Times New Roman" w:cs="Times New Roman"/>
        </w:rPr>
        <w:t>青冈</w:t>
      </w:r>
      <w:r>
        <w:rPr>
          <w:rFonts w:ascii="Times New Roman" w:cs="Times New Roman"/>
        </w:rPr>
        <w:t>麻栎林向灌草丛过渡的地带，其中以槲栎（</w:t>
      </w:r>
      <w:r>
        <w:rPr>
          <w:rFonts w:ascii="Times New Roman" w:cs="Times New Roman"/>
          <w:i/>
          <w:iCs/>
        </w:rPr>
        <w:t>Quercus aliena</w:t>
      </w:r>
      <w:r>
        <w:rPr>
          <w:rFonts w:ascii="Times New Roman" w:cs="Times New Roman"/>
        </w:rPr>
        <w:t>）和毛黄栌（</w:t>
      </w:r>
      <w:r>
        <w:rPr>
          <w:rFonts w:ascii="Times New Roman" w:cs="Times New Roman"/>
          <w:i/>
          <w:iCs/>
        </w:rPr>
        <w:t>Cotinus coggygria var.pubescens</w:t>
      </w:r>
      <w:r>
        <w:rPr>
          <w:rFonts w:ascii="Times New Roman" w:cs="Times New Roman"/>
        </w:rPr>
        <w:t>）分布量居多、盖度居大，该灌丛平均高度为2m-3m，灌丛下草本层生长稀疏，盖度通常低于10%，数量较多的草本植物有栗褐苔草（</w:t>
      </w:r>
      <w:r>
        <w:rPr>
          <w:rFonts w:ascii="Times New Roman" w:cs="Times New Roman"/>
          <w:i/>
          <w:iCs/>
        </w:rPr>
        <w:t>Carex brunnea Thunb.</w:t>
      </w:r>
      <w:r>
        <w:rPr>
          <w:rFonts w:ascii="Times New Roman" w:cs="Times New Roman"/>
        </w:rPr>
        <w:t>）、披针叶苔草（</w:t>
      </w:r>
      <w:r>
        <w:rPr>
          <w:rFonts w:ascii="Times New Roman" w:cs="Times New Roman"/>
          <w:i/>
          <w:iCs/>
        </w:rPr>
        <w:t>Carex lanceolata</w:t>
      </w:r>
      <w:r>
        <w:rPr>
          <w:rFonts w:ascii="Times New Roman" w:cs="Times New Roman"/>
          <w:i/>
          <w:iCs/>
        </w:rPr>
        <w:tab/>
      </w:r>
      <w:r>
        <w:rPr>
          <w:rFonts w:ascii="Times New Roman" w:cs="Times New Roman"/>
          <w:i/>
          <w:iCs/>
        </w:rPr>
        <w:t>Boott</w:t>
      </w:r>
      <w:r>
        <w:rPr>
          <w:rFonts w:ascii="Times New Roman" w:cs="Times New Roman"/>
        </w:rPr>
        <w:t>）、黄茅（</w:t>
      </w:r>
      <w:r>
        <w:rPr>
          <w:rFonts w:ascii="Times New Roman" w:cs="Times New Roman"/>
          <w:i/>
          <w:iCs/>
        </w:rPr>
        <w:t>Heteropogon</w:t>
      </w:r>
      <w:r>
        <w:rPr>
          <w:rFonts w:ascii="Times New Roman" w:cs="Times New Roman"/>
          <w:i/>
          <w:iCs/>
        </w:rPr>
        <w:tab/>
      </w:r>
      <w:r>
        <w:rPr>
          <w:rFonts w:ascii="Times New Roman" w:cs="Times New Roman"/>
          <w:i/>
          <w:iCs/>
        </w:rPr>
        <w:t>contortus</w:t>
      </w:r>
      <w:r>
        <w:rPr>
          <w:rFonts w:ascii="Times New Roman" w:cs="Times New Roman"/>
        </w:rPr>
        <w:t>）、画眉草（</w:t>
      </w:r>
      <w:r>
        <w:rPr>
          <w:rFonts w:ascii="Times New Roman" w:cs="Times New Roman"/>
          <w:i/>
          <w:iCs/>
        </w:rPr>
        <w:t>Eragrostis pilosa(L.)Beauv.</w:t>
      </w:r>
      <w:r>
        <w:rPr>
          <w:rFonts w:ascii="Times New Roman" w:cs="Times New Roman"/>
        </w:rPr>
        <w:t>）等。</w:t>
      </w:r>
    </w:p>
    <w:p>
      <w:pPr>
        <w:pStyle w:val="46"/>
        <w:spacing w:line="360" w:lineRule="auto"/>
        <w:ind w:left="487" w:leftChars="203" w:firstLine="0" w:firstLineChars="0"/>
        <w:rPr>
          <w:rFonts w:eastAsia="宋体"/>
          <w:sz w:val="24"/>
          <w:szCs w:val="24"/>
        </w:rPr>
      </w:pPr>
      <w:r>
        <w:rPr>
          <w:rFonts w:hint="eastAsia" w:ascii="宋体" w:hAnsi="宋体" w:eastAsia="宋体" w:cs="宋体"/>
          <w:sz w:val="24"/>
          <w:szCs w:val="24"/>
        </w:rPr>
        <w:t>②</w:t>
      </w:r>
      <w:r>
        <w:rPr>
          <w:rFonts w:eastAsia="宋体"/>
          <w:bCs/>
          <w:kern w:val="0"/>
          <w:sz w:val="24"/>
          <w:szCs w:val="24"/>
        </w:rPr>
        <w:t>火棘灌丛</w:t>
      </w:r>
      <w:r>
        <w:rPr>
          <w:rFonts w:eastAsia="宋体"/>
          <w:sz w:val="24"/>
          <w:szCs w:val="24"/>
        </w:rPr>
        <w:t>（Form.</w:t>
      </w:r>
      <w:r>
        <w:rPr>
          <w:rFonts w:eastAsia="宋体"/>
          <w:i/>
          <w:iCs/>
          <w:sz w:val="24"/>
          <w:szCs w:val="24"/>
        </w:rPr>
        <w:t>Pyracantha fortuneana</w:t>
      </w:r>
      <w:r>
        <w:rPr>
          <w:rFonts w:eastAsia="宋体"/>
          <w:sz w:val="24"/>
          <w:szCs w:val="24"/>
        </w:rPr>
        <w:t>）</w:t>
      </w:r>
    </w:p>
    <w:p>
      <w:pPr>
        <w:pStyle w:val="804"/>
        <w:snapToGrid w:val="0"/>
        <w:ind w:firstLine="480"/>
      </w:pPr>
      <w:r>
        <w:rPr>
          <w:rFonts w:hint="eastAsia"/>
        </w:rPr>
        <w:t>此群落在评价区分布面积不大，但往往容易形成单一优势种的群落，群落高约2.8m，盖度85%左右。群落内物种多样性程度较低，群落可分灌木层和草本层两层。</w:t>
      </w:r>
    </w:p>
    <w:p>
      <w:pPr>
        <w:pStyle w:val="804"/>
        <w:snapToGrid w:val="0"/>
        <w:ind w:firstLine="480"/>
        <w:rPr>
          <w:rFonts w:hAnsi="宋体"/>
          <w:szCs w:val="21"/>
        </w:rPr>
      </w:pPr>
      <w:r>
        <w:rPr>
          <w:rFonts w:hAnsi="宋体"/>
          <w:szCs w:val="21"/>
        </w:rPr>
        <w:t>群落的种类组成较为复杂，除火棘、小果蔷薇外，常见的种类还有金樱子、野蔷薇、粉枝莓、球核荚迷、烟管荚迷、鼠李、盐肤木、竹叶椒、岩椒、马桑、算盘子、川云实、南天竹等。在人为活动影响较为频繁，原生植被破坏严重的地段，如石山弃荒地、岩溶区土边路旁等处，则以多种悬钩子占优势，常见的种类有悬钩子、山莓、棠叶悬钩子、毛萼莓、高粱泡、乌泡子等等。局部地段也有由圆果化香、盐肤木、白栎等组成的萌生灌丛。草本层发育不良，高低参差不齐，局部地段较好，亦有的地区因岩石裸露而缺失。常见的种类有蕨、黑鳞耳蕨、贯众、镰狗脊、江南星蕨、庐山石韦、沿阶草、白茅、孔颖草、芒、野古草、扭黄茅、地瓜藤等。由于多受人为活动的影响，故也有一些田间杂草混生，如：马唐、荩草、青蒿、马料草等。</w:t>
      </w:r>
    </w:p>
    <w:p>
      <w:pPr>
        <w:topLinePunct w:val="0"/>
        <w:adjustRightInd/>
        <w:ind w:firstLine="528"/>
        <w:rPr>
          <w:rFonts w:ascii="Times New Roman" w:cs="Times New Roman"/>
        </w:rPr>
      </w:pPr>
      <w:r>
        <w:rPr>
          <w:rFonts w:hint="eastAsia" w:hAnsi="宋体"/>
          <w:spacing w:val="12"/>
        </w:rPr>
        <w:t>④</w:t>
      </w:r>
      <w:r>
        <w:rPr>
          <w:rFonts w:ascii="Times New Roman" w:cs="Times New Roman"/>
        </w:rPr>
        <w:t>马桑、黄荆、火棘群系（Form.</w:t>
      </w:r>
      <w:r>
        <w:rPr>
          <w:rFonts w:ascii="Times New Roman" w:cs="Times New Roman"/>
          <w:i/>
          <w:iCs/>
        </w:rPr>
        <w:t>Coriaria nepalensis+Vitex negundo+Pyracantha fortuneana</w:t>
      </w:r>
      <w:r>
        <w:rPr>
          <w:rFonts w:ascii="Times New Roman" w:cs="Times New Roman"/>
        </w:rPr>
        <w:t>）</w:t>
      </w:r>
    </w:p>
    <w:p>
      <w:pPr>
        <w:topLinePunct w:val="0"/>
        <w:adjustRightInd/>
        <w:ind w:firstLine="480"/>
        <w:rPr>
          <w:rFonts w:ascii="Times New Roman" w:cs="Times New Roman"/>
        </w:rPr>
      </w:pPr>
      <w:r>
        <w:rPr>
          <w:rFonts w:ascii="Times New Roman" w:cs="Times New Roman"/>
        </w:rPr>
        <w:t>该群落多在林缘及砍伐迹地上出现，受人类活动干扰影响极大，群落结构不稳定，易向阔叶林演替。马桑、黄荆、火棘灌丛在评价区一些人类活动干扰较大的支沟内及居民点周围较为典型。</w:t>
      </w:r>
    </w:p>
    <w:p>
      <w:pPr>
        <w:topLinePunct w:val="0"/>
        <w:adjustRightInd/>
        <w:ind w:firstLine="480"/>
        <w:rPr>
          <w:rFonts w:ascii="Times New Roman" w:cs="Times New Roman"/>
        </w:rPr>
      </w:pPr>
      <w:r>
        <w:rPr>
          <w:rFonts w:ascii="Times New Roman" w:cs="Times New Roman"/>
        </w:rPr>
        <w:t>群落灌木层组成种类较为庞杂，总盖度达60%以上，以马桑、黄荆、火棘为优势种，平均高度2.5m。其他灌木种类有盐肤木、野桐（</w:t>
      </w:r>
      <w:r>
        <w:rPr>
          <w:rFonts w:ascii="Times New Roman" w:cs="Times New Roman"/>
          <w:i/>
          <w:iCs/>
        </w:rPr>
        <w:t>Mallotus japonicus var. floccosus</w:t>
      </w:r>
      <w:r>
        <w:rPr>
          <w:rFonts w:ascii="Times New Roman" w:cs="Times New Roman"/>
        </w:rPr>
        <w:t>）、川莓、山合欢、多种悬钩子、美丽胡枝子（</w:t>
      </w:r>
      <w:r>
        <w:rPr>
          <w:rFonts w:ascii="Times New Roman" w:cs="Times New Roman"/>
          <w:i/>
          <w:iCs/>
        </w:rPr>
        <w:t>Lespedeza formosa</w:t>
      </w:r>
      <w:r>
        <w:rPr>
          <w:rFonts w:ascii="Times New Roman" w:cs="Times New Roman"/>
        </w:rPr>
        <w:t>）、山胡椒（</w:t>
      </w:r>
      <w:r>
        <w:rPr>
          <w:rFonts w:ascii="Times New Roman" w:cs="Times New Roman"/>
          <w:i/>
          <w:iCs/>
        </w:rPr>
        <w:t>Lindera sp.</w:t>
      </w:r>
      <w:r>
        <w:rPr>
          <w:rFonts w:ascii="Times New Roman" w:cs="Times New Roman"/>
        </w:rPr>
        <w:t>）等多种灌木类型。</w:t>
      </w:r>
    </w:p>
    <w:p>
      <w:pPr>
        <w:topLinePunct w:val="0"/>
        <w:adjustRightInd/>
        <w:ind w:firstLine="480"/>
        <w:rPr>
          <w:rFonts w:ascii="Times New Roman" w:cs="Times New Roman"/>
        </w:rPr>
      </w:pPr>
      <w:r>
        <w:rPr>
          <w:rFonts w:ascii="Times New Roman" w:cs="Times New Roman"/>
        </w:rPr>
        <w:t>草本植物生长茂盛，分层明显。芒居于草本层第</w:t>
      </w:r>
      <w:r>
        <w:rPr>
          <w:rFonts w:hint="eastAsia" w:ascii="Times New Roman" w:cs="Times New Roman"/>
        </w:rPr>
        <w:t>Ⅰ</w:t>
      </w:r>
      <w:r>
        <w:rPr>
          <w:rFonts w:ascii="Times New Roman" w:cs="Times New Roman"/>
        </w:rPr>
        <w:t>亚层植物，高度约1.2m。狗哇花（</w:t>
      </w:r>
      <w:r>
        <w:rPr>
          <w:rFonts w:ascii="Times New Roman" w:cs="Times New Roman"/>
          <w:i/>
          <w:iCs/>
        </w:rPr>
        <w:t>Heteropappus hispidus</w:t>
      </w:r>
      <w:r>
        <w:rPr>
          <w:rFonts w:ascii="Times New Roman" w:cs="Times New Roman"/>
        </w:rPr>
        <w:t>）、千里光（</w:t>
      </w:r>
      <w:r>
        <w:rPr>
          <w:rFonts w:ascii="Times New Roman" w:cs="Times New Roman"/>
          <w:i/>
          <w:iCs/>
        </w:rPr>
        <w:t xml:space="preserve">Senecio scandens </w:t>
      </w:r>
      <w:r>
        <w:rPr>
          <w:rFonts w:ascii="Times New Roman" w:cs="Times New Roman"/>
        </w:rPr>
        <w:t>Buch.-Ham. ex D.Don）、糙苏（</w:t>
      </w:r>
      <w:r>
        <w:rPr>
          <w:rFonts w:ascii="Times New Roman" w:cs="Times New Roman"/>
          <w:i/>
          <w:iCs/>
        </w:rPr>
        <w:t>Phlomis umbros</w:t>
      </w:r>
      <w:r>
        <w:rPr>
          <w:rFonts w:ascii="Times New Roman" w:cs="Times New Roman"/>
        </w:rPr>
        <w:t>a）、白茅（</w:t>
      </w:r>
      <w:r>
        <w:rPr>
          <w:rFonts w:ascii="Times New Roman" w:cs="Times New Roman"/>
          <w:i/>
          <w:iCs/>
        </w:rPr>
        <w:t>Imperata cylindrica (Linn.)Beauv.</w:t>
      </w:r>
      <w:r>
        <w:rPr>
          <w:rFonts w:ascii="Times New Roman" w:cs="Times New Roman"/>
        </w:rPr>
        <w:t>）等居于第</w:t>
      </w:r>
      <w:r>
        <w:rPr>
          <w:rFonts w:hint="eastAsia" w:hAnsi="宋体"/>
        </w:rPr>
        <w:t>Ⅱ</w:t>
      </w:r>
      <w:r>
        <w:rPr>
          <w:rFonts w:ascii="Times New Roman" w:cs="Times New Roman"/>
        </w:rPr>
        <w:t>亚层，高度30~60cm，车前（</w:t>
      </w:r>
      <w:r>
        <w:rPr>
          <w:rFonts w:ascii="Times New Roman" w:cs="Times New Roman"/>
          <w:i/>
          <w:iCs/>
        </w:rPr>
        <w:t xml:space="preserve">Plantago asiatica </w:t>
      </w:r>
      <w:r>
        <w:rPr>
          <w:rFonts w:ascii="Times New Roman" w:cs="Times New Roman"/>
        </w:rPr>
        <w:t>L.）、聚花过路黄（</w:t>
      </w:r>
      <w:r>
        <w:rPr>
          <w:rFonts w:ascii="Times New Roman" w:cs="Times New Roman"/>
          <w:i/>
          <w:iCs/>
        </w:rPr>
        <w:t>Lysimachia congestiflora Hemsl.</w:t>
      </w:r>
      <w:r>
        <w:rPr>
          <w:rFonts w:ascii="Times New Roman" w:cs="Times New Roman"/>
        </w:rPr>
        <w:t>）、蕺菜（</w:t>
      </w:r>
      <w:r>
        <w:rPr>
          <w:rFonts w:ascii="Times New Roman" w:cs="Times New Roman"/>
          <w:i/>
          <w:iCs/>
        </w:rPr>
        <w:t xml:space="preserve">Houttuynia cordata </w:t>
      </w:r>
      <w:r>
        <w:rPr>
          <w:rFonts w:ascii="Times New Roman" w:cs="Times New Roman"/>
        </w:rPr>
        <w:t>Thunb）、草莓（</w:t>
      </w:r>
      <w:r>
        <w:rPr>
          <w:rFonts w:ascii="Times New Roman" w:cs="Times New Roman"/>
          <w:i/>
          <w:iCs/>
        </w:rPr>
        <w:t xml:space="preserve">Fragaria ananassa </w:t>
      </w:r>
      <w:r>
        <w:rPr>
          <w:rFonts w:ascii="Times New Roman" w:cs="Times New Roman"/>
        </w:rPr>
        <w:t>Duch.）、葎草（</w:t>
      </w:r>
      <w:r>
        <w:rPr>
          <w:rFonts w:ascii="Times New Roman" w:cs="Times New Roman"/>
          <w:i/>
          <w:iCs/>
        </w:rPr>
        <w:t>Humulus scandens</w:t>
      </w:r>
      <w:r>
        <w:rPr>
          <w:rFonts w:ascii="Times New Roman" w:cs="Times New Roman"/>
        </w:rPr>
        <w:t>）等居于第</w:t>
      </w:r>
      <w:r>
        <w:rPr>
          <w:rFonts w:hint="eastAsia" w:hAnsi="宋体"/>
        </w:rPr>
        <w:t>Ⅲ</w:t>
      </w:r>
      <w:r>
        <w:rPr>
          <w:rFonts w:ascii="Times New Roman" w:cs="Times New Roman"/>
        </w:rPr>
        <w:t>亚层，高度在20cm以下。另外还有多种蕨类植物如毛蕨（</w:t>
      </w:r>
      <w:r>
        <w:rPr>
          <w:rFonts w:ascii="Times New Roman" w:cs="Times New Roman"/>
          <w:i/>
          <w:iCs/>
        </w:rPr>
        <w:t xml:space="preserve">Cyclosorus interruptus </w:t>
      </w:r>
      <w:r>
        <w:rPr>
          <w:rFonts w:ascii="Times New Roman" w:cs="Times New Roman"/>
        </w:rPr>
        <w:t>(Willd.) H. Ito）、铁角蕨（</w:t>
      </w:r>
      <w:r>
        <w:rPr>
          <w:rFonts w:ascii="Times New Roman" w:cs="Times New Roman"/>
          <w:i/>
          <w:iCs/>
        </w:rPr>
        <w:t>Asplenium trichomanes</w:t>
      </w:r>
      <w:r>
        <w:rPr>
          <w:rFonts w:ascii="Times New Roman" w:cs="Times New Roman"/>
        </w:rPr>
        <w:t>）在草本层生长。</w:t>
      </w:r>
    </w:p>
    <w:p>
      <w:pPr>
        <w:topLinePunct w:val="0"/>
        <w:adjustRightInd/>
        <w:spacing w:beforeLines="50"/>
        <w:ind w:firstLine="482"/>
        <w:rPr>
          <w:rFonts w:ascii="Times New Roman" w:cs="Times New Roman"/>
          <w:b/>
        </w:rPr>
      </w:pPr>
      <w:r>
        <w:rPr>
          <w:rFonts w:hint="eastAsia" w:hAnsi="宋体"/>
          <w:b/>
        </w:rPr>
        <w:t>Ⅲ</w:t>
      </w:r>
      <w:r>
        <w:rPr>
          <w:rFonts w:ascii="Times New Roman" w:cs="Times New Roman"/>
          <w:b/>
        </w:rPr>
        <w:t>草丛植被</w:t>
      </w:r>
    </w:p>
    <w:p>
      <w:pPr>
        <w:topLinePunct w:val="0"/>
        <w:snapToGrid w:val="0"/>
        <w:ind w:firstLine="544"/>
        <w:rPr>
          <w:rFonts w:ascii="Times New Roman" w:cs="Times New Roman"/>
        </w:rPr>
      </w:pPr>
      <w:r>
        <w:rPr>
          <w:rFonts w:hint="eastAsia" w:hAnsi="宋体"/>
          <w:spacing w:val="16"/>
        </w:rPr>
        <w:t>①</w:t>
      </w:r>
      <w:r>
        <w:rPr>
          <w:rFonts w:ascii="Times New Roman" w:cs="Times New Roman"/>
        </w:rPr>
        <w:t>白茅、五节芒、斑茅群系（Form.</w:t>
      </w:r>
      <w:r>
        <w:rPr>
          <w:rFonts w:ascii="Times New Roman" w:cs="Times New Roman"/>
          <w:i/>
          <w:iCs/>
          <w:spacing w:val="-4"/>
        </w:rPr>
        <w:t>Imperata</w:t>
      </w:r>
      <w:r>
        <w:rPr>
          <w:rFonts w:hint="eastAsia" w:ascii="Times New Roman" w:cs="Times New Roman"/>
          <w:i/>
          <w:iCs/>
          <w:spacing w:val="-4"/>
        </w:rPr>
        <w:t xml:space="preserve"> </w:t>
      </w:r>
      <w:r>
        <w:rPr>
          <w:rFonts w:ascii="Times New Roman" w:cs="Times New Roman"/>
          <w:i/>
          <w:iCs/>
          <w:spacing w:val="-4"/>
        </w:rPr>
        <w:t>cylindrica.+ Miscanthus floridulus+Arundinella anomala</w:t>
      </w:r>
      <w:r>
        <w:rPr>
          <w:rFonts w:ascii="Times New Roman" w:cs="Times New Roman"/>
        </w:rPr>
        <w:t>）</w:t>
      </w:r>
    </w:p>
    <w:p>
      <w:pPr>
        <w:topLinePunct w:val="0"/>
        <w:ind w:firstLine="480"/>
        <w:rPr>
          <w:rFonts w:ascii="Times New Roman" w:cs="Times New Roman"/>
        </w:rPr>
      </w:pPr>
      <w:r>
        <w:rPr>
          <w:rFonts w:ascii="Times New Roman" w:cs="Times New Roman"/>
        </w:rPr>
        <w:t>白茅占优势所组成的灌草丛，在我国分布范围较广，主要在热带和亚热带，向北可以分布到华北地区，这是一类最常见的阳性禾草，常布满于撂荒地及火烧后的林地。</w:t>
      </w:r>
    </w:p>
    <w:p>
      <w:pPr>
        <w:topLinePunct w:val="0"/>
        <w:ind w:firstLine="480"/>
        <w:rPr>
          <w:rFonts w:ascii="Times New Roman" w:cs="Times New Roman"/>
        </w:rPr>
      </w:pPr>
      <w:r>
        <w:rPr>
          <w:rFonts w:ascii="Times New Roman" w:cs="Times New Roman"/>
        </w:rPr>
        <w:t>白茅灌草丛可出现在河谷、盆地、河漫滩上的阶地、山地、丘陵及海滩地带。在四川各地分布十分广泛。由于白茅的生活力很强，因而可以在不同的生境条件下出现。白茅对土壤的酸碱度要求亦不大严格，因此在石灰岩为基岩发育的石灰土或砂页岩等发育的酸性土上都有分布。在撂荒地上，首先遇到的就是白茅草丛，在一些地段上，白茅生长密集，地下茎很发达，相互交织成网，其他植物很难侵入，可以形成几乎是纯白茅的草丛。</w:t>
      </w:r>
    </w:p>
    <w:p>
      <w:pPr>
        <w:topLinePunct w:val="0"/>
        <w:ind w:firstLine="480"/>
        <w:rPr>
          <w:rFonts w:ascii="Times New Roman" w:cs="Times New Roman"/>
        </w:rPr>
      </w:pPr>
      <w:r>
        <w:rPr>
          <w:rFonts w:ascii="Times New Roman" w:cs="Times New Roman"/>
        </w:rPr>
        <w:t>评价范围及周边白茅草本层的高度为60—80厘米，层覆盖度在70—90%之间。其伴生植物有五节芒、斑茅、婆婆针、飞蓬、蛇莓、夏枯草、蛇含委陵草、鸡眼草</w:t>
      </w:r>
      <w:r>
        <w:rPr>
          <w:rFonts w:hint="eastAsia" w:ascii="Times New Roman" w:cs="Times New Roman"/>
        </w:rPr>
        <w:t>、</w:t>
      </w:r>
      <w:r>
        <w:rPr>
          <w:rFonts w:ascii="Times New Roman" w:cs="Times New Roman"/>
        </w:rPr>
        <w:t>芒、黄背草、铁扫帚、歪头菜、贯叶连翘等，在群落中散生有少数灌木，如美丽胡枝子、山豆花、肖梵天花及麻栎、白栎幼树等。</w:t>
      </w:r>
    </w:p>
    <w:p>
      <w:pPr>
        <w:topLinePunct w:val="0"/>
        <w:ind w:firstLine="480"/>
        <w:rPr>
          <w:rFonts w:ascii="Times New Roman" w:cs="Times New Roman"/>
        </w:rPr>
      </w:pPr>
      <w:r>
        <w:rPr>
          <w:rFonts w:hint="eastAsia" w:hAnsi="宋体"/>
        </w:rPr>
        <w:t>②</w:t>
      </w:r>
      <w:r>
        <w:rPr>
          <w:rFonts w:ascii="Times New Roman" w:cs="Times New Roman"/>
        </w:rPr>
        <w:t>芒、蕨、芒萁群系（Form.</w:t>
      </w:r>
      <w:r>
        <w:rPr>
          <w:rFonts w:ascii="Times New Roman" w:cs="Times New Roman"/>
          <w:i/>
          <w:szCs w:val="21"/>
        </w:rPr>
        <w:t>Miscanthus sinensis</w:t>
      </w:r>
      <w:r>
        <w:rPr>
          <w:rFonts w:ascii="Times New Roman" w:cs="Times New Roman"/>
          <w:i/>
          <w:iCs/>
        </w:rPr>
        <w:t>+</w:t>
      </w:r>
      <w:r>
        <w:rPr>
          <w:rFonts w:ascii="Times New Roman" w:cs="Times New Roman"/>
          <w:i/>
          <w:iCs/>
          <w:szCs w:val="21"/>
        </w:rPr>
        <w:t>P.Aquilinum</w:t>
      </w:r>
      <w:r>
        <w:rPr>
          <w:rFonts w:ascii="Times New Roman" w:cs="Times New Roman"/>
          <w:i/>
          <w:iCs/>
        </w:rPr>
        <w:t>+</w:t>
      </w:r>
      <w:r>
        <w:rPr>
          <w:rFonts w:ascii="Times New Roman" w:cs="Times New Roman"/>
          <w:i/>
          <w:iCs/>
          <w:szCs w:val="21"/>
        </w:rPr>
        <w:t>Dicranopteris dichotoma(Thunb.)Bernh.</w:t>
      </w:r>
      <w:r>
        <w:rPr>
          <w:rFonts w:ascii="Times New Roman" w:cs="Times New Roman"/>
        </w:rPr>
        <w:t>）</w:t>
      </w:r>
    </w:p>
    <w:p>
      <w:pPr>
        <w:topLinePunct w:val="0"/>
        <w:ind w:firstLine="480"/>
        <w:rPr>
          <w:rFonts w:ascii="Times New Roman" w:cs="Times New Roman"/>
        </w:rPr>
      </w:pPr>
      <w:r>
        <w:rPr>
          <w:rFonts w:ascii="Times New Roman" w:cs="Times New Roman"/>
        </w:rPr>
        <w:t>本灌草丛在评价区内分布广泛，在大部分酸性土地区均有分布，本群落为植被受到严重破坏，乔木、灌木很难恢复的情况下形成的一类灌草丛，尤其是在强度火烧山后出现。群落的特征主要由蕨类和禾本草为主的草本植物组成，灌木稀少。常见的草本植物有芒、蕨、铁芒萁、牛尾蒿、狗脊、荩草、石松等种类，禾本草主要有四脉金茅、野古草、白茅、雀稗、芒、荻等。其他草本植物有珍珠菜，毛果一枝黄花、三脉紫菀、鸡眼草及野棉花等。</w:t>
      </w:r>
    </w:p>
    <w:p>
      <w:pPr>
        <w:topLinePunct w:val="0"/>
        <w:adjustRightInd/>
        <w:spacing w:beforeLines="50"/>
        <w:ind w:firstLine="482"/>
        <w:rPr>
          <w:rFonts w:ascii="Times New Roman" w:cs="Times New Roman"/>
          <w:b/>
        </w:rPr>
      </w:pPr>
      <w:r>
        <w:rPr>
          <w:rFonts w:hint="eastAsia" w:hAnsi="宋体"/>
          <w:b/>
        </w:rPr>
        <w:t>Ⅳ</w:t>
      </w:r>
      <w:r>
        <w:rPr>
          <w:rFonts w:ascii="Times New Roman" w:cs="Times New Roman"/>
          <w:b/>
        </w:rPr>
        <w:t>栽培植被</w:t>
      </w:r>
    </w:p>
    <w:p>
      <w:pPr>
        <w:topLinePunct w:val="0"/>
        <w:adjustRightInd/>
        <w:ind w:firstLine="480"/>
        <w:rPr>
          <w:rFonts w:ascii="Times New Roman" w:cs="Times New Roman"/>
        </w:rPr>
      </w:pPr>
      <w:r>
        <w:rPr>
          <w:rFonts w:ascii="Times New Roman" w:cs="Times New Roman"/>
        </w:rPr>
        <w:t>栽培植被指人类在自然环境中，根据人类生产、生活的需要，通过人为的经营、管理措施而培育形成的植被类型。在评价区域，栽培植被主要为以农业技术措施为主培育形成的农田植被以及具有一定经济效益的经济林木。现分别就各类栽培植被分析如下：</w:t>
      </w:r>
    </w:p>
    <w:p>
      <w:pPr>
        <w:topLinePunct w:val="0"/>
        <w:adjustRightInd/>
        <w:ind w:firstLine="480"/>
        <w:rPr>
          <w:rFonts w:ascii="Times New Roman" w:cs="Times New Roman"/>
        </w:rPr>
      </w:pPr>
      <w:r>
        <w:rPr>
          <w:rFonts w:hint="eastAsia" w:ascii="Times New Roman" w:cs="Times New Roman"/>
        </w:rPr>
        <w:t>（1）</w:t>
      </w:r>
      <w:r>
        <w:rPr>
          <w:rFonts w:ascii="Times New Roman" w:cs="Times New Roman"/>
        </w:rPr>
        <w:t>农田植被</w:t>
      </w:r>
    </w:p>
    <w:p>
      <w:pPr>
        <w:topLinePunct w:val="0"/>
        <w:adjustRightInd/>
        <w:ind w:firstLine="480"/>
        <w:rPr>
          <w:rFonts w:ascii="Times New Roman" w:cs="Times New Roman"/>
          <w:lang w:val="de-DE"/>
        </w:rPr>
      </w:pPr>
      <w:r>
        <w:rPr>
          <w:rFonts w:hint="eastAsia" w:hAnsi="宋体"/>
          <w:lang w:val="de-DE"/>
        </w:rPr>
        <w:t>①</w:t>
      </w:r>
      <w:r>
        <w:rPr>
          <w:rFonts w:ascii="Times New Roman" w:cs="Times New Roman"/>
          <w:lang w:val="de-DE"/>
        </w:rPr>
        <w:t>一年两熟水稻作物</w:t>
      </w:r>
    </w:p>
    <w:p>
      <w:pPr>
        <w:topLinePunct w:val="0"/>
        <w:adjustRightInd/>
        <w:ind w:firstLine="480"/>
        <w:rPr>
          <w:rFonts w:ascii="Times New Roman" w:cs="Times New Roman"/>
        </w:rPr>
      </w:pPr>
      <w:r>
        <w:rPr>
          <w:rFonts w:ascii="Times New Roman" w:cs="Times New Roman"/>
        </w:rPr>
        <w:t>属于草本类型大田农作物型水田作物亚型，此类型对水利灌溉要求较高，主要分布在丘谷、河流两旁等地区。在水利条件好的地区水稻收割后可种植一季油菜、豆类等，而在部分地区，由于灌溉达不到要求只种植一季水稻。</w:t>
      </w:r>
    </w:p>
    <w:p>
      <w:pPr>
        <w:topLinePunct w:val="0"/>
        <w:adjustRightInd/>
        <w:ind w:firstLine="480"/>
        <w:rPr>
          <w:rFonts w:ascii="Times New Roman" w:cs="Times New Roman"/>
          <w:lang w:val="de-DE"/>
        </w:rPr>
      </w:pPr>
      <w:r>
        <w:rPr>
          <w:rFonts w:hint="eastAsia" w:hAnsi="宋体"/>
          <w:lang w:val="de-DE"/>
        </w:rPr>
        <w:t>②</w:t>
      </w:r>
      <w:r>
        <w:rPr>
          <w:rFonts w:ascii="Times New Roman" w:cs="Times New Roman"/>
          <w:lang w:val="de-DE"/>
        </w:rPr>
        <w:t>一年</w:t>
      </w:r>
      <w:r>
        <w:rPr>
          <w:rFonts w:ascii="Times New Roman" w:cs="Times New Roman"/>
        </w:rPr>
        <w:t>两</w:t>
      </w:r>
      <w:r>
        <w:rPr>
          <w:rFonts w:ascii="Times New Roman" w:cs="Times New Roman"/>
          <w:lang w:val="de-DE"/>
        </w:rPr>
        <w:t>作为主的蔬菜组合</w:t>
      </w:r>
    </w:p>
    <w:p>
      <w:pPr>
        <w:topLinePunct w:val="0"/>
        <w:adjustRightInd/>
        <w:ind w:firstLine="480"/>
        <w:rPr>
          <w:rFonts w:ascii="Times New Roman" w:cs="Times New Roman"/>
        </w:rPr>
      </w:pPr>
      <w:r>
        <w:rPr>
          <w:rFonts w:ascii="Times New Roman" w:cs="Times New Roman"/>
        </w:rPr>
        <w:t>属于草本类型蔬菜作物型旱地作物亚型，本组合型广泛分布于亚热带范围内，对灌溉要求不是很严格，本地组成蔬菜作物的建群种，有白菜、卷心菜、花椰菜、芥菜、等白菜类，大头菜、萝卜、胡萝卜、洋葱、蒜、姜等根茎类、鳞茎类蔬菜，韭菜、葱、蒜、苋菜、芹菜、菠菜、莴笋等绿叶蔬菜，马铃薯、芋头等薯类，茄子、辣椒等茄果类，黄瓜、菜瓜、冬瓜、南瓜、葫芦、苦瓜、丝瓜等瓜类，豇豆、豌豆、蚕豆、大豆、菜豆等豆类，以及花生、油菜等油料作物。</w:t>
      </w:r>
    </w:p>
    <w:p>
      <w:pPr>
        <w:topLinePunct w:val="0"/>
        <w:adjustRightInd/>
        <w:ind w:firstLine="480"/>
        <w:rPr>
          <w:rFonts w:ascii="Times New Roman" w:cs="Times New Roman"/>
          <w:lang w:val="de-DE"/>
        </w:rPr>
      </w:pPr>
      <w:r>
        <w:rPr>
          <w:rFonts w:hint="eastAsia" w:hAnsi="宋体"/>
          <w:lang w:val="de-DE"/>
        </w:rPr>
        <w:t>③</w:t>
      </w:r>
      <w:r>
        <w:rPr>
          <w:rFonts w:ascii="Times New Roman" w:cs="Times New Roman"/>
          <w:lang w:val="de-DE"/>
        </w:rPr>
        <w:t>以</w:t>
      </w:r>
      <w:r>
        <w:rPr>
          <w:rFonts w:hint="eastAsia" w:ascii="Times New Roman" w:cs="Times New Roman"/>
          <w:spacing w:val="2"/>
        </w:rPr>
        <w:t>玉米、红苕、棉花、花生、小麦、马铃薯、豌豆</w:t>
      </w:r>
      <w:r>
        <w:rPr>
          <w:rFonts w:ascii="Times New Roman" w:cs="Times New Roman"/>
          <w:lang w:val="de-DE"/>
        </w:rPr>
        <w:t>为主的作物组合</w:t>
      </w:r>
    </w:p>
    <w:p>
      <w:pPr>
        <w:topLinePunct w:val="0"/>
        <w:adjustRightInd/>
        <w:ind w:firstLine="480"/>
        <w:rPr>
          <w:rFonts w:ascii="Times New Roman" w:cs="Times New Roman"/>
        </w:rPr>
      </w:pPr>
      <w:r>
        <w:rPr>
          <w:rFonts w:ascii="Times New Roman" w:cs="Times New Roman"/>
        </w:rPr>
        <w:t>属于草本类型大田农作物型旱地作物亚型，广泛分布于四川盆地边缘的丘陵地区。</w:t>
      </w:r>
      <w:r>
        <w:rPr>
          <w:rFonts w:ascii="Times New Roman" w:cs="Times New Roman"/>
          <w:spacing w:val="2"/>
        </w:rPr>
        <w:t>小春作物以小麦、豌豆为主，深丘上</w:t>
      </w:r>
      <w:r>
        <w:rPr>
          <w:rFonts w:ascii="Times New Roman" w:cs="Times New Roman"/>
          <w:spacing w:val="-2"/>
        </w:rPr>
        <w:t>部种有马铃薯，多为一年两熟类型</w:t>
      </w:r>
      <w:r>
        <w:rPr>
          <w:rFonts w:hint="eastAsia" w:ascii="Times New Roman" w:cs="Times New Roman"/>
          <w:spacing w:val="-2"/>
        </w:rPr>
        <w:t>，</w:t>
      </w:r>
      <w:r>
        <w:rPr>
          <w:rFonts w:ascii="Times New Roman" w:cs="Times New Roman"/>
        </w:rPr>
        <w:t>调查区域内局部灌溉条件较差的地方实行这种作物组合。</w:t>
      </w:r>
    </w:p>
    <w:p>
      <w:pPr>
        <w:topLinePunct w:val="0"/>
        <w:adjustRightInd/>
        <w:ind w:firstLine="480"/>
        <w:rPr>
          <w:rFonts w:ascii="Times New Roman" w:cs="Times New Roman"/>
        </w:rPr>
      </w:pPr>
      <w:r>
        <w:rPr>
          <w:rFonts w:hint="eastAsia" w:ascii="Times New Roman" w:cs="Times New Roman"/>
        </w:rPr>
        <w:t>（2）</w:t>
      </w:r>
      <w:r>
        <w:rPr>
          <w:rFonts w:ascii="Times New Roman" w:cs="Times New Roman"/>
        </w:rPr>
        <w:t>经济林木</w:t>
      </w:r>
    </w:p>
    <w:p>
      <w:pPr>
        <w:topLinePunct w:val="0"/>
        <w:adjustRightInd/>
        <w:ind w:firstLine="480"/>
        <w:rPr>
          <w:rFonts w:ascii="Times New Roman" w:cs="Times New Roman"/>
        </w:rPr>
      </w:pPr>
      <w:r>
        <w:rPr>
          <w:rFonts w:ascii="Times New Roman" w:cs="Times New Roman"/>
        </w:rPr>
        <w:t>常见种植的种类有苹果(</w:t>
      </w:r>
      <w:r>
        <w:rPr>
          <w:rFonts w:ascii="Times New Roman" w:cs="Times New Roman"/>
          <w:i/>
        </w:rPr>
        <w:t>Malus pumila</w:t>
      </w:r>
      <w:r>
        <w:rPr>
          <w:rFonts w:ascii="Times New Roman" w:cs="Times New Roman"/>
        </w:rPr>
        <w:t>)、</w:t>
      </w:r>
      <w:r>
        <w:rPr>
          <w:rFonts w:ascii="Times New Roman" w:cs="Times New Roman"/>
          <w:spacing w:val="5"/>
        </w:rPr>
        <w:t>川梨(</w:t>
      </w:r>
      <w:r>
        <w:rPr>
          <w:rFonts w:ascii="Times New Roman" w:eastAsia="Times New Roman" w:cs="Times New Roman"/>
          <w:i/>
          <w:iCs/>
        </w:rPr>
        <w:t>Pyrus</w:t>
      </w:r>
      <w:r>
        <w:rPr>
          <w:rFonts w:ascii="Times New Roman" w:eastAsia="Times New Roman" w:cs="Times New Roman"/>
          <w:spacing w:val="5"/>
        </w:rPr>
        <w:t xml:space="preserve"> </w:t>
      </w:r>
      <w:r>
        <w:rPr>
          <w:rFonts w:ascii="Times New Roman" w:eastAsia="Times New Roman" w:cs="Times New Roman"/>
          <w:i/>
          <w:iCs/>
        </w:rPr>
        <w:t>pashia</w:t>
      </w:r>
      <w:r>
        <w:rPr>
          <w:rFonts w:ascii="Times New Roman" w:cs="Times New Roman"/>
          <w:spacing w:val="5"/>
        </w:rPr>
        <w:t>)、枇杷(</w:t>
      </w:r>
      <w:r>
        <w:rPr>
          <w:rFonts w:ascii="Times New Roman" w:eastAsia="Times New Roman" w:cs="Times New Roman"/>
          <w:i/>
          <w:iCs/>
        </w:rPr>
        <w:t>Eriobotryajaponica</w:t>
      </w:r>
      <w:r>
        <w:rPr>
          <w:rFonts w:ascii="Times New Roman" w:cs="Times New Roman"/>
          <w:spacing w:val="5"/>
        </w:rPr>
        <w:t>)、桃(</w:t>
      </w:r>
      <w:r>
        <w:rPr>
          <w:rFonts w:ascii="Times New Roman" w:eastAsia="Times New Roman" w:cs="Times New Roman"/>
          <w:i/>
          <w:iCs/>
        </w:rPr>
        <w:t>Amygdalus</w:t>
      </w:r>
      <w:r>
        <w:rPr>
          <w:rFonts w:ascii="Times New Roman" w:eastAsia="Times New Roman" w:cs="Times New Roman"/>
        </w:rPr>
        <w:t xml:space="preserve"> </w:t>
      </w:r>
      <w:r>
        <w:rPr>
          <w:rFonts w:ascii="Times New Roman" w:eastAsia="Times New Roman" w:cs="Times New Roman"/>
          <w:i/>
          <w:iCs/>
        </w:rPr>
        <w:t>persica</w:t>
      </w:r>
      <w:r>
        <w:rPr>
          <w:rFonts w:ascii="Times New Roman" w:cs="Times New Roman"/>
          <w:spacing w:val="27"/>
        </w:rPr>
        <w:t>)</w:t>
      </w:r>
      <w:r>
        <w:rPr>
          <w:rFonts w:ascii="Times New Roman" w:cs="Times New Roman"/>
          <w:spacing w:val="25"/>
        </w:rPr>
        <w:t>、木瓜(</w:t>
      </w:r>
      <w:r>
        <w:rPr>
          <w:rFonts w:ascii="Times New Roman" w:eastAsia="Times New Roman" w:cs="Times New Roman"/>
          <w:i/>
          <w:iCs/>
        </w:rPr>
        <w:t>ChaenomelessinensisKoehne</w:t>
      </w:r>
      <w:r>
        <w:rPr>
          <w:rFonts w:ascii="Times New Roman" w:cs="Times New Roman"/>
          <w:spacing w:val="25"/>
        </w:rPr>
        <w:t>)</w:t>
      </w:r>
      <w:r>
        <w:rPr>
          <w:rFonts w:ascii="Times New Roman" w:cs="Times New Roman"/>
        </w:rPr>
        <w:t>、樱桃(</w:t>
      </w:r>
      <w:r>
        <w:rPr>
          <w:rFonts w:ascii="Times New Roman" w:cs="Times New Roman"/>
          <w:i/>
        </w:rPr>
        <w:t>Cerasus pseudocerasus</w:t>
      </w:r>
      <w:r>
        <w:rPr>
          <w:rFonts w:ascii="Times New Roman" w:cs="Times New Roman"/>
        </w:rPr>
        <w:t>)、李(</w:t>
      </w:r>
      <w:r>
        <w:rPr>
          <w:rFonts w:ascii="Times New Roman" w:cs="Times New Roman"/>
          <w:i/>
        </w:rPr>
        <w:t>Prunus salicina</w:t>
      </w:r>
      <w:r>
        <w:rPr>
          <w:rFonts w:ascii="Times New Roman" w:cs="Times New Roman"/>
        </w:rPr>
        <w:t>)、核桃(</w:t>
      </w:r>
      <w:r>
        <w:rPr>
          <w:rFonts w:ascii="Times New Roman" w:cs="Times New Roman"/>
          <w:i/>
        </w:rPr>
        <w:t>Juglans regia</w:t>
      </w:r>
      <w:r>
        <w:rPr>
          <w:rFonts w:ascii="Times New Roman" w:cs="Times New Roman"/>
        </w:rPr>
        <w:t>)、柑橘(</w:t>
      </w:r>
      <w:r>
        <w:rPr>
          <w:rFonts w:ascii="Times New Roman" w:cs="Times New Roman"/>
          <w:i/>
        </w:rPr>
        <w:t>Citrus reticulata</w:t>
      </w:r>
      <w:r>
        <w:rPr>
          <w:rFonts w:ascii="Times New Roman" w:cs="Times New Roman"/>
        </w:rPr>
        <w:t>)、柚子(</w:t>
      </w:r>
      <w:r>
        <w:rPr>
          <w:rFonts w:ascii="Times New Roman" w:cs="Times New Roman"/>
          <w:i/>
        </w:rPr>
        <w:t>Citrus grandis</w:t>
      </w:r>
      <w:r>
        <w:rPr>
          <w:rFonts w:ascii="Times New Roman" w:cs="Times New Roman"/>
        </w:rPr>
        <w:t>)等经济果树。</w:t>
      </w:r>
    </w:p>
    <w:p>
      <w:pPr>
        <w:pStyle w:val="112"/>
        <w:ind w:firstLine="480"/>
        <w:rPr>
          <w:kern w:val="2"/>
          <w:szCs w:val="24"/>
        </w:rPr>
      </w:pPr>
      <w:r>
        <w:rPr>
          <w:szCs w:val="24"/>
        </w:rPr>
        <w:t>与栽培植被共存的还有各种农田杂草及田间灌草丛，它们在农闲，轮作间歇期，或者农田管理不善时，成为栽培植被的主要替代者，此时即为杂草丛生的农田外貌，杂草以禾本科、菊科、莎草科、豆科、蓼科、唇形科植物为主。常见种类有蜈蚣草、三叶鬼针草、艾蒿、土牛膝、打破碗花花、猪殃殃、反枝苋、问荆、繁缕、蒲公英、土牛膝、毛茛、雀稗、光头稗、狗牙根、牛鞭草、空心莲子草、白花碎米荠、醴肠等</w:t>
      </w:r>
      <w:r>
        <w:rPr>
          <w:kern w:val="2"/>
          <w:szCs w:val="24"/>
        </w:rPr>
        <w:t>。</w:t>
      </w:r>
    </w:p>
    <w:p>
      <w:pPr>
        <w:snapToGrid w:val="0"/>
        <w:ind w:firstLine="480"/>
        <w:rPr>
          <w:rFonts w:ascii="Times New Roman" w:cs="Times New Roman"/>
        </w:rPr>
      </w:pPr>
      <w:r>
        <w:rPr>
          <w:rFonts w:ascii="Times New Roman" w:cs="Times New Roman"/>
        </w:rPr>
        <w:t>项目评价范围陆生植被调查及样方现场照片见图</w:t>
      </w:r>
      <w:r>
        <w:rPr>
          <w:rFonts w:hint="eastAsia" w:ascii="Times New Roman" w:cs="Times New Roman"/>
        </w:rPr>
        <w:t>5</w:t>
      </w:r>
      <w:r>
        <w:rPr>
          <w:rFonts w:ascii="Times New Roman" w:cs="Times New Roman"/>
        </w:rPr>
        <w:t>.</w:t>
      </w:r>
      <w:r>
        <w:rPr>
          <w:rFonts w:hint="eastAsia" w:ascii="Times New Roman" w:cs="Times New Roman"/>
        </w:rPr>
        <w:t>2</w:t>
      </w:r>
      <w:r>
        <w:rPr>
          <w:rFonts w:ascii="Times New Roman" w:cs="Times New Roman"/>
        </w:rPr>
        <w:t>-</w:t>
      </w:r>
      <w:r>
        <w:rPr>
          <w:rFonts w:hint="eastAsia" w:ascii="Times New Roman" w:cs="Times New Roman"/>
        </w:rPr>
        <w:t>1</w:t>
      </w:r>
      <w:r>
        <w:rPr>
          <w:rFonts w:ascii="Times New Roman" w:cs="Times New Roman"/>
        </w:rPr>
        <w:t>。</w:t>
      </w:r>
    </w:p>
    <w:tbl>
      <w:tblPr>
        <w:tblStyle w:val="58"/>
        <w:tblW w:w="8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9"/>
        <w:gridCol w:w="4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19"/>
              <w:rPr>
                <w:rFonts w:ascii="Times New Roman" w:hAnsi="Times New Roman" w:eastAsia="Times New Roman" w:cs="Times New Roman"/>
                <w:color w:val="auto"/>
              </w:rPr>
            </w:pPr>
            <w:r>
              <w:rPr>
                <w:rFonts w:hint="eastAsia" w:ascii="Times New Roman" w:hAnsi="Times New Roman" w:eastAsia="Times New Roman" w:cs="Times New Roman"/>
                <w:color w:val="auto"/>
              </w:rPr>
              <w:drawing>
                <wp:inline distT="0" distB="0" distL="114300" distR="114300">
                  <wp:extent cx="2590800" cy="1943100"/>
                  <wp:effectExtent l="0" t="0" r="0" b="0"/>
                  <wp:docPr id="14" name="图片 14" descr="c0e0b558e1e4aca6d065742ff8d42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0e0b558e1e4aca6d065742ff8d427f"/>
                          <pic:cNvPicPr>
                            <a:picLocks noChangeAspect="1"/>
                          </pic:cNvPicPr>
                        </pic:nvPicPr>
                        <pic:blipFill>
                          <a:blip r:embed="rId62"/>
                          <a:stretch>
                            <a:fillRect/>
                          </a:stretch>
                        </pic:blipFill>
                        <pic:spPr>
                          <a:xfrm>
                            <a:off x="0" y="0"/>
                            <a:ext cx="2590800" cy="1943100"/>
                          </a:xfrm>
                          <a:prstGeom prst="rect">
                            <a:avLst/>
                          </a:prstGeom>
                        </pic:spPr>
                      </pic:pic>
                    </a:graphicData>
                  </a:graphic>
                </wp:inline>
              </w:drawing>
            </w:r>
          </w:p>
        </w:tc>
        <w:tc>
          <w:tcPr>
            <w:tcW w:w="4412" w:type="dxa"/>
          </w:tcPr>
          <w:p>
            <w:pPr>
              <w:pStyle w:val="119"/>
              <w:rPr>
                <w:rFonts w:ascii="Times New Roman" w:hAnsi="Times New Roman" w:eastAsia="Times New Roman" w:cs="Times New Roman"/>
                <w:color w:val="auto"/>
              </w:rPr>
            </w:pPr>
            <w:r>
              <w:rPr>
                <w:rFonts w:eastAsia="Times New Roman"/>
                <w:color w:val="auto"/>
              </w:rPr>
              <w:drawing>
                <wp:inline distT="0" distB="0" distL="0" distR="0">
                  <wp:extent cx="2633345" cy="1887855"/>
                  <wp:effectExtent l="0" t="0" r="14605" b="17145"/>
                  <wp:docPr id="60"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8"/>
                          <pic:cNvPicPr>
                            <a:picLocks noChangeAspect="1" noChangeArrowheads="1"/>
                          </pic:cNvPicPr>
                        </pic:nvPicPr>
                        <pic:blipFill>
                          <a:blip r:embed="rId63" cstate="print"/>
                          <a:srcRect/>
                          <a:stretch>
                            <a:fillRect/>
                          </a:stretch>
                        </pic:blipFill>
                        <pic:spPr>
                          <a:xfrm>
                            <a:off x="0" y="0"/>
                            <a:ext cx="2633345" cy="1887855"/>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19"/>
              <w:jc w:val="center"/>
              <w:rPr>
                <w:rFonts w:hAnsi="Times New Roman" w:eastAsia="Times New Roman"/>
                <w:color w:val="auto"/>
                <w:sz w:val="21"/>
                <w:szCs w:val="21"/>
              </w:rPr>
            </w:pPr>
            <w:r>
              <w:rPr>
                <w:rFonts w:hint="eastAsia" w:hAnsi="Times New Roman" w:eastAsia="Times New Roman"/>
                <w:color w:val="auto"/>
                <w:sz w:val="21"/>
                <w:szCs w:val="21"/>
              </w:rPr>
              <w:t>马尾松样方调查</w:t>
            </w:r>
          </w:p>
        </w:tc>
        <w:tc>
          <w:tcPr>
            <w:tcW w:w="4412" w:type="dxa"/>
          </w:tcPr>
          <w:p>
            <w:pPr>
              <w:pStyle w:val="119"/>
              <w:jc w:val="center"/>
              <w:rPr>
                <w:rFonts w:hAnsi="Times New Roman" w:eastAsia="Times New Roman"/>
                <w:color w:val="auto"/>
                <w:sz w:val="21"/>
                <w:szCs w:val="21"/>
              </w:rPr>
            </w:pPr>
            <w:r>
              <w:rPr>
                <w:rFonts w:hint="eastAsia" w:hAnsi="Times New Roman" w:eastAsia="Times New Roman"/>
                <w:color w:val="auto"/>
                <w:sz w:val="21"/>
                <w:szCs w:val="21"/>
              </w:rPr>
              <w:t>马尾松样方调查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19"/>
              <w:rPr>
                <w:rFonts w:eastAsia="Times New Roman"/>
                <w:color w:val="auto"/>
              </w:rPr>
            </w:pPr>
            <w:r>
              <w:rPr>
                <w:rFonts w:hint="eastAsia" w:eastAsia="Times New Roman"/>
                <w:color w:val="auto"/>
              </w:rPr>
              <w:drawing>
                <wp:inline distT="0" distB="0" distL="114300" distR="114300">
                  <wp:extent cx="2590800" cy="1943100"/>
                  <wp:effectExtent l="0" t="0" r="0" b="0"/>
                  <wp:docPr id="15" name="图片 15" descr="e6b2e583d3a44531f88054175a469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6b2e583d3a44531f88054175a469d5"/>
                          <pic:cNvPicPr>
                            <a:picLocks noChangeAspect="1"/>
                          </pic:cNvPicPr>
                        </pic:nvPicPr>
                        <pic:blipFill>
                          <a:blip r:embed="rId64"/>
                          <a:stretch>
                            <a:fillRect/>
                          </a:stretch>
                        </pic:blipFill>
                        <pic:spPr>
                          <a:xfrm>
                            <a:off x="0" y="0"/>
                            <a:ext cx="2590800" cy="1943100"/>
                          </a:xfrm>
                          <a:prstGeom prst="rect">
                            <a:avLst/>
                          </a:prstGeom>
                        </pic:spPr>
                      </pic:pic>
                    </a:graphicData>
                  </a:graphic>
                </wp:inline>
              </w:drawing>
            </w:r>
          </w:p>
        </w:tc>
        <w:tc>
          <w:tcPr>
            <w:tcW w:w="4412" w:type="dxa"/>
          </w:tcPr>
          <w:p>
            <w:pPr>
              <w:pStyle w:val="119"/>
              <w:rPr>
                <w:rFonts w:eastAsia="Times New Roman"/>
                <w:color w:val="auto"/>
              </w:rPr>
            </w:pPr>
            <w:r>
              <w:rPr>
                <w:rFonts w:hint="eastAsia" w:eastAsia="Times New Roman"/>
                <w:color w:val="auto"/>
              </w:rPr>
              <w:drawing>
                <wp:inline distT="0" distB="0" distL="114300" distR="114300">
                  <wp:extent cx="2641600" cy="1981200"/>
                  <wp:effectExtent l="0" t="0" r="6350" b="0"/>
                  <wp:docPr id="16" name="图片 16" descr="d220c3ed987b2cccda9d953b9393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220c3ed987b2cccda9d953b939367a"/>
                          <pic:cNvPicPr>
                            <a:picLocks noChangeAspect="1"/>
                          </pic:cNvPicPr>
                        </pic:nvPicPr>
                        <pic:blipFill>
                          <a:blip r:embed="rId65"/>
                          <a:stretch>
                            <a:fillRect/>
                          </a:stretch>
                        </pic:blipFill>
                        <pic:spPr>
                          <a:xfrm>
                            <a:off x="0" y="0"/>
                            <a:ext cx="2641600" cy="19812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19"/>
              <w:jc w:val="center"/>
              <w:rPr>
                <w:rFonts w:hAnsi="Times New Roman" w:eastAsia="Times New Roman"/>
                <w:color w:val="auto"/>
                <w:sz w:val="21"/>
                <w:szCs w:val="21"/>
              </w:rPr>
            </w:pPr>
            <w:r>
              <w:rPr>
                <w:rFonts w:hint="eastAsia" w:hAnsi="Times New Roman" w:eastAsia="Times New Roman"/>
                <w:color w:val="auto"/>
                <w:sz w:val="21"/>
                <w:szCs w:val="21"/>
              </w:rPr>
              <w:t>杉木样方调查</w:t>
            </w:r>
          </w:p>
        </w:tc>
        <w:tc>
          <w:tcPr>
            <w:tcW w:w="4412" w:type="dxa"/>
          </w:tcPr>
          <w:p>
            <w:pPr>
              <w:pStyle w:val="119"/>
              <w:jc w:val="center"/>
              <w:rPr>
                <w:rFonts w:hAnsi="Times New Roman" w:eastAsia="Times New Roman"/>
                <w:color w:val="auto"/>
                <w:sz w:val="21"/>
                <w:szCs w:val="21"/>
              </w:rPr>
            </w:pPr>
            <w:r>
              <w:rPr>
                <w:rFonts w:hint="eastAsia" w:hAnsi="Times New Roman" w:eastAsia="Times New Roman"/>
                <w:color w:val="auto"/>
                <w:sz w:val="21"/>
                <w:szCs w:val="21"/>
              </w:rPr>
              <w:t>杉木样方调查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19"/>
              <w:jc w:val="center"/>
              <w:rPr>
                <w:rFonts w:eastAsia="Times New Roman"/>
                <w:color w:val="auto"/>
              </w:rPr>
            </w:pPr>
            <w:r>
              <w:rPr>
                <w:rFonts w:hint="eastAsia" w:eastAsia="Times New Roman"/>
                <w:color w:val="auto"/>
              </w:rPr>
              <w:drawing>
                <wp:inline distT="0" distB="0" distL="114300" distR="114300">
                  <wp:extent cx="2590800" cy="1943100"/>
                  <wp:effectExtent l="0" t="0" r="0" b="0"/>
                  <wp:docPr id="17" name="图片 17" descr="b0dfcc100c8f727e67b2ad57e8258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0dfcc100c8f727e67b2ad57e82583b"/>
                          <pic:cNvPicPr>
                            <a:picLocks noChangeAspect="1"/>
                          </pic:cNvPicPr>
                        </pic:nvPicPr>
                        <pic:blipFill>
                          <a:blip r:embed="rId66"/>
                          <a:stretch>
                            <a:fillRect/>
                          </a:stretch>
                        </pic:blipFill>
                        <pic:spPr>
                          <a:xfrm>
                            <a:off x="0" y="0"/>
                            <a:ext cx="2590800" cy="1943100"/>
                          </a:xfrm>
                          <a:prstGeom prst="rect">
                            <a:avLst/>
                          </a:prstGeom>
                        </pic:spPr>
                      </pic:pic>
                    </a:graphicData>
                  </a:graphic>
                </wp:inline>
              </w:drawing>
            </w:r>
          </w:p>
        </w:tc>
        <w:tc>
          <w:tcPr>
            <w:tcW w:w="4412" w:type="dxa"/>
          </w:tcPr>
          <w:p>
            <w:pPr>
              <w:pStyle w:val="119"/>
              <w:rPr>
                <w:rFonts w:eastAsia="Times New Roman"/>
                <w:color w:val="auto"/>
              </w:rPr>
            </w:pPr>
            <w:r>
              <w:rPr>
                <w:rFonts w:hint="eastAsia" w:eastAsia="Times New Roman"/>
                <w:color w:val="auto"/>
              </w:rPr>
              <w:drawing>
                <wp:inline distT="0" distB="0" distL="114300" distR="114300">
                  <wp:extent cx="2653030" cy="1989455"/>
                  <wp:effectExtent l="0" t="0" r="13970" b="10795"/>
                  <wp:docPr id="18" name="图片 18" descr="01a9fde27afa35eebb038352e9b7d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1a9fde27afa35eebb038352e9b7d3e"/>
                          <pic:cNvPicPr>
                            <a:picLocks noChangeAspect="1"/>
                          </pic:cNvPicPr>
                        </pic:nvPicPr>
                        <pic:blipFill>
                          <a:blip r:embed="rId67"/>
                          <a:stretch>
                            <a:fillRect/>
                          </a:stretch>
                        </pic:blipFill>
                        <pic:spPr>
                          <a:xfrm>
                            <a:off x="0" y="0"/>
                            <a:ext cx="2653030" cy="19894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19"/>
              <w:jc w:val="center"/>
              <w:rPr>
                <w:rFonts w:hAnsi="Times New Roman" w:eastAsia="Times New Roman"/>
                <w:color w:val="auto"/>
                <w:sz w:val="21"/>
                <w:szCs w:val="21"/>
              </w:rPr>
            </w:pPr>
            <w:r>
              <w:rPr>
                <w:rFonts w:hint="eastAsia" w:hAnsi="Times New Roman" w:eastAsia="Times New Roman"/>
                <w:color w:val="auto"/>
                <w:sz w:val="21"/>
                <w:szCs w:val="21"/>
              </w:rPr>
              <w:t>柏木样方调查</w:t>
            </w:r>
          </w:p>
        </w:tc>
        <w:tc>
          <w:tcPr>
            <w:tcW w:w="4412" w:type="dxa"/>
          </w:tcPr>
          <w:p>
            <w:pPr>
              <w:pStyle w:val="119"/>
              <w:jc w:val="center"/>
              <w:rPr>
                <w:rFonts w:hAnsi="Times New Roman" w:eastAsia="Times New Roman"/>
                <w:color w:val="auto"/>
                <w:sz w:val="21"/>
                <w:szCs w:val="21"/>
              </w:rPr>
            </w:pPr>
            <w:r>
              <w:rPr>
                <w:rFonts w:hint="eastAsia" w:hAnsi="Times New Roman" w:eastAsia="Times New Roman"/>
                <w:color w:val="auto"/>
                <w:sz w:val="21"/>
                <w:szCs w:val="21"/>
              </w:rPr>
              <w:t>柏木样方调查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19"/>
              <w:jc w:val="center"/>
              <w:rPr>
                <w:rFonts w:hAnsi="Times New Roman" w:eastAsia="Times New Roman"/>
                <w:color w:val="auto"/>
                <w:sz w:val="21"/>
                <w:szCs w:val="21"/>
              </w:rPr>
            </w:pPr>
            <w:r>
              <w:rPr>
                <w:rFonts w:hint="eastAsia" w:hAnsi="Times New Roman" w:eastAsia="Times New Roman"/>
                <w:color w:val="auto"/>
                <w:sz w:val="21"/>
                <w:szCs w:val="21"/>
              </w:rPr>
              <w:drawing>
                <wp:inline distT="0" distB="0" distL="114300" distR="114300">
                  <wp:extent cx="2590800" cy="1943100"/>
                  <wp:effectExtent l="0" t="0" r="0" b="0"/>
                  <wp:docPr id="19" name="图片 19" descr="e673880974834e096b97b36ce07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673880974834e096b97b36ce077702"/>
                          <pic:cNvPicPr>
                            <a:picLocks noChangeAspect="1"/>
                          </pic:cNvPicPr>
                        </pic:nvPicPr>
                        <pic:blipFill>
                          <a:blip r:embed="rId68"/>
                          <a:stretch>
                            <a:fillRect/>
                          </a:stretch>
                        </pic:blipFill>
                        <pic:spPr>
                          <a:xfrm>
                            <a:off x="0" y="0"/>
                            <a:ext cx="2590800" cy="1943100"/>
                          </a:xfrm>
                          <a:prstGeom prst="rect">
                            <a:avLst/>
                          </a:prstGeom>
                        </pic:spPr>
                      </pic:pic>
                    </a:graphicData>
                  </a:graphic>
                </wp:inline>
              </w:drawing>
            </w:r>
          </w:p>
        </w:tc>
        <w:tc>
          <w:tcPr>
            <w:tcW w:w="4412" w:type="dxa"/>
          </w:tcPr>
          <w:p>
            <w:pPr>
              <w:pStyle w:val="119"/>
              <w:jc w:val="center"/>
              <w:rPr>
                <w:rFonts w:hAnsi="Times New Roman" w:eastAsia="Times New Roman"/>
                <w:color w:val="auto"/>
                <w:sz w:val="21"/>
                <w:szCs w:val="21"/>
              </w:rPr>
            </w:pPr>
            <w:r>
              <w:rPr>
                <w:rFonts w:hint="eastAsia" w:hAnsi="Times New Roman" w:eastAsia="Times New Roman"/>
                <w:color w:val="auto"/>
                <w:sz w:val="21"/>
                <w:szCs w:val="21"/>
              </w:rPr>
              <w:drawing>
                <wp:inline distT="0" distB="0" distL="114300" distR="114300">
                  <wp:extent cx="2641600" cy="1981200"/>
                  <wp:effectExtent l="0" t="0" r="6350" b="0"/>
                  <wp:docPr id="20" name="图片 20" descr="d28a2794d00bad4482257dd533d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28a2794d00bad4482257dd533d5600"/>
                          <pic:cNvPicPr>
                            <a:picLocks noChangeAspect="1"/>
                          </pic:cNvPicPr>
                        </pic:nvPicPr>
                        <pic:blipFill>
                          <a:blip r:embed="rId69"/>
                          <a:stretch>
                            <a:fillRect/>
                          </a:stretch>
                        </pic:blipFill>
                        <pic:spPr>
                          <a:xfrm>
                            <a:off x="0" y="0"/>
                            <a:ext cx="2641600" cy="19812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19"/>
              <w:jc w:val="center"/>
              <w:rPr>
                <w:rFonts w:hAnsi="Times New Roman" w:eastAsia="Times New Roman"/>
                <w:color w:val="auto"/>
                <w:sz w:val="21"/>
                <w:szCs w:val="21"/>
              </w:rPr>
            </w:pPr>
            <w:r>
              <w:rPr>
                <w:rFonts w:hint="eastAsia" w:hAnsi="Times New Roman" w:eastAsia="Times New Roman"/>
                <w:color w:val="auto"/>
                <w:sz w:val="21"/>
                <w:szCs w:val="21"/>
              </w:rPr>
              <w:t>麻栎、青冈样方调查</w:t>
            </w:r>
          </w:p>
        </w:tc>
        <w:tc>
          <w:tcPr>
            <w:tcW w:w="4412" w:type="dxa"/>
          </w:tcPr>
          <w:p>
            <w:pPr>
              <w:pStyle w:val="119"/>
              <w:jc w:val="center"/>
              <w:rPr>
                <w:rFonts w:hAnsi="Times New Roman" w:eastAsia="Times New Roman"/>
                <w:color w:val="auto"/>
                <w:sz w:val="21"/>
                <w:szCs w:val="21"/>
              </w:rPr>
            </w:pPr>
            <w:r>
              <w:rPr>
                <w:rFonts w:hint="eastAsia" w:hAnsi="Times New Roman" w:eastAsia="Times New Roman"/>
                <w:color w:val="auto"/>
                <w:sz w:val="21"/>
                <w:szCs w:val="21"/>
              </w:rPr>
              <w:t>麻栎、青冈样方调查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19"/>
              <w:jc w:val="center"/>
              <w:rPr>
                <w:rFonts w:ascii="Times New Roman" w:hAnsi="Times New Roman" w:eastAsia="Times New Roman" w:cs="Times New Roman"/>
                <w:color w:val="auto"/>
                <w:spacing w:val="-4"/>
                <w:sz w:val="21"/>
                <w:szCs w:val="21"/>
              </w:rPr>
            </w:pPr>
            <w:r>
              <w:rPr>
                <w:rFonts w:hint="eastAsia" w:ascii="Times New Roman" w:hAnsi="Times New Roman" w:eastAsia="Times New Roman" w:cs="Times New Roman"/>
                <w:color w:val="auto"/>
                <w:spacing w:val="-4"/>
                <w:sz w:val="21"/>
                <w:szCs w:val="21"/>
              </w:rPr>
              <w:drawing>
                <wp:inline distT="0" distB="0" distL="114300" distR="114300">
                  <wp:extent cx="2590800" cy="1943100"/>
                  <wp:effectExtent l="0" t="0" r="0" b="0"/>
                  <wp:docPr id="28" name="图片 28" descr="a9263dc41905fb7581fc74b920c6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9263dc41905fb7581fc74b920c695a"/>
                          <pic:cNvPicPr>
                            <a:picLocks noChangeAspect="1"/>
                          </pic:cNvPicPr>
                        </pic:nvPicPr>
                        <pic:blipFill>
                          <a:blip r:embed="rId70"/>
                          <a:stretch>
                            <a:fillRect/>
                          </a:stretch>
                        </pic:blipFill>
                        <pic:spPr>
                          <a:xfrm>
                            <a:off x="0" y="0"/>
                            <a:ext cx="2590800" cy="1943100"/>
                          </a:xfrm>
                          <a:prstGeom prst="rect">
                            <a:avLst/>
                          </a:prstGeom>
                        </pic:spPr>
                      </pic:pic>
                    </a:graphicData>
                  </a:graphic>
                </wp:inline>
              </w:drawing>
            </w:r>
          </w:p>
        </w:tc>
        <w:tc>
          <w:tcPr>
            <w:tcW w:w="4412" w:type="dxa"/>
          </w:tcPr>
          <w:p>
            <w:pPr>
              <w:pStyle w:val="119"/>
              <w:jc w:val="center"/>
              <w:rPr>
                <w:rFonts w:ascii="Times New Roman" w:hAnsi="Times New Roman" w:eastAsia="Times New Roman" w:cs="Times New Roman"/>
                <w:color w:val="auto"/>
                <w:spacing w:val="-4"/>
                <w:sz w:val="21"/>
                <w:szCs w:val="21"/>
              </w:rPr>
            </w:pPr>
            <w:r>
              <w:rPr>
                <w:rFonts w:hint="eastAsia" w:ascii="Times New Roman" w:hAnsi="Times New Roman" w:eastAsia="Times New Roman" w:cs="Times New Roman"/>
                <w:color w:val="auto"/>
                <w:spacing w:val="-4"/>
                <w:sz w:val="21"/>
                <w:szCs w:val="21"/>
              </w:rPr>
              <w:drawing>
                <wp:inline distT="0" distB="0" distL="114300" distR="114300">
                  <wp:extent cx="2641600" cy="1981200"/>
                  <wp:effectExtent l="0" t="0" r="6350" b="0"/>
                  <wp:docPr id="26" name="图片 26" descr="b9116a858d27436ae5268cdcef5c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9116a858d27436ae5268cdcef5c09e"/>
                          <pic:cNvPicPr>
                            <a:picLocks noChangeAspect="1"/>
                          </pic:cNvPicPr>
                        </pic:nvPicPr>
                        <pic:blipFill>
                          <a:blip r:embed="rId71"/>
                          <a:stretch>
                            <a:fillRect/>
                          </a:stretch>
                        </pic:blipFill>
                        <pic:spPr>
                          <a:xfrm>
                            <a:off x="0" y="0"/>
                            <a:ext cx="2641600" cy="19812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19"/>
              <w:jc w:val="center"/>
              <w:rPr>
                <w:rFonts w:hAnsi="Times New Roman" w:eastAsia="Times New Roman"/>
                <w:color w:val="auto"/>
                <w:sz w:val="21"/>
                <w:szCs w:val="21"/>
              </w:rPr>
            </w:pPr>
            <w:r>
              <w:rPr>
                <w:rFonts w:hAnsi="Times New Roman" w:eastAsia="Times New Roman"/>
                <w:color w:val="auto"/>
                <w:sz w:val="21"/>
                <w:szCs w:val="21"/>
              </w:rPr>
              <w:t>灌丛群系</w:t>
            </w:r>
            <w:r>
              <w:rPr>
                <w:rFonts w:hint="eastAsia" w:hAnsi="Times New Roman" w:eastAsia="Times New Roman"/>
                <w:color w:val="auto"/>
                <w:sz w:val="21"/>
                <w:szCs w:val="21"/>
              </w:rPr>
              <w:t>样方调查</w:t>
            </w:r>
          </w:p>
        </w:tc>
        <w:tc>
          <w:tcPr>
            <w:tcW w:w="4412" w:type="dxa"/>
          </w:tcPr>
          <w:p>
            <w:pPr>
              <w:pStyle w:val="119"/>
              <w:jc w:val="center"/>
              <w:rPr>
                <w:rFonts w:hAnsi="Times New Roman" w:eastAsia="Times New Roman"/>
                <w:color w:val="auto"/>
                <w:sz w:val="21"/>
                <w:szCs w:val="21"/>
              </w:rPr>
            </w:pPr>
            <w:r>
              <w:rPr>
                <w:rFonts w:hAnsi="Times New Roman" w:eastAsia="Times New Roman"/>
                <w:color w:val="auto"/>
                <w:sz w:val="21"/>
                <w:szCs w:val="21"/>
              </w:rPr>
              <w:t>灌丛群系</w:t>
            </w:r>
            <w:r>
              <w:rPr>
                <w:rFonts w:hint="eastAsia" w:hAnsi="Times New Roman" w:eastAsia="Times New Roman"/>
                <w:color w:val="auto"/>
                <w:sz w:val="21"/>
                <w:szCs w:val="21"/>
              </w:rPr>
              <w:t>样方调查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19"/>
              <w:jc w:val="center"/>
              <w:rPr>
                <w:rFonts w:eastAsia="Times New Roman"/>
                <w:color w:val="auto"/>
              </w:rPr>
            </w:pPr>
            <w:r>
              <w:rPr>
                <w:rFonts w:hint="eastAsia" w:ascii="Times New Roman" w:hAnsi="Times New Roman" w:eastAsia="Times New Roman" w:cs="Times New Roman"/>
                <w:color w:val="auto"/>
                <w:spacing w:val="-4"/>
                <w:sz w:val="21"/>
                <w:szCs w:val="21"/>
              </w:rPr>
              <w:drawing>
                <wp:inline distT="0" distB="0" distL="114300" distR="114300">
                  <wp:extent cx="2590800" cy="1943100"/>
                  <wp:effectExtent l="0" t="0" r="0" b="0"/>
                  <wp:docPr id="24" name="图片 24" descr="384dd176609a98a5398de09f2a1e3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84dd176609a98a5398de09f2a1e37f"/>
                          <pic:cNvPicPr>
                            <a:picLocks noChangeAspect="1"/>
                          </pic:cNvPicPr>
                        </pic:nvPicPr>
                        <pic:blipFill>
                          <a:blip r:embed="rId72"/>
                          <a:stretch>
                            <a:fillRect/>
                          </a:stretch>
                        </pic:blipFill>
                        <pic:spPr>
                          <a:xfrm>
                            <a:off x="0" y="0"/>
                            <a:ext cx="2590800" cy="1943100"/>
                          </a:xfrm>
                          <a:prstGeom prst="rect">
                            <a:avLst/>
                          </a:prstGeom>
                        </pic:spPr>
                      </pic:pic>
                    </a:graphicData>
                  </a:graphic>
                </wp:inline>
              </w:drawing>
            </w:r>
          </w:p>
        </w:tc>
        <w:tc>
          <w:tcPr>
            <w:tcW w:w="4412" w:type="dxa"/>
          </w:tcPr>
          <w:p>
            <w:pPr>
              <w:pStyle w:val="119"/>
              <w:jc w:val="center"/>
              <w:rPr>
                <w:rFonts w:eastAsia="Times New Roman"/>
                <w:color w:val="auto"/>
              </w:rPr>
            </w:pPr>
            <w:r>
              <w:rPr>
                <w:rFonts w:hint="eastAsia" w:eastAsia="Times New Roman"/>
                <w:color w:val="auto"/>
              </w:rPr>
              <w:drawing>
                <wp:inline distT="0" distB="0" distL="114300" distR="114300">
                  <wp:extent cx="2641600" cy="1981200"/>
                  <wp:effectExtent l="0" t="0" r="6350" b="0"/>
                  <wp:docPr id="27" name="图片 27" descr="dca1afea8205d97815327752579d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ca1afea8205d97815327752579d7b3"/>
                          <pic:cNvPicPr>
                            <a:picLocks noChangeAspect="1"/>
                          </pic:cNvPicPr>
                        </pic:nvPicPr>
                        <pic:blipFill>
                          <a:blip r:embed="rId73"/>
                          <a:stretch>
                            <a:fillRect/>
                          </a:stretch>
                        </pic:blipFill>
                        <pic:spPr>
                          <a:xfrm>
                            <a:off x="0" y="0"/>
                            <a:ext cx="2641600" cy="19812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19"/>
              <w:jc w:val="center"/>
              <w:rPr>
                <w:rFonts w:hAnsi="Times New Roman" w:eastAsia="Times New Roman"/>
                <w:color w:val="auto"/>
                <w:sz w:val="21"/>
                <w:szCs w:val="21"/>
              </w:rPr>
            </w:pPr>
            <w:r>
              <w:rPr>
                <w:rFonts w:hAnsi="Times New Roman" w:eastAsia="Times New Roman"/>
                <w:color w:val="auto"/>
                <w:sz w:val="21"/>
                <w:szCs w:val="21"/>
              </w:rPr>
              <w:t>马桑、黄荆、火棘</w:t>
            </w:r>
            <w:r>
              <w:rPr>
                <w:rFonts w:hint="eastAsia" w:hAnsi="Times New Roman" w:eastAsia="Times New Roman"/>
                <w:color w:val="auto"/>
                <w:sz w:val="21"/>
                <w:szCs w:val="21"/>
              </w:rPr>
              <w:t>灌丛</w:t>
            </w:r>
            <w:r>
              <w:rPr>
                <w:rFonts w:hAnsi="Times New Roman" w:eastAsia="Times New Roman"/>
                <w:color w:val="auto"/>
                <w:sz w:val="21"/>
                <w:szCs w:val="21"/>
              </w:rPr>
              <w:t>群系</w:t>
            </w:r>
            <w:r>
              <w:rPr>
                <w:rFonts w:hint="eastAsia" w:hAnsi="Times New Roman" w:eastAsia="Times New Roman"/>
                <w:color w:val="auto"/>
                <w:sz w:val="21"/>
                <w:szCs w:val="21"/>
              </w:rPr>
              <w:t>样方调查</w:t>
            </w:r>
          </w:p>
        </w:tc>
        <w:tc>
          <w:tcPr>
            <w:tcW w:w="4412" w:type="dxa"/>
          </w:tcPr>
          <w:p>
            <w:pPr>
              <w:pStyle w:val="119"/>
              <w:jc w:val="center"/>
              <w:rPr>
                <w:rFonts w:hAnsi="Times New Roman" w:eastAsia="Times New Roman"/>
                <w:color w:val="auto"/>
                <w:sz w:val="21"/>
                <w:szCs w:val="21"/>
              </w:rPr>
            </w:pPr>
            <w:r>
              <w:rPr>
                <w:rFonts w:hAnsi="Times New Roman" w:eastAsia="Times New Roman"/>
                <w:color w:val="auto"/>
                <w:sz w:val="21"/>
                <w:szCs w:val="21"/>
              </w:rPr>
              <w:t>马桑、黄荆、火棘</w:t>
            </w:r>
            <w:r>
              <w:rPr>
                <w:rFonts w:hint="eastAsia" w:hAnsi="Times New Roman" w:eastAsia="Times New Roman"/>
                <w:color w:val="auto"/>
                <w:sz w:val="21"/>
                <w:szCs w:val="21"/>
              </w:rPr>
              <w:t>灌丛</w:t>
            </w:r>
            <w:r>
              <w:rPr>
                <w:rFonts w:hAnsi="Times New Roman" w:eastAsia="Times New Roman"/>
                <w:color w:val="auto"/>
                <w:sz w:val="21"/>
                <w:szCs w:val="21"/>
              </w:rPr>
              <w:t>群系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19"/>
              <w:jc w:val="center"/>
              <w:rPr>
                <w:rFonts w:hAnsi="Times New Roman" w:eastAsia="Times New Roman"/>
                <w:color w:val="auto"/>
                <w:sz w:val="21"/>
                <w:szCs w:val="21"/>
              </w:rPr>
            </w:pPr>
            <w:r>
              <w:rPr>
                <w:rFonts w:hint="eastAsia" w:hAnsi="Times New Roman" w:eastAsia="Times New Roman"/>
                <w:color w:val="auto"/>
                <w:sz w:val="21"/>
                <w:szCs w:val="21"/>
              </w:rPr>
              <w:drawing>
                <wp:inline distT="0" distB="0" distL="114300" distR="114300">
                  <wp:extent cx="2590800" cy="1943100"/>
                  <wp:effectExtent l="0" t="0" r="0" b="0"/>
                  <wp:docPr id="30" name="图片 30" descr="9ce54eca67a83dea74817e978893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ce54eca67a83dea74817e978893d53"/>
                          <pic:cNvPicPr>
                            <a:picLocks noChangeAspect="1"/>
                          </pic:cNvPicPr>
                        </pic:nvPicPr>
                        <pic:blipFill>
                          <a:blip r:embed="rId74"/>
                          <a:stretch>
                            <a:fillRect/>
                          </a:stretch>
                        </pic:blipFill>
                        <pic:spPr>
                          <a:xfrm>
                            <a:off x="0" y="0"/>
                            <a:ext cx="2590800" cy="1943100"/>
                          </a:xfrm>
                          <a:prstGeom prst="rect">
                            <a:avLst/>
                          </a:prstGeom>
                        </pic:spPr>
                      </pic:pic>
                    </a:graphicData>
                  </a:graphic>
                </wp:inline>
              </w:drawing>
            </w:r>
          </w:p>
        </w:tc>
        <w:tc>
          <w:tcPr>
            <w:tcW w:w="4412" w:type="dxa"/>
          </w:tcPr>
          <w:p>
            <w:pPr>
              <w:pStyle w:val="119"/>
              <w:jc w:val="center"/>
              <w:rPr>
                <w:rFonts w:hAnsi="Times New Roman" w:eastAsia="Times New Roman"/>
                <w:color w:val="auto"/>
                <w:sz w:val="21"/>
                <w:szCs w:val="21"/>
              </w:rPr>
            </w:pPr>
            <w:r>
              <w:rPr>
                <w:rFonts w:hint="eastAsia" w:hAnsi="Times New Roman" w:eastAsia="Times New Roman"/>
                <w:color w:val="auto"/>
                <w:sz w:val="21"/>
                <w:szCs w:val="21"/>
              </w:rPr>
              <w:drawing>
                <wp:inline distT="0" distB="0" distL="114300" distR="114300">
                  <wp:extent cx="2641600" cy="1981200"/>
                  <wp:effectExtent l="0" t="0" r="6350" b="0"/>
                  <wp:docPr id="31" name="图片 31" descr="fbfcf46eeb71c3508baa5268884b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bfcf46eeb71c3508baa5268884b176"/>
                          <pic:cNvPicPr>
                            <a:picLocks noChangeAspect="1"/>
                          </pic:cNvPicPr>
                        </pic:nvPicPr>
                        <pic:blipFill>
                          <a:blip r:embed="rId75"/>
                          <a:stretch>
                            <a:fillRect/>
                          </a:stretch>
                        </pic:blipFill>
                        <pic:spPr>
                          <a:xfrm>
                            <a:off x="0" y="0"/>
                            <a:ext cx="2641600" cy="19812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1" w:type="dxa"/>
            <w:gridSpan w:val="2"/>
          </w:tcPr>
          <w:p>
            <w:pPr>
              <w:pStyle w:val="119"/>
              <w:jc w:val="center"/>
              <w:rPr>
                <w:rFonts w:hAnsi="Times New Roman" w:eastAsia="Times New Roman"/>
                <w:color w:val="auto"/>
                <w:sz w:val="21"/>
                <w:szCs w:val="21"/>
              </w:rPr>
            </w:pPr>
            <w:r>
              <w:rPr>
                <w:rFonts w:hint="eastAsia" w:hAnsi="Times New Roman" w:eastAsia="Times New Roman"/>
                <w:color w:val="auto"/>
                <w:sz w:val="21"/>
                <w:szCs w:val="21"/>
              </w:rPr>
              <w:t>白茅、五节芒、斑茅</w:t>
            </w:r>
            <w:r>
              <w:rPr>
                <w:rFonts w:hAnsi="Times New Roman" w:eastAsia="Times New Roman"/>
                <w:color w:val="auto"/>
                <w:sz w:val="21"/>
                <w:szCs w:val="21"/>
              </w:rPr>
              <w:t>群系</w:t>
            </w:r>
            <w:r>
              <w:rPr>
                <w:rFonts w:hint="eastAsia" w:hAnsi="Times New Roman" w:eastAsia="Times New Roman"/>
                <w:color w:val="auto"/>
                <w:sz w:val="21"/>
                <w:szCs w:val="21"/>
              </w:rPr>
              <w:t>样方调查</w:t>
            </w:r>
          </w:p>
        </w:tc>
      </w:tr>
    </w:tbl>
    <w:p>
      <w:pPr>
        <w:pStyle w:val="112"/>
        <w:ind w:firstLine="0" w:firstLineChars="0"/>
        <w:jc w:val="center"/>
        <w:rPr>
          <w:kern w:val="2"/>
          <w:szCs w:val="24"/>
        </w:rPr>
      </w:pPr>
      <w:r>
        <w:rPr>
          <w:b/>
        </w:rPr>
        <w:t>图</w:t>
      </w:r>
      <w:r>
        <w:rPr>
          <w:rFonts w:hint="eastAsia"/>
          <w:b/>
        </w:rPr>
        <w:t>5</w:t>
      </w:r>
      <w:r>
        <w:rPr>
          <w:b/>
        </w:rPr>
        <w:t>.</w:t>
      </w:r>
      <w:r>
        <w:rPr>
          <w:rFonts w:hint="eastAsia"/>
          <w:b/>
        </w:rPr>
        <w:t>2</w:t>
      </w:r>
      <w:r>
        <w:rPr>
          <w:b/>
        </w:rPr>
        <w:t>-</w:t>
      </w:r>
      <w:r>
        <w:rPr>
          <w:rFonts w:hint="eastAsia"/>
          <w:b/>
        </w:rPr>
        <w:t>1</w:t>
      </w:r>
      <w:r>
        <w:rPr>
          <w:b/>
        </w:rPr>
        <w:t xml:space="preserve"> 陆生植被调查照片</w:t>
      </w:r>
    </w:p>
    <w:p>
      <w:pPr>
        <w:pStyle w:val="112"/>
        <w:ind w:firstLine="0" w:firstLineChars="0"/>
      </w:pPr>
      <w:r>
        <w:rPr>
          <w:spacing w:val="-9"/>
          <w:szCs w:val="24"/>
        </w:rPr>
        <w:t>评价范围陆生植被样方记录表如下：</w:t>
      </w:r>
    </w:p>
    <w:p>
      <w:pPr>
        <w:topLinePunct w:val="0"/>
        <w:adjustRightInd/>
        <w:spacing w:line="500" w:lineRule="exact"/>
        <w:ind w:left="60" w:right="100" w:firstLine="482" w:firstLineChars="0"/>
        <w:jc w:val="center"/>
        <w:rPr>
          <w:rFonts w:ascii="Times New Roman" w:cs="Times New Roman"/>
          <w:b/>
          <w:kern w:val="2"/>
          <w:sz w:val="21"/>
          <w:szCs w:val="20"/>
        </w:rPr>
      </w:pPr>
      <w:r>
        <w:rPr>
          <w:rFonts w:ascii="Times New Roman" w:cs="Times New Roman"/>
          <w:b/>
          <w:kern w:val="2"/>
          <w:sz w:val="21"/>
          <w:szCs w:val="20"/>
        </w:rPr>
        <w:t>样方1</w:t>
      </w:r>
      <w:r>
        <w:rPr>
          <w:rFonts w:hint="eastAsia" w:ascii="Times New Roman" w:cs="Times New Roman"/>
          <w:b/>
          <w:kern w:val="2"/>
          <w:sz w:val="21"/>
          <w:szCs w:val="20"/>
        </w:rPr>
        <w:t xml:space="preserve"> 马尾松群落样方表</w:t>
      </w:r>
    </w:p>
    <w:tbl>
      <w:tblPr>
        <w:tblStyle w:val="57"/>
        <w:tblW w:w="94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0"/>
        <w:gridCol w:w="3928"/>
        <w:gridCol w:w="703"/>
        <w:gridCol w:w="481"/>
        <w:gridCol w:w="621"/>
        <w:gridCol w:w="648"/>
        <w:gridCol w:w="550"/>
        <w:gridCol w:w="523"/>
        <w:gridCol w:w="659"/>
        <w:gridCol w:w="7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57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坐标</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107.8119，31.5648</w:t>
            </w:r>
          </w:p>
        </w:tc>
        <w:tc>
          <w:tcPr>
            <w:tcW w:w="70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海拔(m)</w:t>
            </w:r>
          </w:p>
        </w:tc>
        <w:tc>
          <w:tcPr>
            <w:tcW w:w="481"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703</w:t>
            </w:r>
          </w:p>
        </w:tc>
        <w:tc>
          <w:tcPr>
            <w:tcW w:w="621"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土壤类型</w:t>
            </w:r>
          </w:p>
        </w:tc>
        <w:tc>
          <w:tcPr>
            <w:tcW w:w="648" w:type="dxa"/>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壤土</w:t>
            </w:r>
          </w:p>
        </w:tc>
        <w:tc>
          <w:tcPr>
            <w:tcW w:w="5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坡度</w:t>
            </w:r>
          </w:p>
        </w:tc>
        <w:tc>
          <w:tcPr>
            <w:tcW w:w="52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10</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坡向</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中文名</w:t>
            </w:r>
            <w:r>
              <w:rPr>
                <w:rFonts w:hint="eastAsia" w:ascii="Times New Roman" w:cs="Times New Roman"/>
                <w:bCs/>
                <w:kern w:val="2"/>
                <w:sz w:val="21"/>
                <w:szCs w:val="21"/>
              </w:rPr>
              <w:t>（</w:t>
            </w:r>
            <w:r>
              <w:rPr>
                <w:rFonts w:ascii="Times New Roman" w:cs="Times New Roman"/>
                <w:bCs/>
                <w:kern w:val="2"/>
                <w:sz w:val="21"/>
                <w:szCs w:val="21"/>
              </w:rPr>
              <w:t>拉丁名</w:t>
            </w:r>
            <w:r>
              <w:rPr>
                <w:rFonts w:hint="eastAsia" w:ascii="Times New Roman" w:cs="Times New Roman"/>
                <w:bCs/>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平均高度m</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株数/多度</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平均胸径cm</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冠幅</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茂盛</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乔木层</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马尾松（</w:t>
            </w:r>
            <w:r>
              <w:rPr>
                <w:rFonts w:ascii="Times New Roman" w:cs="Times New Roman"/>
                <w:i/>
                <w:iCs/>
                <w:kern w:val="2"/>
                <w:sz w:val="21"/>
                <w:szCs w:val="21"/>
              </w:rPr>
              <w:t>Pinus massoniana</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14</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24</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23</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4</w:t>
            </w:r>
            <w:r>
              <w:rPr>
                <w:rFonts w:ascii="Times New Roman" w:cs="Times New Roman"/>
                <w:bCs/>
                <w:kern w:val="2"/>
                <w:sz w:val="21"/>
                <w:szCs w:val="21"/>
              </w:rPr>
              <w:t>*</w:t>
            </w:r>
            <w:r>
              <w:rPr>
                <w:rFonts w:hint="eastAsia" w:ascii="Times New Roman" w:cs="Times New Roman"/>
                <w:bCs/>
                <w:kern w:val="2"/>
                <w:sz w:val="21"/>
                <w:szCs w:val="21"/>
              </w:rPr>
              <w:t>4</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灌木层</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铁仔（</w:t>
            </w:r>
            <w:r>
              <w:rPr>
                <w:rFonts w:ascii="Times New Roman" w:cs="Times New Roman"/>
                <w:i/>
                <w:iCs/>
                <w:kern w:val="2"/>
                <w:sz w:val="21"/>
                <w:szCs w:val="21"/>
              </w:rPr>
              <w:t>Myrsine africana</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2.0</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12</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r>
              <w:rPr>
                <w:rFonts w:hint="eastAsia" w:ascii="Times New Roman" w:cs="Times New Roman"/>
                <w:bCs/>
                <w:kern w:val="2"/>
                <w:sz w:val="21"/>
                <w:szCs w:val="21"/>
              </w:rPr>
              <w:t>6</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小果蔷薇（</w:t>
            </w:r>
            <w:r>
              <w:rPr>
                <w:rFonts w:ascii="Times New Roman" w:cs="Times New Roman"/>
                <w:i/>
                <w:iCs/>
                <w:kern w:val="2"/>
                <w:sz w:val="21"/>
                <w:szCs w:val="21"/>
              </w:rPr>
              <w:t>Rosa cymosa</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1.2</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11</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r>
              <w:rPr>
                <w:rFonts w:hint="eastAsia" w:ascii="Times New Roman" w:cs="Times New Roman"/>
                <w:bCs/>
                <w:kern w:val="2"/>
                <w:sz w:val="21"/>
                <w:szCs w:val="21"/>
              </w:rPr>
              <w:t>8</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乌泡子（</w:t>
            </w:r>
            <w:r>
              <w:rPr>
                <w:rFonts w:ascii="Times New Roman" w:cs="Times New Roman"/>
                <w:i/>
                <w:iCs/>
                <w:kern w:val="2"/>
                <w:sz w:val="21"/>
                <w:szCs w:val="21"/>
              </w:rPr>
              <w:t>Rubus parkeri</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r>
              <w:rPr>
                <w:rFonts w:hint="eastAsia" w:ascii="Times New Roman" w:cs="Times New Roman"/>
                <w:bCs/>
                <w:kern w:val="2"/>
                <w:sz w:val="21"/>
                <w:szCs w:val="21"/>
              </w:rPr>
              <w:t>2</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8</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1.0</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金山荚蒾（</w:t>
            </w:r>
            <w:r>
              <w:rPr>
                <w:rFonts w:ascii="Times New Roman" w:cs="Times New Roman"/>
                <w:i/>
                <w:iCs/>
                <w:kern w:val="2"/>
                <w:sz w:val="21"/>
                <w:szCs w:val="21"/>
              </w:rPr>
              <w:t>Viburnum chinshanense</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r>
              <w:rPr>
                <w:rFonts w:hint="eastAsia" w:ascii="Times New Roman" w:cs="Times New Roman"/>
                <w:bCs/>
                <w:kern w:val="2"/>
                <w:sz w:val="21"/>
                <w:szCs w:val="21"/>
              </w:rPr>
              <w:t>4</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4</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r>
              <w:rPr>
                <w:rFonts w:hint="eastAsia" w:ascii="Times New Roman" w:cs="Times New Roman"/>
                <w:bCs/>
                <w:kern w:val="2"/>
                <w:sz w:val="21"/>
                <w:szCs w:val="21"/>
              </w:rPr>
              <w:t>2</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草本层</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白茅</w:t>
            </w:r>
            <w:r>
              <w:rPr>
                <w:rFonts w:ascii="Times New Roman" w:cs="Times New Roman"/>
                <w:bCs/>
                <w:i/>
                <w:iCs/>
                <w:kern w:val="2"/>
                <w:sz w:val="21"/>
                <w:szCs w:val="21"/>
              </w:rPr>
              <w:t>Imperata cylindrica.</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w:t>
            </w:r>
            <w:r>
              <w:rPr>
                <w:rFonts w:hint="eastAsia" w:ascii="Times New Roman" w:cs="Times New Roman"/>
                <w:bCs/>
                <w:kern w:val="2"/>
                <w:sz w:val="21"/>
                <w:szCs w:val="21"/>
              </w:rPr>
              <w:t>6</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Soc</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五节芒</w:t>
            </w:r>
            <w:r>
              <w:rPr>
                <w:rFonts w:ascii="Times New Roman" w:cs="Times New Roman"/>
                <w:bCs/>
                <w:i/>
                <w:iCs/>
                <w:kern w:val="2"/>
                <w:sz w:val="21"/>
                <w:szCs w:val="21"/>
              </w:rPr>
              <w:t>Miscanthus floridulus</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0.4</w:t>
            </w:r>
            <w:r>
              <w:rPr>
                <w:rFonts w:hint="eastAsia" w:ascii="Times New Roman" w:cs="Times New Roman"/>
                <w:bCs/>
                <w:kern w:val="2"/>
                <w:sz w:val="21"/>
                <w:szCs w:val="21"/>
              </w:rPr>
              <w:t>0</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1</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芒</w:t>
            </w:r>
            <w:r>
              <w:rPr>
                <w:rFonts w:ascii="Times New Roman" w:cs="Times New Roman"/>
                <w:bCs/>
                <w:i/>
                <w:iCs/>
                <w:kern w:val="2"/>
                <w:sz w:val="21"/>
                <w:szCs w:val="21"/>
              </w:rPr>
              <w:t>Miscanthus sinensis</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0.25</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Sp.</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bl>
    <w:p>
      <w:pPr>
        <w:topLinePunct w:val="0"/>
        <w:adjustRightInd/>
        <w:spacing w:line="500" w:lineRule="exact"/>
        <w:ind w:left="60" w:right="100" w:firstLine="482" w:firstLineChars="0"/>
        <w:jc w:val="center"/>
        <w:rPr>
          <w:rFonts w:ascii="Times New Roman" w:cs="Times New Roman"/>
          <w:b/>
          <w:kern w:val="2"/>
          <w:sz w:val="21"/>
          <w:szCs w:val="20"/>
        </w:rPr>
      </w:pPr>
      <w:r>
        <w:rPr>
          <w:rFonts w:ascii="Times New Roman" w:cs="Times New Roman"/>
          <w:b/>
          <w:kern w:val="2"/>
          <w:sz w:val="21"/>
          <w:szCs w:val="20"/>
        </w:rPr>
        <w:t>样方</w:t>
      </w:r>
      <w:r>
        <w:rPr>
          <w:rFonts w:hint="eastAsia" w:ascii="Times New Roman" w:cs="Times New Roman"/>
          <w:b/>
          <w:kern w:val="2"/>
          <w:sz w:val="21"/>
          <w:szCs w:val="20"/>
        </w:rPr>
        <w:t>2 杉木、</w:t>
      </w:r>
      <w:r>
        <w:rPr>
          <w:rFonts w:ascii="Times New Roman" w:cs="Times New Roman"/>
          <w:b/>
          <w:kern w:val="2"/>
          <w:sz w:val="21"/>
          <w:szCs w:val="20"/>
        </w:rPr>
        <w:t>柏木</w:t>
      </w:r>
      <w:r>
        <w:rPr>
          <w:rFonts w:hint="eastAsia" w:ascii="Times New Roman" w:cs="Times New Roman"/>
          <w:b/>
          <w:kern w:val="2"/>
          <w:sz w:val="21"/>
          <w:szCs w:val="20"/>
        </w:rPr>
        <w:t>群落样方表</w:t>
      </w:r>
    </w:p>
    <w:tbl>
      <w:tblPr>
        <w:tblStyle w:val="57"/>
        <w:tblW w:w="94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0"/>
        <w:gridCol w:w="3928"/>
        <w:gridCol w:w="703"/>
        <w:gridCol w:w="481"/>
        <w:gridCol w:w="621"/>
        <w:gridCol w:w="648"/>
        <w:gridCol w:w="550"/>
        <w:gridCol w:w="523"/>
        <w:gridCol w:w="659"/>
        <w:gridCol w:w="7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57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坐标</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107.8153，31.5661</w:t>
            </w:r>
          </w:p>
        </w:tc>
        <w:tc>
          <w:tcPr>
            <w:tcW w:w="70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海拔(m)</w:t>
            </w:r>
          </w:p>
        </w:tc>
        <w:tc>
          <w:tcPr>
            <w:tcW w:w="481"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700</w:t>
            </w:r>
          </w:p>
        </w:tc>
        <w:tc>
          <w:tcPr>
            <w:tcW w:w="621"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土壤类型</w:t>
            </w:r>
          </w:p>
        </w:tc>
        <w:tc>
          <w:tcPr>
            <w:tcW w:w="648" w:type="dxa"/>
            <w:vAlign w:val="center"/>
          </w:tcPr>
          <w:p>
            <w:pPr>
              <w:topLinePunct w:val="0"/>
              <w:adjustRightInd/>
              <w:spacing w:line="240" w:lineRule="auto"/>
              <w:ind w:firstLine="0" w:firstLineChars="0"/>
              <w:rPr>
                <w:rFonts w:ascii="Times New Roman" w:cs="Times New Roman"/>
                <w:bCs/>
                <w:kern w:val="2"/>
                <w:sz w:val="21"/>
                <w:szCs w:val="21"/>
              </w:rPr>
            </w:pPr>
            <w:r>
              <w:rPr>
                <w:rFonts w:hint="eastAsia" w:ascii="Times New Roman" w:cs="Times New Roman"/>
                <w:bCs/>
                <w:kern w:val="2"/>
                <w:sz w:val="21"/>
                <w:szCs w:val="21"/>
              </w:rPr>
              <w:t>碱性土</w:t>
            </w:r>
          </w:p>
        </w:tc>
        <w:tc>
          <w:tcPr>
            <w:tcW w:w="5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坡度</w:t>
            </w:r>
          </w:p>
        </w:tc>
        <w:tc>
          <w:tcPr>
            <w:tcW w:w="52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15</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坡向</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中文名</w:t>
            </w:r>
            <w:r>
              <w:rPr>
                <w:rFonts w:hint="eastAsia" w:ascii="Times New Roman" w:cs="Times New Roman"/>
                <w:bCs/>
                <w:kern w:val="2"/>
                <w:sz w:val="21"/>
                <w:szCs w:val="21"/>
              </w:rPr>
              <w:t>（</w:t>
            </w:r>
            <w:r>
              <w:rPr>
                <w:rFonts w:ascii="Times New Roman" w:cs="Times New Roman"/>
                <w:bCs/>
                <w:kern w:val="2"/>
                <w:sz w:val="21"/>
                <w:szCs w:val="21"/>
              </w:rPr>
              <w:t>拉丁名</w:t>
            </w:r>
            <w:r>
              <w:rPr>
                <w:rFonts w:hint="eastAsia" w:ascii="Times New Roman" w:cs="Times New Roman"/>
                <w:bCs/>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平均高度m</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株数/多度</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平均胸径cm</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冠幅</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茂盛</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乔木层</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杉木（</w:t>
            </w:r>
            <w:r>
              <w:rPr>
                <w:rFonts w:ascii="Times New Roman" w:cs="Times New Roman"/>
                <w:i/>
                <w:iCs/>
                <w:kern w:val="2"/>
                <w:sz w:val="21"/>
                <w:szCs w:val="21"/>
              </w:rPr>
              <w:t>Cunninghamia lanceolata</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11</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20</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24</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5</w:t>
            </w:r>
            <w:r>
              <w:rPr>
                <w:rFonts w:ascii="Times New Roman" w:cs="Times New Roman"/>
                <w:bCs/>
                <w:kern w:val="2"/>
                <w:sz w:val="21"/>
                <w:szCs w:val="21"/>
              </w:rPr>
              <w:t>*4</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柏木（</w:t>
            </w:r>
            <w:r>
              <w:rPr>
                <w:rFonts w:ascii="Times New Roman" w:cs="Times New Roman"/>
                <w:i/>
                <w:kern w:val="2"/>
                <w:sz w:val="21"/>
                <w:szCs w:val="21"/>
              </w:rPr>
              <w:t>Form. Cupressus funebris</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9</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24</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20</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4</w:t>
            </w:r>
            <w:r>
              <w:rPr>
                <w:rFonts w:ascii="Times New Roman" w:cs="Times New Roman"/>
                <w:bCs/>
                <w:kern w:val="2"/>
                <w:sz w:val="21"/>
                <w:szCs w:val="21"/>
              </w:rPr>
              <w:t>*</w:t>
            </w:r>
            <w:r>
              <w:rPr>
                <w:rFonts w:hint="eastAsia" w:ascii="Times New Roman" w:cs="Times New Roman"/>
                <w:bCs/>
                <w:kern w:val="2"/>
                <w:sz w:val="21"/>
                <w:szCs w:val="21"/>
              </w:rPr>
              <w:t>3</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灌木层</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白栎（</w:t>
            </w:r>
            <w:r>
              <w:rPr>
                <w:rFonts w:ascii="Times New Roman" w:cs="Times New Roman"/>
                <w:i/>
                <w:iCs/>
                <w:kern w:val="2"/>
                <w:sz w:val="21"/>
                <w:szCs w:val="21"/>
              </w:rPr>
              <w:t>Quercus fabri</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r>
              <w:rPr>
                <w:rFonts w:hint="eastAsia" w:ascii="Times New Roman" w:cs="Times New Roman"/>
                <w:bCs/>
                <w:kern w:val="2"/>
                <w:sz w:val="21"/>
                <w:szCs w:val="21"/>
              </w:rPr>
              <w:t>4</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9</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盐肤木（</w:t>
            </w:r>
            <w:r>
              <w:rPr>
                <w:rFonts w:ascii="Times New Roman" w:cs="Times New Roman"/>
                <w:i/>
                <w:iCs/>
                <w:kern w:val="2"/>
                <w:sz w:val="21"/>
                <w:szCs w:val="21"/>
              </w:rPr>
              <w:t>Rhus chinensis</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7</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7</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马桑（</w:t>
            </w:r>
            <w:r>
              <w:rPr>
                <w:rFonts w:ascii="Times New Roman" w:cs="Times New Roman"/>
                <w:i/>
                <w:iCs/>
                <w:kern w:val="2"/>
                <w:sz w:val="21"/>
                <w:szCs w:val="21"/>
              </w:rPr>
              <w:t>Coriaria nepalensis</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r>
              <w:rPr>
                <w:rFonts w:hint="eastAsia" w:ascii="Times New Roman" w:cs="Times New Roman"/>
                <w:bCs/>
                <w:kern w:val="2"/>
                <w:sz w:val="21"/>
                <w:szCs w:val="21"/>
              </w:rPr>
              <w:t>2</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8</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1.0</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胡枝子</w:t>
            </w:r>
            <w:r>
              <w:rPr>
                <w:rFonts w:ascii="Times New Roman" w:cs="Times New Roman"/>
                <w:i/>
                <w:iCs/>
                <w:kern w:val="2"/>
                <w:sz w:val="21"/>
                <w:szCs w:val="21"/>
              </w:rPr>
              <w:t>（Lespedeza bicolour</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8</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2.0</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铁仔（</w:t>
            </w:r>
            <w:r>
              <w:rPr>
                <w:rFonts w:ascii="Times New Roman" w:cs="Times New Roman"/>
                <w:i/>
                <w:iCs/>
                <w:kern w:val="2"/>
                <w:sz w:val="21"/>
                <w:szCs w:val="21"/>
              </w:rPr>
              <w:t>Myrsine africana</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3</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草本层</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黄花蒿（</w:t>
            </w:r>
            <w:r>
              <w:rPr>
                <w:rFonts w:ascii="Times New Roman" w:cs="Times New Roman"/>
                <w:i/>
                <w:iCs/>
                <w:kern w:val="2"/>
                <w:sz w:val="21"/>
                <w:szCs w:val="21"/>
              </w:rPr>
              <w:t>Artemisia annua</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0.95</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Soc</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白茅</w:t>
            </w:r>
            <w:r>
              <w:rPr>
                <w:rFonts w:ascii="Times New Roman" w:cs="Times New Roman"/>
                <w:bCs/>
                <w:i/>
                <w:iCs/>
                <w:kern w:val="2"/>
                <w:sz w:val="21"/>
                <w:szCs w:val="21"/>
              </w:rPr>
              <w:t>Imperata cylindrica.</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0.55</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Soc</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五节芒</w:t>
            </w:r>
            <w:r>
              <w:rPr>
                <w:rFonts w:ascii="Times New Roman" w:cs="Times New Roman"/>
                <w:bCs/>
                <w:i/>
                <w:iCs/>
                <w:kern w:val="2"/>
                <w:sz w:val="21"/>
                <w:szCs w:val="21"/>
              </w:rPr>
              <w:t>Miscanthus floridulus</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0.45</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1</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芒</w:t>
            </w:r>
            <w:r>
              <w:rPr>
                <w:rFonts w:ascii="Times New Roman" w:cs="Times New Roman"/>
                <w:bCs/>
                <w:i/>
                <w:iCs/>
                <w:kern w:val="2"/>
                <w:sz w:val="21"/>
                <w:szCs w:val="21"/>
              </w:rPr>
              <w:t>Miscanthus sinensis</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0.25</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Sp.</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rPr>
                <w:rFonts w:ascii="Times New Roman" w:cs="Times New Roman"/>
                <w:bCs/>
                <w:kern w:val="2"/>
                <w:sz w:val="21"/>
                <w:szCs w:val="21"/>
              </w:rPr>
            </w:pPr>
            <w:r>
              <w:rPr>
                <w:rFonts w:ascii="Times New Roman" w:cs="Times New Roman"/>
                <w:kern w:val="2"/>
                <w:sz w:val="21"/>
                <w:szCs w:val="21"/>
              </w:rPr>
              <w:t>三褶脉紫菀（</w:t>
            </w:r>
            <w:r>
              <w:rPr>
                <w:rFonts w:ascii="Times New Roman" w:cs="Times New Roman"/>
                <w:i/>
                <w:iCs/>
                <w:kern w:val="2"/>
                <w:sz w:val="21"/>
                <w:szCs w:val="21"/>
              </w:rPr>
              <w:t>Aster ageratoides</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0.6</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w:t>
            </w:r>
            <w:r>
              <w:rPr>
                <w:rFonts w:hint="eastAsia" w:ascii="Times New Roman" w:cs="Times New Roman"/>
                <w:bCs/>
                <w:kern w:val="2"/>
                <w:sz w:val="21"/>
                <w:szCs w:val="21"/>
              </w:rPr>
              <w:t>p</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bl>
    <w:p>
      <w:pPr>
        <w:topLinePunct w:val="0"/>
        <w:adjustRightInd/>
        <w:spacing w:line="500" w:lineRule="exact"/>
        <w:ind w:left="60" w:right="100" w:firstLine="482" w:firstLineChars="0"/>
        <w:jc w:val="center"/>
        <w:rPr>
          <w:rFonts w:ascii="Times New Roman" w:cs="Times New Roman"/>
          <w:b/>
          <w:kern w:val="2"/>
          <w:sz w:val="21"/>
          <w:szCs w:val="20"/>
        </w:rPr>
      </w:pPr>
      <w:r>
        <w:rPr>
          <w:rFonts w:ascii="Times New Roman" w:cs="Times New Roman"/>
          <w:b/>
          <w:kern w:val="2"/>
          <w:sz w:val="21"/>
          <w:szCs w:val="20"/>
        </w:rPr>
        <w:t>样方</w:t>
      </w:r>
      <w:r>
        <w:rPr>
          <w:rFonts w:hint="eastAsia" w:ascii="Times New Roman" w:cs="Times New Roman"/>
          <w:b/>
          <w:kern w:val="2"/>
          <w:sz w:val="21"/>
          <w:szCs w:val="20"/>
        </w:rPr>
        <w:t xml:space="preserve">3 </w:t>
      </w:r>
      <w:r>
        <w:rPr>
          <w:rFonts w:ascii="Times New Roman" w:cs="Times New Roman"/>
          <w:b/>
          <w:kern w:val="2"/>
          <w:sz w:val="21"/>
          <w:szCs w:val="20"/>
        </w:rPr>
        <w:t>麻栎、</w:t>
      </w:r>
      <w:r>
        <w:rPr>
          <w:rFonts w:hint="eastAsia" w:ascii="Times New Roman" w:cs="Times New Roman"/>
          <w:b/>
          <w:kern w:val="2"/>
          <w:sz w:val="21"/>
          <w:szCs w:val="20"/>
        </w:rPr>
        <w:t>青冈、</w:t>
      </w:r>
      <w:r>
        <w:rPr>
          <w:rFonts w:ascii="Times New Roman" w:cs="Times New Roman"/>
          <w:b/>
          <w:kern w:val="2"/>
          <w:sz w:val="21"/>
          <w:szCs w:val="20"/>
        </w:rPr>
        <w:t>栓皮栎</w:t>
      </w:r>
      <w:r>
        <w:rPr>
          <w:rFonts w:hint="eastAsia" w:ascii="Times New Roman" w:cs="Times New Roman"/>
          <w:b/>
          <w:kern w:val="2"/>
          <w:sz w:val="21"/>
          <w:szCs w:val="20"/>
        </w:rPr>
        <w:t>群落样方表</w:t>
      </w:r>
    </w:p>
    <w:tbl>
      <w:tblPr>
        <w:tblStyle w:val="57"/>
        <w:tblW w:w="94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0"/>
        <w:gridCol w:w="3928"/>
        <w:gridCol w:w="703"/>
        <w:gridCol w:w="481"/>
        <w:gridCol w:w="621"/>
        <w:gridCol w:w="648"/>
        <w:gridCol w:w="550"/>
        <w:gridCol w:w="523"/>
        <w:gridCol w:w="659"/>
        <w:gridCol w:w="7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57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坐标</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107.8174，31.5689</w:t>
            </w:r>
          </w:p>
        </w:tc>
        <w:tc>
          <w:tcPr>
            <w:tcW w:w="70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海拔(m)</w:t>
            </w:r>
          </w:p>
        </w:tc>
        <w:tc>
          <w:tcPr>
            <w:tcW w:w="481"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622</w:t>
            </w:r>
          </w:p>
        </w:tc>
        <w:tc>
          <w:tcPr>
            <w:tcW w:w="621"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土壤类型</w:t>
            </w:r>
          </w:p>
        </w:tc>
        <w:tc>
          <w:tcPr>
            <w:tcW w:w="648" w:type="dxa"/>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壤土</w:t>
            </w:r>
          </w:p>
        </w:tc>
        <w:tc>
          <w:tcPr>
            <w:tcW w:w="5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坡度</w:t>
            </w:r>
          </w:p>
        </w:tc>
        <w:tc>
          <w:tcPr>
            <w:tcW w:w="52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5</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坡向</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NE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中文名（拉丁名）</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平均高度m</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株数/多度</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平均胸径cm</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冠幅</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茂盛</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0"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乔木层</w:t>
            </w:r>
          </w:p>
        </w:tc>
        <w:tc>
          <w:tcPr>
            <w:tcW w:w="392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麻栎（</w:t>
            </w:r>
            <w:r>
              <w:rPr>
                <w:rFonts w:ascii="Times New Roman" w:cs="Times New Roman"/>
                <w:i/>
                <w:iCs/>
                <w:kern w:val="2"/>
                <w:sz w:val="21"/>
                <w:szCs w:val="21"/>
              </w:rPr>
              <w:t>Quercus acutissima</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hint="eastAsia" w:ascii="Times New Roman" w:cs="Times New Roman"/>
                <w:bCs/>
                <w:kern w:val="2"/>
                <w:sz w:val="21"/>
                <w:szCs w:val="21"/>
              </w:rPr>
              <w:t>9</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19</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20</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5</w:t>
            </w:r>
            <w:r>
              <w:rPr>
                <w:rFonts w:ascii="Times New Roman" w:cs="Times New Roman"/>
                <w:bCs/>
                <w:kern w:val="2"/>
                <w:sz w:val="21"/>
                <w:szCs w:val="21"/>
              </w:rPr>
              <w:t>*4</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青冈（</w:t>
            </w:r>
            <w:r>
              <w:rPr>
                <w:rFonts w:ascii="Times New Roman" w:cs="Times New Roman"/>
                <w:i/>
                <w:iCs/>
                <w:kern w:val="2"/>
                <w:sz w:val="21"/>
                <w:szCs w:val="21"/>
              </w:rPr>
              <w:t>TCyclobalanopsis glauca(Thunb.)Oerst</w:t>
            </w:r>
            <w:r>
              <w:rPr>
                <w:rFonts w:ascii="Times New Roman" w:cs="Times New Roman"/>
                <w:kern w:val="2"/>
                <w:sz w:val="21"/>
                <w:szCs w:val="21"/>
              </w:rPr>
              <w:t>.</w:t>
            </w:r>
            <w:r>
              <w:rPr>
                <w:rFonts w:ascii="Times New Roman" w:cs="Times New Roman"/>
                <w:i/>
                <w:iCs/>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hint="eastAsia" w:ascii="Times New Roman" w:cs="Times New Roman"/>
                <w:bCs/>
                <w:kern w:val="2"/>
                <w:sz w:val="21"/>
                <w:szCs w:val="21"/>
              </w:rPr>
              <w:t>9</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8</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22</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4*4</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枫香（</w:t>
            </w:r>
            <w:r>
              <w:rPr>
                <w:rFonts w:ascii="Times New Roman" w:cs="Times New Roman"/>
                <w:i/>
                <w:iCs/>
                <w:kern w:val="2"/>
                <w:sz w:val="21"/>
                <w:szCs w:val="21"/>
              </w:rPr>
              <w:t>Liquidambar formosana Hance</w:t>
            </w:r>
            <w:r>
              <w:rPr>
                <w:rFonts w:hint="eastAsia"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hint="eastAsia" w:ascii="Times New Roman" w:cs="Times New Roman"/>
                <w:bCs/>
                <w:kern w:val="2"/>
                <w:sz w:val="21"/>
                <w:szCs w:val="21"/>
              </w:rPr>
              <w:t>12</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6</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21</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6</w:t>
            </w:r>
            <w:r>
              <w:rPr>
                <w:rFonts w:ascii="Times New Roman" w:cs="Times New Roman"/>
                <w:bCs/>
                <w:kern w:val="2"/>
                <w:sz w:val="21"/>
                <w:szCs w:val="21"/>
              </w:rPr>
              <w:t>*</w:t>
            </w:r>
            <w:r>
              <w:rPr>
                <w:rFonts w:hint="eastAsia" w:ascii="Times New Roman" w:cs="Times New Roman"/>
                <w:bCs/>
                <w:kern w:val="2"/>
                <w:sz w:val="21"/>
                <w:szCs w:val="21"/>
              </w:rPr>
              <w:t>6</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utoSpaceDE w:val="0"/>
              <w:autoSpaceDN w:val="0"/>
              <w:spacing w:line="240" w:lineRule="auto"/>
              <w:ind w:firstLine="0" w:firstLineChars="0"/>
              <w:jc w:val="left"/>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响叶杨</w:t>
            </w:r>
            <w:r>
              <w:rPr>
                <w:rFonts w:ascii="Times New Roman" w:cs="Times New Roman"/>
                <w:kern w:val="2"/>
                <w:sz w:val="21"/>
                <w:szCs w:val="21"/>
              </w:rPr>
              <w:t>（</w:t>
            </w:r>
            <w:r>
              <w:rPr>
                <w:rFonts w:ascii="Times New Roman" w:cs="Times New Roman"/>
                <w:i/>
                <w:iCs/>
                <w:kern w:val="2"/>
                <w:sz w:val="21"/>
                <w:szCs w:val="21"/>
              </w:rPr>
              <w:t>Populus adenopodaMaxim.</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hint="eastAsia" w:ascii="Times New Roman" w:cs="Times New Roman"/>
                <w:bCs/>
                <w:kern w:val="2"/>
                <w:sz w:val="21"/>
                <w:szCs w:val="21"/>
              </w:rPr>
              <w:t>12</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4</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22</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5</w:t>
            </w:r>
            <w:r>
              <w:rPr>
                <w:rFonts w:ascii="Times New Roman" w:cs="Times New Roman"/>
                <w:bCs/>
                <w:kern w:val="2"/>
                <w:sz w:val="21"/>
                <w:szCs w:val="21"/>
              </w:rPr>
              <w:t>*</w:t>
            </w:r>
            <w:r>
              <w:rPr>
                <w:rFonts w:hint="eastAsia" w:ascii="Times New Roman" w:cs="Times New Roman"/>
                <w:bCs/>
                <w:kern w:val="2"/>
                <w:sz w:val="21"/>
                <w:szCs w:val="21"/>
              </w:rPr>
              <w:t>6</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灌木层</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马桑(</w:t>
            </w:r>
            <w:r>
              <w:rPr>
                <w:rFonts w:ascii="Times New Roman" w:cs="Times New Roman"/>
                <w:i/>
                <w:iCs/>
                <w:kern w:val="2"/>
                <w:sz w:val="21"/>
                <w:szCs w:val="21"/>
              </w:rPr>
              <w:t>Coriaria nepalensis</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1.2</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6</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铁仔（</w:t>
            </w:r>
            <w:r>
              <w:rPr>
                <w:rFonts w:ascii="Times New Roman" w:cs="Times New Roman"/>
                <w:i/>
                <w:iCs/>
                <w:kern w:val="2"/>
                <w:sz w:val="21"/>
                <w:szCs w:val="21"/>
              </w:rPr>
              <w:t>Myrsine africana Linn.</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1.4</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9</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棕榈(</w:t>
            </w:r>
            <w:r>
              <w:rPr>
                <w:rFonts w:ascii="Times New Roman" w:cs="Times New Roman"/>
                <w:i/>
                <w:iCs/>
                <w:kern w:val="2"/>
                <w:sz w:val="21"/>
                <w:szCs w:val="21"/>
              </w:rPr>
              <w:t>Trachycarpus fortunei</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1.3</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10</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1.0</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刺红珠(</w:t>
            </w:r>
            <w:r>
              <w:rPr>
                <w:rFonts w:ascii="Times New Roman" w:cs="Times New Roman"/>
                <w:i/>
                <w:iCs/>
                <w:kern w:val="2"/>
                <w:sz w:val="21"/>
                <w:szCs w:val="21"/>
              </w:rPr>
              <w:t>Berberis dictyophylla</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1.2</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5</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2.0</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豪猪刺(</w:t>
            </w:r>
            <w:r>
              <w:rPr>
                <w:rFonts w:ascii="Times New Roman" w:cs="Times New Roman"/>
                <w:i/>
                <w:iCs/>
                <w:kern w:val="2"/>
                <w:sz w:val="21"/>
                <w:szCs w:val="21"/>
              </w:rPr>
              <w:t>Berberis julianae</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1.2</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3</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盐肤木（</w:t>
            </w:r>
            <w:r>
              <w:rPr>
                <w:rFonts w:ascii="Times New Roman" w:cs="Times New Roman"/>
                <w:i/>
                <w:iCs/>
                <w:kern w:val="2"/>
                <w:sz w:val="21"/>
                <w:szCs w:val="21"/>
              </w:rPr>
              <w:t>Rhus chinensis</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1.4</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2</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kern w:val="2"/>
                <w:sz w:val="21"/>
                <w:szCs w:val="21"/>
              </w:rPr>
              <w:t>胡颓子（</w:t>
            </w:r>
            <w:r>
              <w:rPr>
                <w:rFonts w:ascii="Times New Roman" w:cs="Times New Roman"/>
                <w:i/>
                <w:iCs/>
                <w:kern w:val="2"/>
                <w:sz w:val="21"/>
                <w:szCs w:val="21"/>
              </w:rPr>
              <w:t>Elaeagnus pungens Thunb.</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1.2</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3</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草本层</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蒿（</w:t>
            </w:r>
            <w:r>
              <w:rPr>
                <w:rFonts w:ascii="Times New Roman" w:cs="Times New Roman"/>
                <w:i/>
                <w:iCs/>
                <w:kern w:val="2"/>
                <w:sz w:val="21"/>
                <w:szCs w:val="21"/>
              </w:rPr>
              <w:t>Artemisia</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0.95</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2</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白茅（</w:t>
            </w:r>
            <w:r>
              <w:rPr>
                <w:rFonts w:ascii="Times New Roman" w:cs="Times New Roman"/>
                <w:i/>
                <w:iCs/>
                <w:kern w:val="2"/>
                <w:sz w:val="21"/>
                <w:szCs w:val="21"/>
              </w:rPr>
              <w:t>Imperata cylindrica (L.) Beauv.</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0.85</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2</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芒萁(</w:t>
            </w:r>
            <w:r>
              <w:rPr>
                <w:rFonts w:ascii="Times New Roman" w:cs="Times New Roman"/>
                <w:i/>
                <w:iCs/>
                <w:kern w:val="2"/>
                <w:sz w:val="21"/>
                <w:szCs w:val="21"/>
              </w:rPr>
              <w:t>Dicranopteris dichotoma</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0.4</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1</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野青茅（</w:t>
            </w:r>
            <w:r>
              <w:rPr>
                <w:rFonts w:ascii="Times New Roman" w:cs="Times New Roman"/>
                <w:i/>
                <w:iCs/>
                <w:kern w:val="2"/>
                <w:sz w:val="21"/>
                <w:szCs w:val="21"/>
              </w:rPr>
              <w:t>Deyeuxia arundinacea (L.) Beauv.</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0.8</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Sol.</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苔草（</w:t>
            </w:r>
            <w:r>
              <w:rPr>
                <w:rFonts w:ascii="Times New Roman" w:cs="Times New Roman"/>
                <w:i/>
                <w:iCs/>
                <w:kern w:val="2"/>
                <w:sz w:val="21"/>
                <w:szCs w:val="21"/>
              </w:rPr>
              <w:t>Carex tristachya</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0.6</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Un.</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荩草（</w:t>
            </w:r>
            <w:r>
              <w:rPr>
                <w:rFonts w:ascii="Times New Roman" w:cs="Times New Roman"/>
                <w:i/>
                <w:iCs/>
                <w:kern w:val="2"/>
                <w:sz w:val="21"/>
                <w:szCs w:val="21"/>
              </w:rPr>
              <w:t>Gramineae </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1.2</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Un.</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层外</w:t>
            </w:r>
          </w:p>
        </w:tc>
        <w:tc>
          <w:tcPr>
            <w:tcW w:w="8856" w:type="dxa"/>
            <w:gridSpan w:val="9"/>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托柄菝葜(</w:t>
            </w:r>
            <w:r>
              <w:rPr>
                <w:rFonts w:ascii="Times New Roman" w:cs="Times New Roman"/>
                <w:i/>
                <w:iCs/>
                <w:kern w:val="2"/>
                <w:sz w:val="21"/>
                <w:szCs w:val="21"/>
              </w:rPr>
              <w:t>Smilax discotis</w:t>
            </w:r>
            <w:r>
              <w:rPr>
                <w:rFonts w:ascii="Times New Roman" w:cs="Times New Roman"/>
                <w:kern w:val="2"/>
                <w:sz w:val="21"/>
                <w:szCs w:val="21"/>
              </w:rPr>
              <w:t>)、鞘柄菝葜(Smilax stans)、三叶木通(</w:t>
            </w:r>
            <w:r>
              <w:rPr>
                <w:rFonts w:ascii="Times New Roman" w:cs="Times New Roman"/>
                <w:i/>
                <w:iCs/>
                <w:kern w:val="2"/>
                <w:sz w:val="21"/>
                <w:szCs w:val="21"/>
              </w:rPr>
              <w:t>Akebia trifoliata</w:t>
            </w:r>
            <w:r>
              <w:rPr>
                <w:rFonts w:ascii="Times New Roman" w:cs="Times New Roman"/>
                <w:kern w:val="2"/>
                <w:sz w:val="21"/>
                <w:szCs w:val="21"/>
              </w:rPr>
              <w:t>)、三裂蛇葡萄(</w:t>
            </w:r>
            <w:r>
              <w:rPr>
                <w:rFonts w:ascii="Times New Roman" w:cs="Times New Roman"/>
                <w:i/>
                <w:iCs/>
                <w:kern w:val="2"/>
                <w:sz w:val="21"/>
                <w:szCs w:val="21"/>
              </w:rPr>
              <w:t>Ampelopsis delavayana</w:t>
            </w:r>
            <w:r>
              <w:rPr>
                <w:rFonts w:ascii="Times New Roman" w:cs="Times New Roman"/>
                <w:kern w:val="2"/>
                <w:sz w:val="21"/>
                <w:szCs w:val="21"/>
              </w:rPr>
              <w:t>)、爬山虎(</w:t>
            </w:r>
            <w:r>
              <w:rPr>
                <w:rFonts w:ascii="Times New Roman" w:cs="Times New Roman"/>
                <w:i/>
                <w:iCs/>
                <w:kern w:val="2"/>
                <w:sz w:val="21"/>
                <w:szCs w:val="21"/>
              </w:rPr>
              <w:t>Parthenocissus tricuspidata</w:t>
            </w:r>
            <w:r>
              <w:rPr>
                <w:rFonts w:ascii="Times New Roman" w:cs="Times New Roman"/>
                <w:kern w:val="2"/>
                <w:sz w:val="21"/>
                <w:szCs w:val="21"/>
              </w:rPr>
              <w:t>)</w:t>
            </w:r>
          </w:p>
        </w:tc>
      </w:tr>
    </w:tbl>
    <w:p>
      <w:pPr>
        <w:topLinePunct w:val="0"/>
        <w:adjustRightInd/>
        <w:spacing w:line="500" w:lineRule="exact"/>
        <w:ind w:left="60" w:right="100" w:firstLine="482" w:firstLineChars="0"/>
        <w:jc w:val="center"/>
        <w:rPr>
          <w:rFonts w:ascii="Times New Roman" w:cs="Times New Roman"/>
          <w:b/>
          <w:szCs w:val="20"/>
        </w:rPr>
      </w:pPr>
      <w:r>
        <w:rPr>
          <w:rFonts w:ascii="Times New Roman" w:cs="Times New Roman"/>
          <w:b/>
          <w:kern w:val="2"/>
          <w:sz w:val="21"/>
          <w:szCs w:val="20"/>
        </w:rPr>
        <w:t>样方</w:t>
      </w:r>
      <w:r>
        <w:rPr>
          <w:rFonts w:hint="eastAsia" w:ascii="Times New Roman" w:cs="Times New Roman"/>
          <w:b/>
          <w:kern w:val="2"/>
          <w:sz w:val="21"/>
          <w:szCs w:val="20"/>
        </w:rPr>
        <w:t>4</w:t>
      </w:r>
      <w:r>
        <w:rPr>
          <w:rFonts w:ascii="Times New Roman" w:cs="Times New Roman"/>
          <w:b/>
          <w:szCs w:val="20"/>
        </w:rPr>
        <w:t>麻栎-柏木混交林群落样地表</w:t>
      </w:r>
    </w:p>
    <w:tbl>
      <w:tblPr>
        <w:tblStyle w:val="57"/>
        <w:tblW w:w="94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0"/>
        <w:gridCol w:w="3928"/>
        <w:gridCol w:w="703"/>
        <w:gridCol w:w="481"/>
        <w:gridCol w:w="621"/>
        <w:gridCol w:w="648"/>
        <w:gridCol w:w="550"/>
        <w:gridCol w:w="523"/>
        <w:gridCol w:w="659"/>
        <w:gridCol w:w="7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57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坐标</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107.8167，31.5518</w:t>
            </w:r>
          </w:p>
        </w:tc>
        <w:tc>
          <w:tcPr>
            <w:tcW w:w="70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海拔(m)</w:t>
            </w:r>
          </w:p>
        </w:tc>
        <w:tc>
          <w:tcPr>
            <w:tcW w:w="481"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657</w:t>
            </w:r>
          </w:p>
        </w:tc>
        <w:tc>
          <w:tcPr>
            <w:tcW w:w="621"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土壤类型</w:t>
            </w:r>
          </w:p>
        </w:tc>
        <w:tc>
          <w:tcPr>
            <w:tcW w:w="648" w:type="dxa"/>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壤土</w:t>
            </w:r>
          </w:p>
        </w:tc>
        <w:tc>
          <w:tcPr>
            <w:tcW w:w="5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坡度</w:t>
            </w:r>
          </w:p>
        </w:tc>
        <w:tc>
          <w:tcPr>
            <w:tcW w:w="52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10</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坡向</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NE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中文名（拉丁名）</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平均高度m</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株数/多度</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平均胸径cm</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冠幅</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茂盛</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乔木层</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麻栎（</w:t>
            </w:r>
            <w:r>
              <w:rPr>
                <w:rFonts w:ascii="Times New Roman" w:cs="Times New Roman"/>
                <w:i/>
                <w:iCs/>
                <w:kern w:val="2"/>
                <w:sz w:val="21"/>
                <w:szCs w:val="21"/>
              </w:rPr>
              <w:t>Quercus acutissima</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hint="eastAsia" w:ascii="Times New Roman" w:cs="Times New Roman"/>
                <w:bCs/>
                <w:kern w:val="2"/>
                <w:sz w:val="21"/>
                <w:szCs w:val="21"/>
              </w:rPr>
              <w:t>9</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25</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22</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5</w:t>
            </w:r>
            <w:r>
              <w:rPr>
                <w:rFonts w:ascii="Times New Roman" w:cs="Times New Roman"/>
                <w:bCs/>
                <w:kern w:val="2"/>
                <w:sz w:val="21"/>
                <w:szCs w:val="21"/>
              </w:rPr>
              <w:t>*4</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utoSpaceDE w:val="0"/>
              <w:autoSpaceDN w:val="0"/>
              <w:spacing w:line="240" w:lineRule="auto"/>
              <w:ind w:firstLine="0" w:firstLineChars="0"/>
              <w:jc w:val="left"/>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柏木（</w:t>
            </w:r>
            <w:r>
              <w:rPr>
                <w:rFonts w:ascii="Times New Roman" w:cs="Times New Roman"/>
                <w:i/>
                <w:iCs/>
                <w:kern w:val="2"/>
                <w:sz w:val="21"/>
                <w:szCs w:val="21"/>
              </w:rPr>
              <w:t>Cupressus funebris</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hint="eastAsia" w:ascii="Times New Roman" w:cs="Times New Roman"/>
                <w:bCs/>
                <w:kern w:val="2"/>
                <w:sz w:val="21"/>
                <w:szCs w:val="21"/>
              </w:rPr>
              <w:t>10</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9</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14</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2*</w:t>
            </w:r>
            <w:r>
              <w:rPr>
                <w:rFonts w:hint="eastAsia" w:ascii="Times New Roman" w:cs="Times New Roman"/>
                <w:bCs/>
                <w:kern w:val="2"/>
                <w:sz w:val="21"/>
                <w:szCs w:val="21"/>
              </w:rPr>
              <w:t>2</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utoSpaceDE w:val="0"/>
              <w:autoSpaceDN w:val="0"/>
              <w:spacing w:line="240" w:lineRule="auto"/>
              <w:ind w:firstLine="0" w:firstLineChars="0"/>
              <w:jc w:val="left"/>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枫香（</w:t>
            </w:r>
            <w:r>
              <w:rPr>
                <w:rFonts w:ascii="Times New Roman" w:cs="Times New Roman"/>
                <w:i/>
                <w:iCs/>
                <w:kern w:val="2"/>
                <w:sz w:val="21"/>
                <w:szCs w:val="21"/>
              </w:rPr>
              <w:t>Liquidambar formosana Hance</w:t>
            </w:r>
            <w:r>
              <w:rPr>
                <w:rFonts w:hint="eastAsia"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hint="eastAsia" w:ascii="Times New Roman" w:cs="Times New Roman"/>
                <w:bCs/>
                <w:kern w:val="2"/>
                <w:sz w:val="21"/>
                <w:szCs w:val="21"/>
              </w:rPr>
              <w:t>11</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5</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20</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6</w:t>
            </w:r>
            <w:r>
              <w:rPr>
                <w:rFonts w:ascii="Times New Roman" w:cs="Times New Roman"/>
                <w:bCs/>
                <w:kern w:val="2"/>
                <w:sz w:val="21"/>
                <w:szCs w:val="21"/>
              </w:rPr>
              <w:t>*</w:t>
            </w:r>
            <w:r>
              <w:rPr>
                <w:rFonts w:hint="eastAsia" w:ascii="Times New Roman" w:cs="Times New Roman"/>
                <w:bCs/>
                <w:kern w:val="2"/>
                <w:sz w:val="21"/>
                <w:szCs w:val="21"/>
              </w:rPr>
              <w:t>6</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utoSpaceDE w:val="0"/>
              <w:autoSpaceDN w:val="0"/>
              <w:spacing w:line="240" w:lineRule="auto"/>
              <w:ind w:firstLine="0" w:firstLineChars="0"/>
              <w:jc w:val="left"/>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响叶杨</w:t>
            </w:r>
            <w:r>
              <w:rPr>
                <w:rFonts w:ascii="Times New Roman" w:cs="Times New Roman"/>
                <w:kern w:val="2"/>
                <w:sz w:val="21"/>
                <w:szCs w:val="21"/>
              </w:rPr>
              <w:t>（</w:t>
            </w:r>
            <w:r>
              <w:rPr>
                <w:rFonts w:ascii="Times New Roman" w:cs="Times New Roman"/>
                <w:i/>
                <w:iCs/>
                <w:kern w:val="2"/>
                <w:sz w:val="21"/>
                <w:szCs w:val="21"/>
              </w:rPr>
              <w:t>Populus adenopodaMaxim.</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hint="eastAsia" w:ascii="Times New Roman" w:cs="Times New Roman"/>
                <w:bCs/>
                <w:kern w:val="2"/>
                <w:sz w:val="21"/>
                <w:szCs w:val="21"/>
              </w:rPr>
              <w:t>13</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3</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21</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5</w:t>
            </w:r>
            <w:r>
              <w:rPr>
                <w:rFonts w:ascii="Times New Roman" w:cs="Times New Roman"/>
                <w:bCs/>
                <w:kern w:val="2"/>
                <w:sz w:val="21"/>
                <w:szCs w:val="21"/>
              </w:rPr>
              <w:t>*</w:t>
            </w:r>
            <w:r>
              <w:rPr>
                <w:rFonts w:hint="eastAsia" w:ascii="Times New Roman" w:cs="Times New Roman"/>
                <w:bCs/>
                <w:kern w:val="2"/>
                <w:sz w:val="21"/>
                <w:szCs w:val="21"/>
              </w:rPr>
              <w:t>6</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灌木层</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马桑(</w:t>
            </w:r>
            <w:r>
              <w:rPr>
                <w:rFonts w:ascii="Times New Roman" w:cs="Times New Roman"/>
                <w:i/>
                <w:iCs/>
                <w:kern w:val="2"/>
                <w:sz w:val="21"/>
                <w:szCs w:val="21"/>
              </w:rPr>
              <w:t>Coriaria nepalensis</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1.</w:t>
            </w:r>
            <w:r>
              <w:rPr>
                <w:rFonts w:hint="eastAsia" w:ascii="Times New Roman" w:cs="Times New Roman"/>
                <w:bCs/>
                <w:kern w:val="2"/>
                <w:sz w:val="21"/>
                <w:szCs w:val="21"/>
              </w:rPr>
              <w:t>5</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6</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铁仔（</w:t>
            </w:r>
            <w:r>
              <w:rPr>
                <w:rFonts w:ascii="Times New Roman" w:cs="Times New Roman"/>
                <w:i/>
                <w:iCs/>
                <w:kern w:val="2"/>
                <w:sz w:val="21"/>
                <w:szCs w:val="21"/>
              </w:rPr>
              <w:t>Myrsine africana Linn.</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1.</w:t>
            </w:r>
            <w:r>
              <w:rPr>
                <w:rFonts w:hint="eastAsia" w:ascii="Times New Roman" w:cs="Times New Roman"/>
                <w:bCs/>
                <w:kern w:val="2"/>
                <w:sz w:val="21"/>
                <w:szCs w:val="21"/>
              </w:rPr>
              <w:t>2</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7</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棕榈(</w:t>
            </w:r>
            <w:r>
              <w:rPr>
                <w:rFonts w:ascii="Times New Roman" w:cs="Times New Roman"/>
                <w:i/>
                <w:iCs/>
                <w:kern w:val="2"/>
                <w:sz w:val="21"/>
                <w:szCs w:val="21"/>
              </w:rPr>
              <w:t>Trachycarpus fortunei</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1.3</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5</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1.0</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刺红珠(</w:t>
            </w:r>
            <w:r>
              <w:rPr>
                <w:rFonts w:ascii="Times New Roman" w:cs="Times New Roman"/>
                <w:i/>
                <w:iCs/>
                <w:kern w:val="2"/>
                <w:sz w:val="21"/>
                <w:szCs w:val="21"/>
              </w:rPr>
              <w:t>Berberis dictyophylla</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1.2</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5</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2.0</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豪猪刺(</w:t>
            </w:r>
            <w:r>
              <w:rPr>
                <w:rFonts w:ascii="Times New Roman" w:cs="Times New Roman"/>
                <w:i/>
                <w:iCs/>
                <w:kern w:val="2"/>
                <w:sz w:val="21"/>
                <w:szCs w:val="21"/>
              </w:rPr>
              <w:t>Berberis julianae</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1.2</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3</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盐肤木（</w:t>
            </w:r>
            <w:r>
              <w:rPr>
                <w:rFonts w:ascii="Times New Roman" w:cs="Times New Roman"/>
                <w:i/>
                <w:iCs/>
                <w:kern w:val="2"/>
                <w:sz w:val="21"/>
                <w:szCs w:val="21"/>
              </w:rPr>
              <w:t>Rhus chinensis</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1.4</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2</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kern w:val="2"/>
                <w:sz w:val="21"/>
                <w:szCs w:val="21"/>
              </w:rPr>
              <w:t>胡颓子（</w:t>
            </w:r>
            <w:r>
              <w:rPr>
                <w:rFonts w:ascii="Times New Roman" w:cs="Times New Roman"/>
                <w:i/>
                <w:iCs/>
                <w:kern w:val="2"/>
                <w:sz w:val="21"/>
                <w:szCs w:val="21"/>
              </w:rPr>
              <w:t>Elaeagnus pungens Thunb.</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1.2</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3</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草本层</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蒿（</w:t>
            </w:r>
            <w:r>
              <w:rPr>
                <w:rFonts w:ascii="Times New Roman" w:cs="Times New Roman"/>
                <w:i/>
                <w:iCs/>
                <w:kern w:val="2"/>
                <w:sz w:val="21"/>
                <w:szCs w:val="21"/>
              </w:rPr>
              <w:t>Artemisia</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0.95</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2</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白茅（</w:t>
            </w:r>
            <w:r>
              <w:rPr>
                <w:rFonts w:ascii="Times New Roman" w:cs="Times New Roman"/>
                <w:i/>
                <w:iCs/>
                <w:kern w:val="2"/>
                <w:sz w:val="21"/>
                <w:szCs w:val="21"/>
              </w:rPr>
              <w:t>Imperata cylindrica (L.) Beauv.</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0.85</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2</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芒萁(</w:t>
            </w:r>
            <w:r>
              <w:rPr>
                <w:rFonts w:ascii="Times New Roman" w:cs="Times New Roman"/>
                <w:i/>
                <w:iCs/>
                <w:kern w:val="2"/>
                <w:sz w:val="21"/>
                <w:szCs w:val="21"/>
              </w:rPr>
              <w:t>Dicranopteris dichotoma</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0.4</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1</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野青茅（</w:t>
            </w:r>
            <w:r>
              <w:rPr>
                <w:rFonts w:ascii="Times New Roman" w:cs="Times New Roman"/>
                <w:i/>
                <w:iCs/>
                <w:kern w:val="2"/>
                <w:sz w:val="21"/>
                <w:szCs w:val="21"/>
              </w:rPr>
              <w:t>Deyeuxia arundinacea (L.) Beauv.</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0.8</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Sol.</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苔草（</w:t>
            </w:r>
            <w:r>
              <w:rPr>
                <w:rFonts w:ascii="Times New Roman" w:cs="Times New Roman"/>
                <w:i/>
                <w:iCs/>
                <w:kern w:val="2"/>
                <w:sz w:val="21"/>
                <w:szCs w:val="21"/>
              </w:rPr>
              <w:t>Carex tristachya</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0.6</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Un.</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荩草（</w:t>
            </w:r>
            <w:r>
              <w:rPr>
                <w:rFonts w:ascii="Times New Roman" w:cs="Times New Roman"/>
                <w:i/>
                <w:iCs/>
                <w:kern w:val="2"/>
                <w:sz w:val="21"/>
                <w:szCs w:val="21"/>
              </w:rPr>
              <w:t>Gramineae </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360" w:firstLineChars="0"/>
              <w:rPr>
                <w:rFonts w:ascii="Times New Roman" w:cs="Times New Roman"/>
                <w:bCs/>
                <w:kern w:val="2"/>
                <w:sz w:val="21"/>
                <w:szCs w:val="21"/>
              </w:rPr>
            </w:pPr>
            <w:r>
              <w:rPr>
                <w:rFonts w:ascii="Times New Roman" w:cs="Times New Roman"/>
                <w:bCs/>
                <w:kern w:val="2"/>
                <w:sz w:val="21"/>
                <w:szCs w:val="21"/>
              </w:rPr>
              <w:t>1.2</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Un.</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bl>
    <w:p>
      <w:pPr>
        <w:topLinePunct w:val="0"/>
        <w:adjustRightInd/>
        <w:spacing w:line="500" w:lineRule="exact"/>
        <w:ind w:left="60" w:right="100" w:firstLine="482" w:firstLineChars="0"/>
        <w:jc w:val="center"/>
        <w:rPr>
          <w:rFonts w:ascii="Times New Roman" w:cs="Times New Roman"/>
          <w:b/>
          <w:kern w:val="2"/>
          <w:sz w:val="21"/>
          <w:szCs w:val="20"/>
        </w:rPr>
      </w:pPr>
      <w:r>
        <w:rPr>
          <w:rFonts w:ascii="Times New Roman" w:cs="Times New Roman"/>
          <w:b/>
          <w:kern w:val="2"/>
          <w:sz w:val="21"/>
          <w:szCs w:val="20"/>
        </w:rPr>
        <w:t>样方</w:t>
      </w:r>
      <w:r>
        <w:rPr>
          <w:rFonts w:hint="eastAsia" w:ascii="Times New Roman" w:cs="Times New Roman"/>
          <w:b/>
          <w:kern w:val="2"/>
          <w:sz w:val="21"/>
          <w:szCs w:val="20"/>
        </w:rPr>
        <w:t xml:space="preserve">5 </w:t>
      </w:r>
      <w:r>
        <w:rPr>
          <w:rFonts w:ascii="Times New Roman" w:cs="Times New Roman"/>
          <w:b/>
          <w:kern w:val="2"/>
          <w:sz w:val="21"/>
          <w:szCs w:val="20"/>
        </w:rPr>
        <w:t>槲栎灌丛</w:t>
      </w:r>
      <w:r>
        <w:rPr>
          <w:rFonts w:hint="eastAsia" w:ascii="Times New Roman" w:cs="Times New Roman"/>
          <w:b/>
          <w:kern w:val="2"/>
          <w:sz w:val="21"/>
          <w:szCs w:val="20"/>
        </w:rPr>
        <w:t>群落样方表</w:t>
      </w:r>
    </w:p>
    <w:tbl>
      <w:tblPr>
        <w:tblStyle w:val="57"/>
        <w:tblW w:w="94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0"/>
        <w:gridCol w:w="3928"/>
        <w:gridCol w:w="703"/>
        <w:gridCol w:w="481"/>
        <w:gridCol w:w="621"/>
        <w:gridCol w:w="648"/>
        <w:gridCol w:w="550"/>
        <w:gridCol w:w="523"/>
        <w:gridCol w:w="659"/>
        <w:gridCol w:w="7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57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坐标</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107.8189，31.5527</w:t>
            </w:r>
          </w:p>
        </w:tc>
        <w:tc>
          <w:tcPr>
            <w:tcW w:w="70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海拔(m)</w:t>
            </w:r>
          </w:p>
        </w:tc>
        <w:tc>
          <w:tcPr>
            <w:tcW w:w="481"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648</w:t>
            </w:r>
          </w:p>
        </w:tc>
        <w:tc>
          <w:tcPr>
            <w:tcW w:w="621"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土壤类型</w:t>
            </w:r>
          </w:p>
        </w:tc>
        <w:tc>
          <w:tcPr>
            <w:tcW w:w="648" w:type="dxa"/>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酸性土</w:t>
            </w:r>
          </w:p>
        </w:tc>
        <w:tc>
          <w:tcPr>
            <w:tcW w:w="5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坡度</w:t>
            </w:r>
          </w:p>
        </w:tc>
        <w:tc>
          <w:tcPr>
            <w:tcW w:w="52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5</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坡向</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NE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中文名</w:t>
            </w:r>
            <w:r>
              <w:rPr>
                <w:rFonts w:hint="eastAsia" w:ascii="Times New Roman" w:cs="Times New Roman"/>
                <w:bCs/>
                <w:kern w:val="2"/>
                <w:sz w:val="21"/>
                <w:szCs w:val="21"/>
              </w:rPr>
              <w:t>（</w:t>
            </w:r>
            <w:r>
              <w:rPr>
                <w:rFonts w:ascii="Times New Roman" w:cs="Times New Roman"/>
                <w:bCs/>
                <w:kern w:val="2"/>
                <w:sz w:val="21"/>
                <w:szCs w:val="21"/>
              </w:rPr>
              <w:t>拉丁名</w:t>
            </w:r>
            <w:r>
              <w:rPr>
                <w:rFonts w:hint="eastAsia" w:ascii="Times New Roman" w:cs="Times New Roman"/>
                <w:bCs/>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平均高度m</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株数/多度</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平均胸径cm</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冠幅</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茂盛</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灌木层</w:t>
            </w:r>
          </w:p>
        </w:tc>
        <w:tc>
          <w:tcPr>
            <w:tcW w:w="3928" w:type="dxa"/>
            <w:vAlign w:val="center"/>
          </w:tcPr>
          <w:p>
            <w:pPr>
              <w:topLinePunct w:val="0"/>
              <w:adjustRightInd/>
              <w:spacing w:line="240" w:lineRule="auto"/>
              <w:ind w:firstLine="0" w:firstLineChars="0"/>
              <w:jc w:val="center"/>
              <w:rPr>
                <w:rFonts w:ascii="Times New Roman" w:cs="Times New Roman"/>
                <w:b/>
                <w:kern w:val="2"/>
                <w:sz w:val="21"/>
                <w:szCs w:val="21"/>
              </w:rPr>
            </w:pPr>
            <w:r>
              <w:rPr>
                <w:rFonts w:ascii="Times New Roman" w:cs="Times New Roman"/>
                <w:kern w:val="2"/>
                <w:sz w:val="21"/>
                <w:szCs w:val="21"/>
              </w:rPr>
              <w:t>槲栎（</w:t>
            </w:r>
            <w:r>
              <w:rPr>
                <w:rFonts w:ascii="Times New Roman" w:cs="Times New Roman"/>
                <w:i/>
                <w:iCs/>
                <w:kern w:val="2"/>
                <w:sz w:val="21"/>
                <w:szCs w:val="21"/>
              </w:rPr>
              <w:t>Quercus aliena</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2.5</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12</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3.5</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毛黄栌（</w:t>
            </w:r>
            <w:r>
              <w:rPr>
                <w:rFonts w:ascii="Times New Roman" w:cs="Times New Roman"/>
                <w:i/>
                <w:iCs/>
                <w:kern w:val="2"/>
                <w:sz w:val="21"/>
                <w:szCs w:val="21"/>
              </w:rPr>
              <w:t>Cotinus coggygria var.pubescens</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2.0</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4</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2.5</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草本层</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栗褐苔草（</w:t>
            </w:r>
            <w:r>
              <w:rPr>
                <w:rFonts w:ascii="Times New Roman" w:cs="Times New Roman"/>
                <w:i/>
                <w:iCs/>
                <w:kern w:val="2"/>
                <w:sz w:val="21"/>
                <w:szCs w:val="21"/>
              </w:rPr>
              <w:t>Carex brunnea Thunb.</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w:t>
            </w:r>
            <w:r>
              <w:rPr>
                <w:rFonts w:hint="eastAsia" w:ascii="Times New Roman" w:cs="Times New Roman"/>
                <w:bCs/>
                <w:kern w:val="2"/>
                <w:sz w:val="21"/>
                <w:szCs w:val="21"/>
              </w:rPr>
              <w:t>8</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Soc</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披针叶苔草（</w:t>
            </w:r>
            <w:r>
              <w:rPr>
                <w:rFonts w:ascii="Times New Roman" w:cs="Times New Roman"/>
                <w:i/>
                <w:iCs/>
                <w:kern w:val="2"/>
                <w:sz w:val="21"/>
                <w:szCs w:val="21"/>
              </w:rPr>
              <w:t>Carex lanceolata</w:t>
            </w:r>
            <w:r>
              <w:rPr>
                <w:rFonts w:ascii="Times New Roman" w:cs="Times New Roman"/>
                <w:i/>
                <w:iCs/>
                <w:kern w:val="2"/>
                <w:sz w:val="21"/>
                <w:szCs w:val="21"/>
              </w:rPr>
              <w:tab/>
            </w:r>
            <w:r>
              <w:rPr>
                <w:rFonts w:ascii="Times New Roman" w:cs="Times New Roman"/>
                <w:i/>
                <w:iCs/>
                <w:kern w:val="2"/>
                <w:sz w:val="21"/>
                <w:szCs w:val="21"/>
              </w:rPr>
              <w:t>Boott</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w:t>
            </w:r>
            <w:r>
              <w:rPr>
                <w:rFonts w:hint="eastAsia" w:ascii="Times New Roman" w:cs="Times New Roman"/>
                <w:bCs/>
                <w:kern w:val="2"/>
                <w:sz w:val="21"/>
                <w:szCs w:val="21"/>
              </w:rPr>
              <w:t>6</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Cop</w:t>
            </w:r>
            <w:r>
              <w:rPr>
                <w:rFonts w:hint="eastAsia" w:ascii="Times New Roman" w:cs="Times New Roman"/>
                <w:bCs/>
                <w:kern w:val="2"/>
                <w:sz w:val="21"/>
                <w:szCs w:val="21"/>
                <w:vertAlign w:val="subscript"/>
              </w:rPr>
              <w:t>2</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黄茅（</w:t>
            </w:r>
            <w:r>
              <w:rPr>
                <w:rFonts w:ascii="Times New Roman" w:cs="Times New Roman"/>
                <w:i/>
                <w:iCs/>
                <w:kern w:val="2"/>
                <w:sz w:val="21"/>
                <w:szCs w:val="21"/>
              </w:rPr>
              <w:t>Heteropogon</w:t>
            </w:r>
            <w:r>
              <w:rPr>
                <w:rFonts w:ascii="Times New Roman" w:cs="Times New Roman"/>
                <w:i/>
                <w:iCs/>
                <w:kern w:val="2"/>
                <w:sz w:val="21"/>
                <w:szCs w:val="21"/>
              </w:rPr>
              <w:tab/>
            </w:r>
            <w:r>
              <w:rPr>
                <w:rFonts w:ascii="Times New Roman" w:cs="Times New Roman"/>
                <w:i/>
                <w:iCs/>
                <w:kern w:val="2"/>
                <w:sz w:val="21"/>
                <w:szCs w:val="21"/>
              </w:rPr>
              <w:t>contortus</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0.5</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w:t>
            </w:r>
            <w:r>
              <w:rPr>
                <w:rFonts w:hint="eastAsia" w:ascii="Times New Roman" w:cs="Times New Roman"/>
                <w:bCs/>
                <w:kern w:val="2"/>
                <w:sz w:val="21"/>
                <w:szCs w:val="21"/>
              </w:rPr>
              <w:t>p</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画眉草（</w:t>
            </w:r>
            <w:r>
              <w:rPr>
                <w:rFonts w:ascii="Times New Roman" w:cs="Times New Roman"/>
                <w:i/>
                <w:iCs/>
                <w:kern w:val="2"/>
                <w:sz w:val="21"/>
                <w:szCs w:val="21"/>
              </w:rPr>
              <w:t>Eragrostis pilosa(L.)Beauv.</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0.5</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Sol.</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bl>
    <w:p>
      <w:pPr>
        <w:topLinePunct w:val="0"/>
        <w:adjustRightInd/>
        <w:spacing w:line="500" w:lineRule="exact"/>
        <w:ind w:left="60" w:right="100" w:firstLine="482" w:firstLineChars="0"/>
        <w:jc w:val="center"/>
        <w:rPr>
          <w:rFonts w:ascii="Times New Roman" w:cs="Times New Roman"/>
          <w:b/>
          <w:kern w:val="2"/>
          <w:sz w:val="21"/>
          <w:szCs w:val="20"/>
        </w:rPr>
      </w:pPr>
      <w:r>
        <w:rPr>
          <w:rFonts w:ascii="Times New Roman" w:cs="Times New Roman"/>
          <w:b/>
          <w:kern w:val="2"/>
          <w:sz w:val="21"/>
          <w:szCs w:val="20"/>
        </w:rPr>
        <w:t>样方</w:t>
      </w:r>
      <w:r>
        <w:rPr>
          <w:rFonts w:hint="eastAsia" w:ascii="Times New Roman" w:cs="Times New Roman"/>
          <w:b/>
          <w:kern w:val="2"/>
          <w:sz w:val="21"/>
          <w:szCs w:val="20"/>
        </w:rPr>
        <w:t xml:space="preserve">6  </w:t>
      </w:r>
      <w:r>
        <w:rPr>
          <w:rFonts w:hint="eastAsia"/>
          <w:b/>
          <w:szCs w:val="20"/>
        </w:rPr>
        <w:t>火棘</w:t>
      </w:r>
      <w:r>
        <w:rPr>
          <w:b/>
          <w:szCs w:val="20"/>
        </w:rPr>
        <w:t>灌丛</w:t>
      </w:r>
      <w:r>
        <w:rPr>
          <w:rFonts w:hint="eastAsia"/>
          <w:b/>
          <w:szCs w:val="20"/>
        </w:rPr>
        <w:t>群落样方表</w:t>
      </w:r>
    </w:p>
    <w:tbl>
      <w:tblPr>
        <w:tblStyle w:val="57"/>
        <w:tblW w:w="94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0"/>
        <w:gridCol w:w="3928"/>
        <w:gridCol w:w="703"/>
        <w:gridCol w:w="481"/>
        <w:gridCol w:w="621"/>
        <w:gridCol w:w="648"/>
        <w:gridCol w:w="550"/>
        <w:gridCol w:w="523"/>
        <w:gridCol w:w="659"/>
        <w:gridCol w:w="7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57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坐标</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107.8219，31.5529</w:t>
            </w:r>
          </w:p>
        </w:tc>
        <w:tc>
          <w:tcPr>
            <w:tcW w:w="70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海拔(m)</w:t>
            </w:r>
          </w:p>
        </w:tc>
        <w:tc>
          <w:tcPr>
            <w:tcW w:w="481"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622</w:t>
            </w:r>
          </w:p>
        </w:tc>
        <w:tc>
          <w:tcPr>
            <w:tcW w:w="621" w:type="dxa"/>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土壤类型</w:t>
            </w:r>
          </w:p>
        </w:tc>
        <w:tc>
          <w:tcPr>
            <w:tcW w:w="648" w:type="dxa"/>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碱性土</w:t>
            </w:r>
          </w:p>
        </w:tc>
        <w:tc>
          <w:tcPr>
            <w:tcW w:w="5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坡度</w:t>
            </w:r>
          </w:p>
        </w:tc>
        <w:tc>
          <w:tcPr>
            <w:tcW w:w="52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15</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坡向</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E</w:t>
            </w:r>
            <w:r>
              <w:rPr>
                <w:rFonts w:ascii="Times New Roman" w:cs="Times New Roman"/>
                <w:bCs/>
                <w:kern w:val="2"/>
                <w:sz w:val="21"/>
                <w:szCs w:val="21"/>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中文名</w:t>
            </w:r>
            <w:r>
              <w:rPr>
                <w:rFonts w:hint="eastAsia" w:ascii="Times New Roman" w:cs="Times New Roman"/>
                <w:bCs/>
                <w:kern w:val="2"/>
                <w:sz w:val="21"/>
                <w:szCs w:val="21"/>
              </w:rPr>
              <w:t>（</w:t>
            </w:r>
            <w:r>
              <w:rPr>
                <w:rFonts w:ascii="Times New Roman" w:cs="Times New Roman"/>
                <w:bCs/>
                <w:kern w:val="2"/>
                <w:sz w:val="21"/>
                <w:szCs w:val="21"/>
              </w:rPr>
              <w:t>拉丁名</w:t>
            </w:r>
            <w:r>
              <w:rPr>
                <w:rFonts w:hint="eastAsia" w:ascii="Times New Roman" w:cs="Times New Roman"/>
                <w:bCs/>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平均高度m</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株数/多度</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平均胸径cm</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冠幅</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茂盛</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灌木层</w:t>
            </w:r>
          </w:p>
        </w:tc>
        <w:tc>
          <w:tcPr>
            <w:tcW w:w="3928" w:type="dxa"/>
            <w:vAlign w:val="center"/>
          </w:tcPr>
          <w:p>
            <w:pPr>
              <w:topLinePunct w:val="0"/>
              <w:adjustRightInd/>
              <w:spacing w:line="240" w:lineRule="auto"/>
              <w:ind w:firstLine="0" w:firstLineChars="0"/>
              <w:jc w:val="center"/>
              <w:rPr>
                <w:rFonts w:ascii="Times New Roman" w:cs="Times New Roman"/>
                <w:b/>
                <w:kern w:val="2"/>
                <w:sz w:val="21"/>
                <w:szCs w:val="21"/>
              </w:rPr>
            </w:pPr>
            <w:r>
              <w:rPr>
                <w:rFonts w:ascii="Times New Roman" w:cs="Times New Roman"/>
                <w:bCs/>
                <w:sz w:val="21"/>
                <w:szCs w:val="21"/>
              </w:rPr>
              <w:t>火棘</w:t>
            </w:r>
            <w:r>
              <w:rPr>
                <w:rFonts w:ascii="Times New Roman" w:cs="Times New Roman"/>
                <w:i/>
                <w:iCs/>
                <w:kern w:val="2"/>
                <w:sz w:val="21"/>
                <w:szCs w:val="21"/>
              </w:rPr>
              <w:t>Pyracantha fortuneana</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r>
              <w:rPr>
                <w:rFonts w:hint="eastAsia" w:ascii="Times New Roman" w:cs="Times New Roman"/>
                <w:bCs/>
                <w:kern w:val="2"/>
                <w:sz w:val="21"/>
                <w:szCs w:val="21"/>
              </w:rPr>
              <w:t>5</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18</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r>
              <w:rPr>
                <w:rFonts w:hint="eastAsia" w:ascii="Times New Roman" w:cs="Times New Roman"/>
                <w:bCs/>
                <w:kern w:val="2"/>
                <w:sz w:val="21"/>
                <w:szCs w:val="21"/>
              </w:rPr>
              <w:t>4</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盐肤木（</w:t>
            </w:r>
            <w:r>
              <w:rPr>
                <w:rFonts w:ascii="Times New Roman" w:cs="Times New Roman"/>
                <w:i/>
                <w:iCs/>
                <w:kern w:val="2"/>
                <w:sz w:val="21"/>
                <w:szCs w:val="21"/>
              </w:rPr>
              <w:t>Rhus chinensis</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2</w:t>
            </w:r>
            <w:r>
              <w:rPr>
                <w:rFonts w:ascii="Times New Roman" w:cs="Times New Roman"/>
                <w:bCs/>
                <w:kern w:val="2"/>
                <w:sz w:val="21"/>
                <w:szCs w:val="21"/>
              </w:rPr>
              <w:t>.4</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3</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2</w:t>
            </w:r>
            <w:r>
              <w:rPr>
                <w:rFonts w:ascii="Times New Roman" w:cs="Times New Roman"/>
                <w:bCs/>
                <w:kern w:val="2"/>
                <w:sz w:val="21"/>
                <w:szCs w:val="21"/>
              </w:rPr>
              <w:t>.5</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金山荚蒾（</w:t>
            </w:r>
            <w:r>
              <w:rPr>
                <w:rFonts w:ascii="Times New Roman" w:cs="Times New Roman"/>
                <w:i/>
                <w:iCs/>
                <w:kern w:val="2"/>
                <w:sz w:val="21"/>
                <w:szCs w:val="21"/>
              </w:rPr>
              <w:t>Viburnum chinshanense</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w:t>
            </w:r>
            <w:r>
              <w:rPr>
                <w:rFonts w:hint="eastAsia" w:ascii="Times New Roman" w:cs="Times New Roman"/>
                <w:bCs/>
                <w:kern w:val="2"/>
                <w:sz w:val="21"/>
                <w:szCs w:val="21"/>
              </w:rPr>
              <w:t>0</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1.0</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草本层</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垂穗鹅观草（</w:t>
            </w:r>
            <w:r>
              <w:rPr>
                <w:rFonts w:ascii="Times New Roman" w:cs="Times New Roman"/>
                <w:i/>
                <w:iCs/>
                <w:kern w:val="2"/>
                <w:sz w:val="21"/>
                <w:szCs w:val="21"/>
              </w:rPr>
              <w:t>Roegneria nutans</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0.95</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Soc</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早熟禾（</w:t>
            </w:r>
            <w:r>
              <w:rPr>
                <w:rFonts w:ascii="Times New Roman" w:cs="Times New Roman"/>
                <w:i/>
                <w:iCs/>
                <w:kern w:val="2"/>
                <w:sz w:val="21"/>
                <w:szCs w:val="21"/>
              </w:rPr>
              <w:t>Poa annua</w:t>
            </w:r>
            <w:r>
              <w:rPr>
                <w:rFonts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0.85</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w:t>
            </w:r>
            <w:r>
              <w:rPr>
                <w:rFonts w:hint="eastAsia" w:ascii="Times New Roman" w:cs="Times New Roman"/>
                <w:bCs/>
                <w:kern w:val="2"/>
                <w:sz w:val="21"/>
                <w:szCs w:val="21"/>
              </w:rPr>
              <w:t>p</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芒草</w:t>
            </w:r>
            <w:r>
              <w:rPr>
                <w:rFonts w:hint="eastAsia" w:ascii="Times New Roman" w:cs="Times New Roman"/>
                <w:kern w:val="2"/>
                <w:sz w:val="21"/>
                <w:szCs w:val="21"/>
              </w:rPr>
              <w:t>（</w:t>
            </w:r>
            <w:r>
              <w:rPr>
                <w:rFonts w:ascii="Arial" w:hAnsi="Arial" w:cs="Arial"/>
                <w:kern w:val="2"/>
                <w:sz w:val="21"/>
                <w:szCs w:val="21"/>
                <w:shd w:val="clear" w:color="auto" w:fill="FFFFFF"/>
              </w:rPr>
              <w:t>Miscanthus</w:t>
            </w:r>
            <w:r>
              <w:rPr>
                <w:rFonts w:hint="eastAsia" w:ascii="Times New Roman" w:cs="Times New Roman"/>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0.4</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w:t>
            </w:r>
            <w:r>
              <w:rPr>
                <w:rFonts w:hint="eastAsia" w:ascii="Times New Roman" w:cs="Times New Roman"/>
                <w:bCs/>
                <w:kern w:val="2"/>
                <w:sz w:val="21"/>
                <w:szCs w:val="21"/>
              </w:rPr>
              <w:t>p</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bl>
    <w:p>
      <w:pPr>
        <w:topLinePunct w:val="0"/>
        <w:adjustRightInd/>
        <w:spacing w:line="500" w:lineRule="exact"/>
        <w:ind w:left="60" w:right="100" w:firstLine="482" w:firstLineChars="0"/>
        <w:jc w:val="center"/>
        <w:rPr>
          <w:rFonts w:ascii="Times New Roman" w:cs="Times New Roman"/>
          <w:b/>
          <w:kern w:val="2"/>
          <w:sz w:val="21"/>
          <w:szCs w:val="20"/>
        </w:rPr>
      </w:pPr>
      <w:r>
        <w:rPr>
          <w:rFonts w:ascii="Times New Roman" w:cs="Times New Roman"/>
          <w:b/>
          <w:kern w:val="2"/>
          <w:sz w:val="21"/>
          <w:szCs w:val="20"/>
        </w:rPr>
        <w:t>样方</w:t>
      </w:r>
      <w:r>
        <w:rPr>
          <w:rFonts w:hint="eastAsia" w:ascii="Times New Roman" w:cs="Times New Roman"/>
          <w:b/>
          <w:kern w:val="2"/>
          <w:sz w:val="21"/>
          <w:szCs w:val="20"/>
        </w:rPr>
        <w:t xml:space="preserve">7 </w:t>
      </w:r>
      <w:r>
        <w:rPr>
          <w:rFonts w:ascii="Times New Roman" w:cs="Times New Roman"/>
          <w:b/>
          <w:kern w:val="2"/>
          <w:sz w:val="21"/>
          <w:szCs w:val="20"/>
        </w:rPr>
        <w:t>马桑、黄荆、火棘</w:t>
      </w:r>
      <w:r>
        <w:rPr>
          <w:rFonts w:hint="eastAsia" w:ascii="Times New Roman" w:cs="Times New Roman"/>
          <w:b/>
          <w:kern w:val="2"/>
          <w:sz w:val="21"/>
          <w:szCs w:val="20"/>
        </w:rPr>
        <w:t>群落样方表</w:t>
      </w:r>
    </w:p>
    <w:tbl>
      <w:tblPr>
        <w:tblStyle w:val="57"/>
        <w:tblW w:w="94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0"/>
        <w:gridCol w:w="3928"/>
        <w:gridCol w:w="703"/>
        <w:gridCol w:w="481"/>
        <w:gridCol w:w="621"/>
        <w:gridCol w:w="648"/>
        <w:gridCol w:w="550"/>
        <w:gridCol w:w="523"/>
        <w:gridCol w:w="659"/>
        <w:gridCol w:w="7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57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坐标</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107.8265，31.5620</w:t>
            </w:r>
          </w:p>
        </w:tc>
        <w:tc>
          <w:tcPr>
            <w:tcW w:w="70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海拔(m)</w:t>
            </w:r>
          </w:p>
        </w:tc>
        <w:tc>
          <w:tcPr>
            <w:tcW w:w="481"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653</w:t>
            </w:r>
          </w:p>
        </w:tc>
        <w:tc>
          <w:tcPr>
            <w:tcW w:w="621"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土壤类型</w:t>
            </w:r>
          </w:p>
        </w:tc>
        <w:tc>
          <w:tcPr>
            <w:tcW w:w="648" w:type="dxa"/>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壤土</w:t>
            </w:r>
          </w:p>
        </w:tc>
        <w:tc>
          <w:tcPr>
            <w:tcW w:w="5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坡度</w:t>
            </w:r>
          </w:p>
        </w:tc>
        <w:tc>
          <w:tcPr>
            <w:tcW w:w="52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5</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坡向</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NE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中文名</w:t>
            </w:r>
            <w:r>
              <w:rPr>
                <w:rFonts w:hint="eastAsia" w:ascii="Times New Roman" w:cs="Times New Roman"/>
                <w:bCs/>
                <w:kern w:val="2"/>
                <w:sz w:val="21"/>
                <w:szCs w:val="21"/>
              </w:rPr>
              <w:t>（</w:t>
            </w:r>
            <w:r>
              <w:rPr>
                <w:rFonts w:ascii="Times New Roman" w:cs="Times New Roman"/>
                <w:bCs/>
                <w:kern w:val="2"/>
                <w:sz w:val="21"/>
                <w:szCs w:val="21"/>
              </w:rPr>
              <w:t>拉丁名</w:t>
            </w:r>
            <w:r>
              <w:rPr>
                <w:rFonts w:hint="eastAsia" w:ascii="Times New Roman" w:cs="Times New Roman"/>
                <w:bCs/>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平均高度m</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株数/多度</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平均胸径cm</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冠幅</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茂盛</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灌木层</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马桑</w:t>
            </w:r>
            <w:r>
              <w:rPr>
                <w:rFonts w:ascii="Times New Roman" w:cs="Times New Roman"/>
                <w:i/>
                <w:iCs/>
                <w:kern w:val="2"/>
                <w:sz w:val="21"/>
                <w:szCs w:val="21"/>
              </w:rPr>
              <w:t>Coriaria nepalensis</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2.5</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15</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1.0</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sz w:val="21"/>
                <w:szCs w:val="21"/>
              </w:rPr>
            </w:pPr>
            <w:r>
              <w:rPr>
                <w:rFonts w:ascii="Times New Roman" w:cs="Times New Roman"/>
                <w:bCs/>
                <w:sz w:val="21"/>
                <w:szCs w:val="21"/>
              </w:rPr>
              <w:t>黄荆</w:t>
            </w:r>
            <w:r>
              <w:rPr>
                <w:rFonts w:ascii="Times New Roman" w:cs="Times New Roman"/>
                <w:i/>
                <w:iCs/>
                <w:kern w:val="2"/>
                <w:sz w:val="21"/>
                <w:szCs w:val="21"/>
              </w:rPr>
              <w:t>Vitex negundo</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1.8</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8</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1.0</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火棘</w:t>
            </w:r>
            <w:r>
              <w:rPr>
                <w:rFonts w:ascii="Times New Roman" w:cs="Times New Roman"/>
                <w:i/>
                <w:iCs/>
                <w:kern w:val="2"/>
                <w:sz w:val="21"/>
                <w:szCs w:val="21"/>
              </w:rPr>
              <w:t>Pyracantha fortuneana</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1.5</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6</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1.5</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美丽胡枝子</w:t>
            </w:r>
            <w:r>
              <w:rPr>
                <w:rFonts w:ascii="Times New Roman" w:cs="Times New Roman"/>
                <w:i/>
                <w:iCs/>
                <w:kern w:val="2"/>
                <w:sz w:val="21"/>
                <w:szCs w:val="21"/>
              </w:rPr>
              <w:t>Lespedeza formosa</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1.2</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2</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2.0</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山胡椒</w:t>
            </w:r>
            <w:r>
              <w:rPr>
                <w:rFonts w:ascii="Times New Roman" w:cs="Times New Roman"/>
                <w:i/>
                <w:iCs/>
                <w:kern w:val="2"/>
                <w:sz w:val="21"/>
                <w:szCs w:val="21"/>
              </w:rPr>
              <w:t>Lindera sp.</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1.1</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2</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1.0</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草本层</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聚花过路黄</w:t>
            </w:r>
            <w:r>
              <w:rPr>
                <w:rFonts w:ascii="Times New Roman" w:cs="Times New Roman"/>
                <w:i/>
                <w:iCs/>
                <w:kern w:val="2"/>
                <w:sz w:val="21"/>
                <w:szCs w:val="21"/>
              </w:rPr>
              <w:t>Lysimachia congestiflora Hemsl.</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0.25</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Sol.</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蕺菜</w:t>
            </w:r>
            <w:r>
              <w:rPr>
                <w:rFonts w:ascii="Times New Roman" w:cs="Times New Roman"/>
                <w:i/>
                <w:iCs/>
                <w:kern w:val="2"/>
                <w:sz w:val="21"/>
                <w:szCs w:val="21"/>
              </w:rPr>
              <w:t>Houttuynia cordata Thunb</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0.6</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w:t>
            </w:r>
            <w:r>
              <w:rPr>
                <w:rFonts w:hint="eastAsia" w:ascii="Times New Roman" w:cs="Times New Roman"/>
                <w:bCs/>
                <w:kern w:val="2"/>
                <w:sz w:val="21"/>
                <w:szCs w:val="21"/>
              </w:rPr>
              <w:t>p</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草莓</w:t>
            </w:r>
            <w:r>
              <w:rPr>
                <w:rFonts w:ascii="Times New Roman" w:cs="Times New Roman"/>
                <w:i/>
                <w:iCs/>
                <w:kern w:val="2"/>
                <w:sz w:val="21"/>
                <w:szCs w:val="21"/>
              </w:rPr>
              <w:t>Fragaria ananassa Duch.</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0.4</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w:t>
            </w:r>
            <w:r>
              <w:rPr>
                <w:rFonts w:hint="eastAsia" w:ascii="Times New Roman" w:cs="Times New Roman"/>
                <w:bCs/>
                <w:kern w:val="2"/>
                <w:sz w:val="21"/>
                <w:szCs w:val="21"/>
              </w:rPr>
              <w:t>p</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葎草</w:t>
            </w:r>
            <w:r>
              <w:rPr>
                <w:rFonts w:ascii="Times New Roman" w:cs="Times New Roman"/>
                <w:i/>
                <w:iCs/>
                <w:kern w:val="2"/>
                <w:sz w:val="21"/>
                <w:szCs w:val="21"/>
              </w:rPr>
              <w:t>Humulus scandens</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0.4</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Un.</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毛蕨</w:t>
            </w:r>
            <w:r>
              <w:rPr>
                <w:rFonts w:ascii="Times New Roman" w:cs="Times New Roman"/>
                <w:i/>
                <w:iCs/>
                <w:kern w:val="2"/>
                <w:sz w:val="21"/>
                <w:szCs w:val="21"/>
              </w:rPr>
              <w:t>Cyclosorus interruptus (Willd.) H. Ito</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0.25</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Un.</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bl>
    <w:p>
      <w:pPr>
        <w:topLinePunct w:val="0"/>
        <w:adjustRightInd/>
        <w:spacing w:line="500" w:lineRule="exact"/>
        <w:ind w:left="60" w:right="100" w:firstLine="482" w:firstLineChars="0"/>
        <w:jc w:val="center"/>
        <w:rPr>
          <w:rFonts w:ascii="Times New Roman" w:cs="Times New Roman"/>
          <w:b/>
          <w:kern w:val="2"/>
          <w:sz w:val="21"/>
          <w:szCs w:val="20"/>
        </w:rPr>
      </w:pPr>
      <w:r>
        <w:rPr>
          <w:rFonts w:ascii="Times New Roman" w:cs="Times New Roman"/>
          <w:b/>
          <w:kern w:val="2"/>
          <w:sz w:val="21"/>
          <w:szCs w:val="20"/>
        </w:rPr>
        <w:t>样方</w:t>
      </w:r>
      <w:r>
        <w:rPr>
          <w:rFonts w:hint="eastAsia" w:ascii="Times New Roman" w:cs="Times New Roman"/>
          <w:b/>
          <w:kern w:val="2"/>
          <w:sz w:val="21"/>
          <w:szCs w:val="20"/>
        </w:rPr>
        <w:t xml:space="preserve">8 </w:t>
      </w:r>
      <w:r>
        <w:rPr>
          <w:b/>
          <w:szCs w:val="20"/>
        </w:rPr>
        <w:t>白茅、五节芒、野古草</w:t>
      </w:r>
      <w:r>
        <w:rPr>
          <w:rFonts w:hint="eastAsia"/>
          <w:b/>
          <w:szCs w:val="20"/>
        </w:rPr>
        <w:t>群落样方表</w:t>
      </w:r>
    </w:p>
    <w:tbl>
      <w:tblPr>
        <w:tblStyle w:val="57"/>
        <w:tblW w:w="94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0"/>
        <w:gridCol w:w="3928"/>
        <w:gridCol w:w="703"/>
        <w:gridCol w:w="481"/>
        <w:gridCol w:w="621"/>
        <w:gridCol w:w="648"/>
        <w:gridCol w:w="550"/>
        <w:gridCol w:w="523"/>
        <w:gridCol w:w="659"/>
        <w:gridCol w:w="7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57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坐标</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107.8300，31.5621</w:t>
            </w:r>
          </w:p>
        </w:tc>
        <w:tc>
          <w:tcPr>
            <w:tcW w:w="70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海拔(m)</w:t>
            </w:r>
          </w:p>
        </w:tc>
        <w:tc>
          <w:tcPr>
            <w:tcW w:w="481"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562</w:t>
            </w:r>
          </w:p>
        </w:tc>
        <w:tc>
          <w:tcPr>
            <w:tcW w:w="621"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土壤类型</w:t>
            </w:r>
          </w:p>
        </w:tc>
        <w:tc>
          <w:tcPr>
            <w:tcW w:w="648" w:type="dxa"/>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壤土</w:t>
            </w:r>
          </w:p>
        </w:tc>
        <w:tc>
          <w:tcPr>
            <w:tcW w:w="5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坡度</w:t>
            </w:r>
          </w:p>
        </w:tc>
        <w:tc>
          <w:tcPr>
            <w:tcW w:w="52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25</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坡向</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中文名</w:t>
            </w:r>
            <w:r>
              <w:rPr>
                <w:rFonts w:hint="eastAsia" w:ascii="Times New Roman" w:cs="Times New Roman"/>
                <w:bCs/>
                <w:kern w:val="2"/>
                <w:sz w:val="21"/>
                <w:szCs w:val="21"/>
              </w:rPr>
              <w:t>（</w:t>
            </w:r>
            <w:r>
              <w:rPr>
                <w:rFonts w:ascii="Times New Roman" w:cs="Times New Roman"/>
                <w:bCs/>
                <w:kern w:val="2"/>
                <w:sz w:val="21"/>
                <w:szCs w:val="21"/>
              </w:rPr>
              <w:t>拉丁名</w:t>
            </w:r>
            <w:r>
              <w:rPr>
                <w:rFonts w:hint="eastAsia" w:ascii="Times New Roman" w:cs="Times New Roman"/>
                <w:bCs/>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平均高度m</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株数/多度</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平均胸径cm</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冠幅</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茂盛</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草本层</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白茅</w:t>
            </w:r>
            <w:r>
              <w:rPr>
                <w:rFonts w:ascii="Times New Roman" w:cs="Times New Roman"/>
                <w:bCs/>
                <w:i/>
                <w:iCs/>
                <w:kern w:val="2"/>
                <w:sz w:val="21"/>
                <w:szCs w:val="21"/>
              </w:rPr>
              <w:t>Imperata cylindrica.</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w:t>
            </w:r>
            <w:r>
              <w:rPr>
                <w:rFonts w:hint="eastAsia" w:ascii="Times New Roman" w:cs="Times New Roman"/>
                <w:bCs/>
                <w:kern w:val="2"/>
                <w:sz w:val="21"/>
                <w:szCs w:val="21"/>
              </w:rPr>
              <w:t>8</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Soc</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五节芒</w:t>
            </w:r>
            <w:r>
              <w:rPr>
                <w:rFonts w:ascii="Times New Roman" w:cs="Times New Roman"/>
                <w:bCs/>
                <w:i/>
                <w:iCs/>
                <w:kern w:val="2"/>
                <w:sz w:val="21"/>
                <w:szCs w:val="21"/>
              </w:rPr>
              <w:t>Miscanthus floridulus</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w:t>
            </w:r>
            <w:r>
              <w:rPr>
                <w:rFonts w:hint="eastAsia" w:ascii="Times New Roman" w:cs="Times New Roman"/>
                <w:bCs/>
                <w:kern w:val="2"/>
                <w:sz w:val="21"/>
                <w:szCs w:val="21"/>
              </w:rPr>
              <w:t>40</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1</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野古草</w:t>
            </w:r>
            <w:r>
              <w:rPr>
                <w:rFonts w:ascii="Times New Roman" w:cs="Times New Roman"/>
                <w:bCs/>
                <w:i/>
                <w:iCs/>
                <w:kern w:val="2"/>
                <w:sz w:val="21"/>
                <w:szCs w:val="21"/>
              </w:rPr>
              <w:t>Arundinella anomala</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w:t>
            </w:r>
            <w:r>
              <w:rPr>
                <w:rFonts w:hint="eastAsia" w:ascii="Times New Roman" w:cs="Times New Roman"/>
                <w:bCs/>
                <w:kern w:val="2"/>
                <w:sz w:val="21"/>
                <w:szCs w:val="21"/>
              </w:rPr>
              <w:t>55</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1</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黄背草</w:t>
            </w:r>
            <w:r>
              <w:rPr>
                <w:rFonts w:ascii="Times New Roman" w:cs="Times New Roman"/>
                <w:bCs/>
                <w:i/>
                <w:iCs/>
                <w:kern w:val="2"/>
                <w:sz w:val="21"/>
                <w:szCs w:val="21"/>
              </w:rPr>
              <w:t>Themeda triandra Forsk. Var. Japonica</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w:t>
            </w:r>
            <w:r>
              <w:rPr>
                <w:rFonts w:hint="eastAsia" w:ascii="Times New Roman" w:cs="Times New Roman"/>
                <w:bCs/>
                <w:kern w:val="2"/>
                <w:sz w:val="21"/>
                <w:szCs w:val="21"/>
              </w:rPr>
              <w:t>6</w:t>
            </w:r>
            <w:r>
              <w:rPr>
                <w:rFonts w:ascii="Times New Roman" w:cs="Times New Roman"/>
                <w:bCs/>
                <w:kern w:val="2"/>
                <w:sz w:val="21"/>
                <w:szCs w:val="21"/>
              </w:rPr>
              <w:t>5</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Sol.</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聚花过路黄</w:t>
            </w:r>
            <w:r>
              <w:rPr>
                <w:rFonts w:ascii="Times New Roman" w:cs="Times New Roman"/>
                <w:i/>
                <w:iCs/>
                <w:kern w:val="2"/>
                <w:sz w:val="21"/>
                <w:szCs w:val="21"/>
              </w:rPr>
              <w:t>Lysimachia congestiflora Hemsl.</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w:t>
            </w:r>
            <w:r>
              <w:rPr>
                <w:rFonts w:hint="eastAsia" w:ascii="Times New Roman" w:cs="Times New Roman"/>
                <w:bCs/>
                <w:kern w:val="2"/>
                <w:sz w:val="21"/>
                <w:szCs w:val="21"/>
              </w:rPr>
              <w:t>40</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Sol.</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蕺菜</w:t>
            </w:r>
            <w:r>
              <w:rPr>
                <w:rFonts w:ascii="Times New Roman" w:cs="Times New Roman"/>
                <w:i/>
                <w:iCs/>
                <w:kern w:val="2"/>
                <w:sz w:val="21"/>
                <w:szCs w:val="21"/>
              </w:rPr>
              <w:t>Houttuynia cordata Thunb</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w:t>
            </w:r>
            <w:r>
              <w:rPr>
                <w:rFonts w:hint="eastAsia" w:ascii="Times New Roman" w:cs="Times New Roman"/>
                <w:bCs/>
                <w:kern w:val="2"/>
                <w:sz w:val="21"/>
                <w:szCs w:val="21"/>
              </w:rPr>
              <w:t>4</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Un.</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bCs/>
                <w:kern w:val="2"/>
                <w:sz w:val="21"/>
                <w:szCs w:val="21"/>
              </w:rPr>
              <w:t>斑茅</w:t>
            </w:r>
            <w:r>
              <w:rPr>
                <w:rFonts w:ascii="Times New Roman" w:cs="Times New Roman"/>
                <w:bCs/>
                <w:i/>
                <w:iCs/>
                <w:kern w:val="2"/>
                <w:sz w:val="21"/>
                <w:szCs w:val="21"/>
              </w:rPr>
              <w:t>Saccharum arundinaceum</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0.</w:t>
            </w:r>
            <w:r>
              <w:rPr>
                <w:rFonts w:hint="eastAsia" w:ascii="Times New Roman" w:cs="Times New Roman"/>
                <w:bCs/>
                <w:kern w:val="2"/>
                <w:sz w:val="21"/>
                <w:szCs w:val="21"/>
              </w:rPr>
              <w:t>50</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Un.</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bl>
    <w:p>
      <w:pPr>
        <w:topLinePunct w:val="0"/>
        <w:adjustRightInd/>
        <w:ind w:firstLine="422"/>
        <w:jc w:val="center"/>
        <w:rPr>
          <w:rFonts w:ascii="Times New Roman" w:cs="Times New Roman"/>
          <w:b/>
          <w:bCs/>
          <w:kern w:val="2"/>
          <w:sz w:val="21"/>
          <w:szCs w:val="21"/>
        </w:rPr>
      </w:pPr>
      <w:r>
        <w:rPr>
          <w:rFonts w:ascii="Times New Roman" w:cs="Times New Roman"/>
          <w:b/>
          <w:kern w:val="2"/>
          <w:sz w:val="21"/>
          <w:szCs w:val="20"/>
        </w:rPr>
        <w:t>样方</w:t>
      </w:r>
      <w:r>
        <w:rPr>
          <w:rFonts w:hint="eastAsia" w:ascii="Times New Roman" w:cs="Times New Roman"/>
          <w:b/>
          <w:kern w:val="2"/>
          <w:sz w:val="21"/>
          <w:szCs w:val="20"/>
        </w:rPr>
        <w:t>9</w:t>
      </w:r>
      <w:r>
        <w:rPr>
          <w:rFonts w:ascii="Times New Roman" w:cs="Times New Roman"/>
          <w:b/>
          <w:bCs/>
          <w:kern w:val="2"/>
          <w:sz w:val="21"/>
          <w:szCs w:val="21"/>
        </w:rPr>
        <w:t xml:space="preserve"> 芒、蕨、芒萁</w:t>
      </w:r>
      <w:r>
        <w:rPr>
          <w:rFonts w:hint="eastAsia" w:ascii="Times New Roman" w:cs="Times New Roman"/>
          <w:b/>
          <w:bCs/>
          <w:kern w:val="2"/>
          <w:sz w:val="21"/>
          <w:szCs w:val="21"/>
        </w:rPr>
        <w:t>群落样方表</w:t>
      </w:r>
    </w:p>
    <w:tbl>
      <w:tblPr>
        <w:tblStyle w:val="57"/>
        <w:tblW w:w="94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0"/>
        <w:gridCol w:w="3928"/>
        <w:gridCol w:w="703"/>
        <w:gridCol w:w="481"/>
        <w:gridCol w:w="621"/>
        <w:gridCol w:w="648"/>
        <w:gridCol w:w="550"/>
        <w:gridCol w:w="523"/>
        <w:gridCol w:w="659"/>
        <w:gridCol w:w="7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57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坐标</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107.8315，31.5600</w:t>
            </w:r>
          </w:p>
        </w:tc>
        <w:tc>
          <w:tcPr>
            <w:tcW w:w="70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海拔(m)</w:t>
            </w:r>
          </w:p>
        </w:tc>
        <w:tc>
          <w:tcPr>
            <w:tcW w:w="481"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542</w:t>
            </w:r>
          </w:p>
        </w:tc>
        <w:tc>
          <w:tcPr>
            <w:tcW w:w="621"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土壤类型</w:t>
            </w:r>
          </w:p>
        </w:tc>
        <w:tc>
          <w:tcPr>
            <w:tcW w:w="648" w:type="dxa"/>
            <w:vAlign w:val="center"/>
          </w:tcPr>
          <w:p>
            <w:pPr>
              <w:topLinePunct w:val="0"/>
              <w:adjustRightInd/>
              <w:spacing w:line="240" w:lineRule="auto"/>
              <w:ind w:firstLine="0" w:firstLineChars="0"/>
              <w:jc w:val="center"/>
              <w:rPr>
                <w:rFonts w:ascii="Times New Roman" w:cs="Times New Roman"/>
                <w:bCs/>
                <w:sz w:val="21"/>
                <w:szCs w:val="21"/>
              </w:rPr>
            </w:pPr>
            <w:r>
              <w:rPr>
                <w:rFonts w:hint="eastAsia" w:ascii="Times New Roman" w:cs="Times New Roman"/>
                <w:bCs/>
                <w:sz w:val="21"/>
                <w:szCs w:val="21"/>
              </w:rPr>
              <w:t>壤土</w:t>
            </w:r>
          </w:p>
        </w:tc>
        <w:tc>
          <w:tcPr>
            <w:tcW w:w="550"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坡度</w:t>
            </w:r>
          </w:p>
        </w:tc>
        <w:tc>
          <w:tcPr>
            <w:tcW w:w="52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5</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sz w:val="21"/>
                <w:szCs w:val="21"/>
              </w:rPr>
              <w:t>坡向</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SW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中文名</w:t>
            </w:r>
            <w:r>
              <w:rPr>
                <w:rFonts w:hint="eastAsia" w:ascii="Times New Roman" w:cs="Times New Roman"/>
                <w:bCs/>
                <w:kern w:val="2"/>
                <w:sz w:val="21"/>
                <w:szCs w:val="21"/>
              </w:rPr>
              <w:t>（</w:t>
            </w:r>
            <w:r>
              <w:rPr>
                <w:rFonts w:ascii="Times New Roman" w:cs="Times New Roman"/>
                <w:bCs/>
                <w:kern w:val="2"/>
                <w:sz w:val="21"/>
                <w:szCs w:val="21"/>
              </w:rPr>
              <w:t>拉丁名</w:t>
            </w:r>
            <w:r>
              <w:rPr>
                <w:rFonts w:hint="eastAsia" w:ascii="Times New Roman" w:cs="Times New Roman"/>
                <w:bCs/>
                <w:kern w:val="2"/>
                <w:sz w:val="21"/>
                <w:szCs w:val="21"/>
              </w:rPr>
              <w:t>）</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平均高度m</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株数/多度</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平均胸径cm</w:t>
            </w: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平均</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冠幅</w:t>
            </w: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茂盛</w:t>
            </w:r>
          </w:p>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restart"/>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草本层</w:t>
            </w: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芒</w:t>
            </w:r>
            <w:r>
              <w:rPr>
                <w:rFonts w:ascii="Times New Roman" w:cs="Times New Roman"/>
                <w:i/>
                <w:kern w:val="2"/>
                <w:sz w:val="21"/>
                <w:szCs w:val="21"/>
              </w:rPr>
              <w:t>Miscanthus sinensis</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hint="eastAsia" w:ascii="Times New Roman" w:cs="Times New Roman"/>
                <w:kern w:val="2"/>
                <w:sz w:val="21"/>
                <w:szCs w:val="21"/>
              </w:rPr>
              <w:t>1.20</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Soc</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蕨</w:t>
            </w:r>
            <w:r>
              <w:rPr>
                <w:rFonts w:ascii="Times New Roman" w:cs="Times New Roman"/>
                <w:i/>
                <w:iCs/>
                <w:kern w:val="2"/>
                <w:sz w:val="21"/>
                <w:szCs w:val="21"/>
              </w:rPr>
              <w:t>P.Aquilinum</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0.5</w:t>
            </w:r>
            <w:r>
              <w:rPr>
                <w:rFonts w:hint="eastAsia" w:ascii="Times New Roman" w:cs="Times New Roman"/>
                <w:kern w:val="2"/>
                <w:sz w:val="21"/>
                <w:szCs w:val="21"/>
              </w:rPr>
              <w:t>0</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1</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牛尾蒿</w:t>
            </w:r>
            <w:r>
              <w:rPr>
                <w:rFonts w:ascii="Times New Roman" w:cs="Times New Roman"/>
                <w:i/>
                <w:iCs/>
                <w:kern w:val="2"/>
                <w:sz w:val="21"/>
                <w:szCs w:val="21"/>
              </w:rPr>
              <w:t>Artemisia dubia Wall. ex Bess.</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0.4</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Sol.</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芒萁</w:t>
            </w:r>
            <w:r>
              <w:rPr>
                <w:rFonts w:ascii="Times New Roman" w:cs="Times New Roman"/>
                <w:i/>
                <w:iCs/>
                <w:kern w:val="2"/>
                <w:sz w:val="21"/>
                <w:szCs w:val="21"/>
              </w:rPr>
              <w:t>Dicranopteris dichotoma(Thunb.)Bernh.</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0.4</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Sol.</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70" w:type="dxa"/>
            <w:vMerge w:val="continue"/>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392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荩草</w:t>
            </w:r>
            <w:r>
              <w:rPr>
                <w:rFonts w:ascii="Times New Roman" w:cs="Times New Roman"/>
                <w:i/>
                <w:iCs/>
                <w:kern w:val="2"/>
                <w:sz w:val="21"/>
                <w:szCs w:val="21"/>
              </w:rPr>
              <w:t>Arthraxon hispidus (Thunb.) Makino</w:t>
            </w:r>
          </w:p>
        </w:tc>
        <w:tc>
          <w:tcPr>
            <w:tcW w:w="1805" w:type="dxa"/>
            <w:gridSpan w:val="3"/>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kern w:val="2"/>
                <w:sz w:val="21"/>
                <w:szCs w:val="21"/>
              </w:rPr>
              <w:t>0.25</w:t>
            </w:r>
          </w:p>
        </w:tc>
        <w:tc>
          <w:tcPr>
            <w:tcW w:w="648" w:type="dxa"/>
            <w:vAlign w:val="center"/>
          </w:tcPr>
          <w:p>
            <w:pPr>
              <w:topLinePunct w:val="0"/>
              <w:adjustRightInd/>
              <w:spacing w:line="240" w:lineRule="auto"/>
              <w:ind w:firstLine="0" w:firstLineChars="0"/>
              <w:jc w:val="center"/>
              <w:rPr>
                <w:rFonts w:ascii="Times New Roman" w:cs="Times New Roman"/>
                <w:bCs/>
                <w:kern w:val="2"/>
                <w:sz w:val="21"/>
                <w:szCs w:val="21"/>
              </w:rPr>
            </w:pPr>
            <w:r>
              <w:rPr>
                <w:rFonts w:ascii="Times New Roman" w:cs="Times New Roman"/>
                <w:bCs/>
                <w:kern w:val="2"/>
                <w:sz w:val="21"/>
                <w:szCs w:val="21"/>
              </w:rPr>
              <w:t>S</w:t>
            </w:r>
            <w:r>
              <w:rPr>
                <w:rFonts w:hint="eastAsia" w:ascii="Times New Roman" w:cs="Times New Roman"/>
                <w:bCs/>
                <w:kern w:val="2"/>
                <w:sz w:val="21"/>
                <w:szCs w:val="21"/>
              </w:rPr>
              <w:t>p</w:t>
            </w:r>
          </w:p>
        </w:tc>
        <w:tc>
          <w:tcPr>
            <w:tcW w:w="1073" w:type="dxa"/>
            <w:gridSpan w:val="2"/>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659" w:type="dxa"/>
            <w:vAlign w:val="center"/>
          </w:tcPr>
          <w:p>
            <w:pPr>
              <w:topLinePunct w:val="0"/>
              <w:adjustRightInd/>
              <w:spacing w:line="240" w:lineRule="auto"/>
              <w:ind w:firstLine="0" w:firstLineChars="0"/>
              <w:jc w:val="center"/>
              <w:rPr>
                <w:rFonts w:ascii="Times New Roman" w:cs="Times New Roman"/>
                <w:bCs/>
                <w:kern w:val="2"/>
                <w:sz w:val="21"/>
                <w:szCs w:val="21"/>
              </w:rPr>
            </w:pPr>
          </w:p>
        </w:tc>
        <w:tc>
          <w:tcPr>
            <w:tcW w:w="743" w:type="dxa"/>
            <w:vAlign w:val="center"/>
          </w:tcPr>
          <w:p>
            <w:pPr>
              <w:topLinePunct w:val="0"/>
              <w:adjustRightInd/>
              <w:spacing w:line="240" w:lineRule="auto"/>
              <w:ind w:firstLine="0" w:firstLineChars="0"/>
              <w:jc w:val="center"/>
              <w:rPr>
                <w:rFonts w:ascii="Times New Roman" w:cs="Times New Roman"/>
                <w:bCs/>
                <w:kern w:val="2"/>
                <w:sz w:val="21"/>
                <w:szCs w:val="21"/>
              </w:rPr>
            </w:pPr>
          </w:p>
        </w:tc>
      </w:tr>
    </w:tbl>
    <w:p>
      <w:pPr>
        <w:topLinePunct w:val="0"/>
        <w:snapToGrid w:val="0"/>
        <w:spacing w:beforeLines="50"/>
        <w:ind w:firstLine="482"/>
        <w:rPr>
          <w:rFonts w:ascii="Times New Roman" w:cs="Times New Roman"/>
          <w:b/>
          <w:bCs/>
          <w:kern w:val="2"/>
          <w:lang w:val="de-DE"/>
        </w:rPr>
      </w:pPr>
      <w:r>
        <w:rPr>
          <w:rFonts w:hint="eastAsia" w:ascii="Times New Roman" w:cs="Times New Roman"/>
          <w:b/>
          <w:bCs/>
          <w:kern w:val="2"/>
        </w:rPr>
        <w:t>4</w:t>
      </w:r>
      <w:r>
        <w:rPr>
          <w:rFonts w:ascii="Times New Roman" w:cs="Times New Roman"/>
          <w:b/>
          <w:bCs/>
          <w:kern w:val="2"/>
        </w:rPr>
        <w:t>、项目评价范围</w:t>
      </w:r>
      <w:r>
        <w:rPr>
          <w:rFonts w:ascii="Times New Roman" w:cs="Times New Roman"/>
          <w:b/>
          <w:bCs/>
          <w:kern w:val="2"/>
          <w:lang w:val="de-DE"/>
        </w:rPr>
        <w:t>植被的基本特征</w:t>
      </w:r>
    </w:p>
    <w:p>
      <w:pPr>
        <w:topLinePunct w:val="0"/>
        <w:adjustRightInd/>
        <w:spacing w:line="480" w:lineRule="exact"/>
        <w:ind w:firstLine="480"/>
        <w:rPr>
          <w:rFonts w:ascii="Times New Roman" w:cs="Times New Roman"/>
          <w:kern w:val="2"/>
          <w:lang w:val="de-DE"/>
        </w:rPr>
      </w:pPr>
      <w:r>
        <w:rPr>
          <w:rFonts w:ascii="Times New Roman" w:cs="Times New Roman"/>
          <w:kern w:val="2"/>
          <w:lang w:val="de-DE"/>
        </w:rPr>
        <w:t>根据对评价范围进行的植被考察和若干重点地区代表类型的样方调查，可知区域内植被具有以下特征：</w:t>
      </w:r>
    </w:p>
    <w:p>
      <w:pPr>
        <w:topLinePunct w:val="0"/>
        <w:adjustRightInd/>
        <w:spacing w:line="480" w:lineRule="exact"/>
        <w:ind w:firstLine="480"/>
        <w:rPr>
          <w:rFonts w:ascii="Times New Roman" w:cs="Times New Roman"/>
          <w:kern w:val="2"/>
        </w:rPr>
      </w:pPr>
      <w:r>
        <w:rPr>
          <w:rFonts w:hint="eastAsia" w:ascii="Times New Roman" w:cs="Times New Roman"/>
          <w:kern w:val="2"/>
        </w:rPr>
        <w:t>（1）</w:t>
      </w:r>
      <w:r>
        <w:rPr>
          <w:rFonts w:ascii="Times New Roman" w:cs="Times New Roman"/>
          <w:kern w:val="2"/>
        </w:rPr>
        <w:t>植被次生性明显</w:t>
      </w:r>
    </w:p>
    <w:p>
      <w:pPr>
        <w:topLinePunct w:val="0"/>
        <w:adjustRightInd/>
        <w:spacing w:line="480" w:lineRule="exact"/>
        <w:ind w:firstLine="480"/>
        <w:rPr>
          <w:rFonts w:ascii="Times New Roman" w:cs="Times New Roman"/>
          <w:kern w:val="2"/>
        </w:rPr>
      </w:pPr>
      <w:r>
        <w:rPr>
          <w:rFonts w:ascii="Times New Roman" w:cs="Times New Roman"/>
          <w:kern w:val="2"/>
        </w:rPr>
        <w:t>评价范围在植被带谱上应为常绿阔叶林类型，但现有的常绿阔叶林面积很少，只有在人烟稀少、田头地角有残存的常绿阔叶林。评价区山体中上部经过近年来的人工造林和封山育林等工程，许多地方已经蔚然成林，多为山地针叶林带或者针叶阔叶混交林带，主要是</w:t>
      </w:r>
      <w:r>
        <w:rPr>
          <w:rFonts w:hint="eastAsia" w:ascii="Times New Roman" w:cs="Times New Roman"/>
          <w:kern w:val="2"/>
        </w:rPr>
        <w:t>以马尾松、杉木、柏木为主的</w:t>
      </w:r>
      <w:r>
        <w:rPr>
          <w:rFonts w:ascii="Times New Roman" w:cs="Times New Roman"/>
          <w:kern w:val="2"/>
        </w:rPr>
        <w:t>针叶林植被，</w:t>
      </w:r>
      <w:r>
        <w:rPr>
          <w:rFonts w:hint="eastAsia" w:ascii="Times New Roman" w:cs="Times New Roman"/>
          <w:kern w:val="2"/>
        </w:rPr>
        <w:t>以麻栎、青冈、枫香、响叶杨等为主的</w:t>
      </w:r>
      <w:r>
        <w:rPr>
          <w:rFonts w:ascii="Times New Roman" w:cs="Times New Roman"/>
          <w:kern w:val="2"/>
        </w:rPr>
        <w:t>阔叶林植被带，其群落结构大多具备有乔木、灌木、草本、地衣层，覆盖度基本保持在70%左右。次生灌丛则以盐肤木、黄荆、火棘、马桑、胡枝子、荚蒾、杨桐、蛇莓、算盘子、南天竹为主要的优势群落，草本优势种群主要是</w:t>
      </w:r>
      <w:r>
        <w:rPr>
          <w:rFonts w:hint="eastAsia" w:ascii="Times New Roman" w:cs="Times New Roman"/>
          <w:kern w:val="2"/>
        </w:rPr>
        <w:t>白茅、五节芒、斑茅、婆婆针、飞蓬、蛇莓、夏枯草、蛇含委陵草、鸡眼草</w:t>
      </w:r>
      <w:r>
        <w:rPr>
          <w:rFonts w:ascii="Times New Roman" w:cs="Times New Roman"/>
          <w:kern w:val="2"/>
        </w:rPr>
        <w:t>、芒萁、车轴草。在评价区海拔400m以下、坡度较缓的地带均已毁林开荒种植粮食作物，导致水土流失，自然条件发生变化，农业植被或者荒芜逐渐代替自然植被。</w:t>
      </w:r>
    </w:p>
    <w:p>
      <w:pPr>
        <w:topLinePunct w:val="0"/>
        <w:adjustRightInd/>
        <w:spacing w:line="480" w:lineRule="exact"/>
        <w:ind w:firstLine="480"/>
        <w:rPr>
          <w:rFonts w:ascii="Times New Roman" w:cs="Times New Roman"/>
          <w:kern w:val="2"/>
          <w:lang w:val="de-DE"/>
        </w:rPr>
      </w:pPr>
      <w:r>
        <w:rPr>
          <w:rFonts w:ascii="Times New Roman" w:cs="Times New Roman"/>
          <w:kern w:val="2"/>
          <w:lang w:val="de-DE"/>
        </w:rPr>
        <w:t>地带性常绿阔叶林的消失，使蕴藏其中的大部分珍稀动植物失去生存繁衍的环境，同时，植被的明显次生性，大面积人工种植的针叶林、落叶阔叶林以及次生的灌丛及灌草丛在评价区域的广泛分布，致使区内植被的生态效应的有效性、生物物种的多样性及植被生物量的丰富程度都受到一定的影响。</w:t>
      </w:r>
    </w:p>
    <w:p>
      <w:pPr>
        <w:topLinePunct w:val="0"/>
        <w:adjustRightInd/>
        <w:spacing w:line="480" w:lineRule="exact"/>
        <w:ind w:firstLine="480"/>
        <w:rPr>
          <w:rFonts w:ascii="Times New Roman" w:cs="Times New Roman"/>
          <w:kern w:val="2"/>
          <w:lang w:val="de-DE"/>
        </w:rPr>
      </w:pPr>
      <w:r>
        <w:rPr>
          <w:rFonts w:ascii="Times New Roman" w:cs="Times New Roman"/>
          <w:kern w:val="2"/>
          <w:lang w:val="de-DE"/>
        </w:rPr>
        <w:t>（</w:t>
      </w:r>
      <w:r>
        <w:rPr>
          <w:rFonts w:ascii="Times New Roman" w:cs="Times New Roman"/>
          <w:kern w:val="2"/>
        </w:rPr>
        <w:t>2</w:t>
      </w:r>
      <w:r>
        <w:rPr>
          <w:rFonts w:ascii="Times New Roman" w:cs="Times New Roman"/>
          <w:kern w:val="2"/>
          <w:lang w:val="de-DE"/>
        </w:rPr>
        <w:t>）森林植被覆盖率较低，质量欠佳且分布不均</w:t>
      </w:r>
    </w:p>
    <w:p>
      <w:pPr>
        <w:topLinePunct w:val="0"/>
        <w:adjustRightInd/>
        <w:spacing w:line="480" w:lineRule="exact"/>
        <w:ind w:firstLine="480"/>
        <w:rPr>
          <w:rFonts w:ascii="Times New Roman" w:cs="Times New Roman"/>
          <w:kern w:val="2"/>
          <w:lang w:val="de-DE"/>
        </w:rPr>
      </w:pPr>
      <w:r>
        <w:rPr>
          <w:lang w:val="de-DE"/>
        </w:rPr>
        <w:t>评价范围的森林植被分布较为广泛，但多为</w:t>
      </w:r>
      <w:r>
        <w:rPr>
          <w:rFonts w:hint="eastAsia"/>
          <w:lang w:val="de-DE"/>
        </w:rPr>
        <w:t>人工培育</w:t>
      </w:r>
      <w:r>
        <w:rPr>
          <w:lang w:val="de-DE"/>
        </w:rPr>
        <w:t>中幼龄林，因此森林蓄积量较低，森林群落的结构简单，郁闭度相对较低，生物量及生产力亦较低，因此，森林植被的生态效应较差。项目建设过程中，施工方应千方百计注意保护现有森林植被，并在项目开发的同时，采取有效措施促进森林植被的恢复，加强人工封闭或人工促进措施，做好封山育林工作，使灌丛植被尽快地向森林植被演替</w:t>
      </w:r>
      <w:r>
        <w:rPr>
          <w:rFonts w:ascii="Times New Roman" w:cs="Times New Roman"/>
          <w:kern w:val="2"/>
          <w:lang w:val="de-DE"/>
        </w:rPr>
        <w:t>。</w:t>
      </w:r>
    </w:p>
    <w:p>
      <w:pPr>
        <w:topLinePunct w:val="0"/>
        <w:adjustRightInd/>
        <w:spacing w:line="480" w:lineRule="exact"/>
        <w:ind w:firstLine="480"/>
        <w:rPr>
          <w:rFonts w:ascii="Times New Roman" w:cs="Times New Roman"/>
          <w:kern w:val="2"/>
          <w:lang w:val="de-DE"/>
        </w:rPr>
      </w:pPr>
      <w:r>
        <w:rPr>
          <w:rFonts w:ascii="Times New Roman" w:cs="Times New Roman"/>
          <w:kern w:val="2"/>
          <w:lang w:val="de-DE"/>
        </w:rPr>
        <w:t>（</w:t>
      </w:r>
      <w:r>
        <w:rPr>
          <w:rFonts w:ascii="Times New Roman" w:cs="Times New Roman"/>
          <w:kern w:val="2"/>
        </w:rPr>
        <w:t>3</w:t>
      </w:r>
      <w:r>
        <w:rPr>
          <w:rFonts w:ascii="Times New Roman" w:cs="Times New Roman"/>
          <w:kern w:val="2"/>
          <w:lang w:val="de-DE"/>
        </w:rPr>
        <w:t>）人工植被分布广泛，尤其旱地植被占明显优势</w:t>
      </w:r>
    </w:p>
    <w:p>
      <w:pPr>
        <w:pStyle w:val="112"/>
        <w:ind w:firstLine="480"/>
        <w:rPr>
          <w:kern w:val="2"/>
          <w:szCs w:val="24"/>
        </w:rPr>
      </w:pPr>
      <w:r>
        <w:rPr>
          <w:lang w:val="de-DE"/>
        </w:rPr>
        <w:t>评价范围地处</w:t>
      </w:r>
      <w:r>
        <w:rPr>
          <w:rFonts w:hint="eastAsia"/>
          <w:lang w:val="de-DE"/>
        </w:rPr>
        <w:t>川西</w:t>
      </w:r>
      <w:r>
        <w:rPr>
          <w:lang w:val="de-DE"/>
        </w:rPr>
        <w:t>中低山区域，土地负荷极大。目前评价范围内有农田植被</w:t>
      </w:r>
      <w:r>
        <w:rPr>
          <w:rFonts w:hint="eastAsia"/>
        </w:rPr>
        <w:t>234.22</w:t>
      </w:r>
      <w:r>
        <w:rPr>
          <w:lang w:val="de-DE"/>
        </w:rPr>
        <w:t>hm²，约占评价区内土地总面积的</w:t>
      </w:r>
      <w:r>
        <w:rPr>
          <w:rFonts w:hint="eastAsia"/>
        </w:rPr>
        <w:t>18.12</w:t>
      </w:r>
      <w:r>
        <w:rPr>
          <w:lang w:val="de-DE"/>
        </w:rPr>
        <w:t>%，即垦殖指数达</w:t>
      </w:r>
      <w:r>
        <w:rPr>
          <w:rFonts w:hint="eastAsia"/>
        </w:rPr>
        <w:t>18.12</w:t>
      </w:r>
      <w:r>
        <w:rPr>
          <w:lang w:val="de-DE"/>
        </w:rPr>
        <w:t>%。大面积的农田植被对于解决区内人口的粮食、蔬菜等起到了重要作用，但是由于不少旱地是在河谷斜坡和丘陵山地的斜坡面上开垦出来的，这种坡耕旱地在人类长期的翻耕种植下，会加速土壤的侵蚀，使山区生态环境进一步退化</w:t>
      </w:r>
      <w:r>
        <w:rPr>
          <w:kern w:val="2"/>
          <w:szCs w:val="24"/>
          <w:lang w:val="de-DE"/>
        </w:rPr>
        <w:t>。</w:t>
      </w:r>
    </w:p>
    <w:p>
      <w:pPr>
        <w:pStyle w:val="4"/>
        <w:rPr>
          <w:rFonts w:eastAsia="宋体"/>
        </w:rPr>
      </w:pPr>
      <w:r>
        <w:rPr>
          <w:rFonts w:eastAsia="宋体"/>
        </w:rPr>
        <w:t>5.2.5</w:t>
      </w:r>
      <w:r>
        <w:rPr>
          <w:rFonts w:eastAsia="宋体"/>
          <w:bCs/>
        </w:rPr>
        <w:t>评价范围植被生产力和</w:t>
      </w:r>
      <w:r>
        <w:rPr>
          <w:rFonts w:eastAsia="宋体"/>
          <w:bCs/>
          <w:lang w:val="de-DE"/>
        </w:rPr>
        <w:t>生物量分析</w:t>
      </w:r>
    </w:p>
    <w:p>
      <w:pPr>
        <w:topLinePunct w:val="0"/>
        <w:adjustRightInd/>
        <w:spacing w:line="480" w:lineRule="exact"/>
        <w:ind w:firstLine="482"/>
        <w:rPr>
          <w:rFonts w:ascii="Times New Roman" w:cs="Times New Roman"/>
          <w:b/>
          <w:bCs/>
          <w:kern w:val="2"/>
          <w:lang w:val="de-DE"/>
        </w:rPr>
      </w:pPr>
      <w:r>
        <w:rPr>
          <w:rFonts w:ascii="Times New Roman" w:cs="Times New Roman"/>
          <w:b/>
          <w:bCs/>
          <w:kern w:val="2"/>
          <w:lang w:val="de-DE"/>
        </w:rPr>
        <w:t>（</w:t>
      </w:r>
      <w:r>
        <w:rPr>
          <w:rFonts w:ascii="Times New Roman" w:cs="Times New Roman"/>
          <w:b/>
          <w:bCs/>
          <w:kern w:val="2"/>
        </w:rPr>
        <w:t>1</w:t>
      </w:r>
      <w:r>
        <w:rPr>
          <w:rFonts w:ascii="Times New Roman" w:cs="Times New Roman"/>
          <w:b/>
          <w:bCs/>
          <w:kern w:val="2"/>
          <w:lang w:val="de-DE"/>
        </w:rPr>
        <w:t>）土地自然生产力估算</w:t>
      </w:r>
    </w:p>
    <w:p>
      <w:pPr>
        <w:topLinePunct w:val="0"/>
        <w:adjustRightInd/>
        <w:spacing w:line="480" w:lineRule="exact"/>
        <w:ind w:firstLine="480"/>
        <w:rPr>
          <w:rFonts w:ascii="Times New Roman" w:cs="Times New Roman"/>
          <w:kern w:val="2"/>
          <w:lang w:val="de-DE"/>
        </w:rPr>
      </w:pPr>
      <w:r>
        <w:rPr>
          <w:rFonts w:ascii="Times New Roman" w:cs="Times New Roman"/>
          <w:kern w:val="2"/>
          <w:lang w:val="de-DE"/>
        </w:rPr>
        <w:t>采用H.lieth生物生产力经验公式计算项目区域土地自然生产力：</w:t>
      </w:r>
    </w:p>
    <w:p>
      <w:pPr>
        <w:topLinePunct w:val="0"/>
        <w:adjustRightInd/>
        <w:spacing w:line="240" w:lineRule="auto"/>
        <w:ind w:firstLine="0" w:firstLineChars="0"/>
        <w:rPr>
          <w:rFonts w:ascii="Times New Roman" w:cs="Times New Roman"/>
          <w:kern w:val="2"/>
          <w:sz w:val="21"/>
        </w:rPr>
      </w:pPr>
      <w:r>
        <w:rPr>
          <w:rFonts w:ascii="Times New Roman" w:cs="Times New Roman"/>
          <w:kern w:val="2"/>
          <w:position w:val="-26"/>
          <w:sz w:val="21"/>
        </w:rPr>
        <w:object>
          <v:shape id="_x0000_i1026" o:spt="75" type="#_x0000_t75" style="height:36pt;width:130.8pt;" o:ole="t" filled="f" o:preferrelative="t" stroked="f" coordsize="21600,21600">
            <v:path/>
            <v:fill on="f" focussize="0,0"/>
            <v:stroke on="f" joinstyle="miter"/>
            <v:imagedata r:id="rId77" o:title=""/>
            <o:lock v:ext="edit" aspectratio="t"/>
            <w10:wrap type="none"/>
            <w10:anchorlock/>
          </v:shape>
          <o:OLEObject Type="Embed" ProgID="Equation.3" ShapeID="_x0000_i1026" DrawAspect="Content" ObjectID="_1468075726" r:id="rId76">
            <o:LockedField>false</o:LockedField>
          </o:OLEObject>
        </w:object>
      </w:r>
    </w:p>
    <w:p>
      <w:pPr>
        <w:topLinePunct w:val="0"/>
        <w:adjustRightInd/>
        <w:spacing w:line="240" w:lineRule="auto"/>
        <w:ind w:firstLine="0" w:firstLineChars="0"/>
        <w:rPr>
          <w:rFonts w:ascii="Times New Roman" w:cs="Times New Roman"/>
          <w:kern w:val="2"/>
          <w:sz w:val="21"/>
        </w:rPr>
      </w:pPr>
      <w:r>
        <w:rPr>
          <w:rFonts w:ascii="Times New Roman" w:cs="Times New Roman"/>
          <w:kern w:val="2"/>
          <w:position w:val="-10"/>
          <w:sz w:val="21"/>
        </w:rPr>
        <w:object>
          <v:shape id="_x0000_i1027" o:spt="75" type="#_x0000_t75" style="height:22.45pt;width:147.95pt;" o:ole="t" filled="f" o:preferrelative="t" stroked="f" coordsize="21600,21600">
            <v:path/>
            <v:fill on="f" focussize="0,0"/>
            <v:stroke on="f" joinstyle="miter"/>
            <v:imagedata r:id="rId79" o:title=""/>
            <o:lock v:ext="edit" aspectratio="t"/>
            <w10:wrap type="none"/>
            <w10:anchorlock/>
          </v:shape>
          <o:OLEObject Type="Embed" ProgID="Equation.3" ShapeID="_x0000_i1027" DrawAspect="Content" ObjectID="_1468075727" r:id="rId78">
            <o:LockedField>false</o:LockedField>
          </o:OLEObject>
        </w:object>
      </w:r>
    </w:p>
    <w:p>
      <w:pPr>
        <w:topLinePunct w:val="0"/>
        <w:adjustRightInd/>
        <w:spacing w:line="480" w:lineRule="exact"/>
        <w:ind w:firstLine="0" w:firstLineChars="0"/>
        <w:rPr>
          <w:rFonts w:ascii="Times New Roman" w:cs="Times New Roman"/>
          <w:kern w:val="2"/>
        </w:rPr>
      </w:pPr>
      <w:r>
        <w:rPr>
          <w:rFonts w:ascii="Times New Roman" w:cs="Times New Roman"/>
          <w:kern w:val="2"/>
          <w:lang w:val="de-DE"/>
        </w:rPr>
        <w:t>式中：Y1——根据年均温度（t）估算的热量</w:t>
      </w:r>
      <w:r>
        <w:rPr>
          <w:rFonts w:ascii="Times New Roman" w:cs="Times New Roman"/>
          <w:kern w:val="2"/>
        </w:rPr>
        <w:t>生产力（g/m</w:t>
      </w:r>
      <w:r>
        <w:rPr>
          <w:rFonts w:ascii="Times New Roman" w:cs="Times New Roman"/>
          <w:kern w:val="2"/>
          <w:vertAlign w:val="superscript"/>
        </w:rPr>
        <w:t>2</w:t>
      </w:r>
      <w:r>
        <w:rPr>
          <w:rFonts w:ascii="Times New Roman" w:cs="Times New Roman"/>
          <w:kern w:val="2"/>
        </w:rPr>
        <w:t>·a）；</w:t>
      </w:r>
    </w:p>
    <w:p>
      <w:pPr>
        <w:topLinePunct w:val="0"/>
        <w:adjustRightInd/>
        <w:spacing w:line="480" w:lineRule="exact"/>
        <w:ind w:firstLine="720" w:firstLineChars="300"/>
        <w:rPr>
          <w:rFonts w:ascii="Times New Roman" w:cs="Times New Roman"/>
          <w:kern w:val="2"/>
        </w:rPr>
      </w:pPr>
      <w:bookmarkStart w:id="422" w:name="_Toc295312489"/>
      <w:r>
        <w:rPr>
          <w:rFonts w:ascii="Times New Roman" w:cs="Times New Roman"/>
          <w:i/>
          <w:kern w:val="2"/>
        </w:rPr>
        <w:t>Y</w:t>
      </w:r>
      <w:r>
        <w:rPr>
          <w:rFonts w:ascii="Times New Roman" w:cs="Times New Roman"/>
          <w:kern w:val="2"/>
          <w:vertAlign w:val="subscript"/>
        </w:rPr>
        <w:t>2</w:t>
      </w:r>
      <w:r>
        <w:rPr>
          <w:rFonts w:ascii="Times New Roman" w:cs="Times New Roman"/>
          <w:kern w:val="2"/>
        </w:rPr>
        <w:t>——根据年降水量（</w:t>
      </w:r>
      <w:r>
        <w:rPr>
          <w:rFonts w:ascii="Times New Roman" w:cs="Times New Roman"/>
          <w:i/>
          <w:kern w:val="2"/>
        </w:rPr>
        <w:t>p</w:t>
      </w:r>
      <w:r>
        <w:rPr>
          <w:rFonts w:ascii="Times New Roman" w:cs="Times New Roman"/>
          <w:kern w:val="2"/>
        </w:rPr>
        <w:t>，mm）估算的水分生产力（g/m</w:t>
      </w:r>
      <w:r>
        <w:rPr>
          <w:rFonts w:ascii="Times New Roman" w:cs="Times New Roman"/>
          <w:kern w:val="2"/>
          <w:vertAlign w:val="superscript"/>
        </w:rPr>
        <w:t>2</w:t>
      </w:r>
      <w:r>
        <w:rPr>
          <w:rFonts w:ascii="Times New Roman" w:cs="Times New Roman"/>
          <w:kern w:val="2"/>
        </w:rPr>
        <w:t>·a）。</w:t>
      </w:r>
      <w:bookmarkEnd w:id="422"/>
    </w:p>
    <w:p>
      <w:pPr>
        <w:pStyle w:val="112"/>
        <w:ind w:firstLine="480"/>
        <w:rPr>
          <w:kern w:val="2"/>
          <w:szCs w:val="24"/>
          <w:lang w:val="de-DE"/>
        </w:rPr>
      </w:pPr>
      <w:r>
        <w:rPr>
          <w:kern w:val="2"/>
          <w:szCs w:val="24"/>
          <w:lang w:val="de-DE"/>
        </w:rPr>
        <w:t>评价范围地貌类型以中低山为主，区内气候在垂直及水平方向的变化都较小，土地自然生产力计算结果如下表所示：</w:t>
      </w:r>
    </w:p>
    <w:p>
      <w:pPr>
        <w:topLinePunct w:val="0"/>
        <w:autoSpaceDE w:val="0"/>
        <w:autoSpaceDN w:val="0"/>
        <w:spacing w:beforeLines="50" w:line="240" w:lineRule="auto"/>
        <w:ind w:firstLine="0" w:firstLineChars="0"/>
        <w:jc w:val="center"/>
        <w:rPr>
          <w:rFonts w:ascii="Times New Roman" w:cs="Times New Roman"/>
          <w:b/>
          <w:sz w:val="21"/>
        </w:rPr>
      </w:pPr>
      <w:r>
        <w:rPr>
          <w:rFonts w:ascii="Times New Roman" w:cs="Times New Roman"/>
          <w:b/>
          <w:sz w:val="21"/>
        </w:rPr>
        <w:t>表</w:t>
      </w:r>
      <w:r>
        <w:rPr>
          <w:rFonts w:hint="eastAsia" w:ascii="Times New Roman" w:cs="Times New Roman"/>
          <w:b/>
          <w:sz w:val="21"/>
        </w:rPr>
        <w:t>5.2</w:t>
      </w:r>
      <w:r>
        <w:rPr>
          <w:rFonts w:ascii="Times New Roman" w:cs="Times New Roman"/>
          <w:b/>
          <w:sz w:val="21"/>
        </w:rPr>
        <w:t>-</w:t>
      </w:r>
      <w:r>
        <w:rPr>
          <w:rFonts w:hint="eastAsia" w:ascii="Times New Roman" w:cs="Times New Roman"/>
          <w:b/>
          <w:sz w:val="21"/>
        </w:rPr>
        <w:t>11</w:t>
      </w:r>
      <w:r>
        <w:rPr>
          <w:rFonts w:ascii="Times New Roman" w:cs="Times New Roman"/>
          <w:b/>
          <w:sz w:val="21"/>
        </w:rPr>
        <w:t xml:space="preserve"> 评价范围土地自然生产力计算表</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30" w:type="dxa"/>
          <w:bottom w:w="0" w:type="dxa"/>
          <w:right w:w="30" w:type="dxa"/>
        </w:tblCellMar>
      </w:tblPr>
      <w:tblGrid>
        <w:gridCol w:w="1142"/>
        <w:gridCol w:w="1806"/>
        <w:gridCol w:w="1806"/>
        <w:gridCol w:w="1806"/>
        <w:gridCol w:w="18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855" w:hRule="atLeast"/>
          <w:jc w:val="center"/>
        </w:trPr>
        <w:tc>
          <w:tcPr>
            <w:tcW w:w="683" w:type="pct"/>
            <w:vAlign w:val="center"/>
          </w:tcPr>
          <w:p>
            <w:pPr>
              <w:topLinePunct w:val="0"/>
              <w:adjustRightInd/>
              <w:spacing w:before="20" w:line="240" w:lineRule="auto"/>
              <w:ind w:firstLine="0" w:firstLineChars="0"/>
              <w:jc w:val="center"/>
              <w:rPr>
                <w:rFonts w:ascii="Times New Roman" w:cs="Times New Roman"/>
                <w:kern w:val="2"/>
                <w:sz w:val="21"/>
                <w:szCs w:val="21"/>
              </w:rPr>
            </w:pPr>
            <w:r>
              <w:rPr>
                <w:rFonts w:ascii="Times New Roman" w:cs="Times New Roman"/>
                <w:kern w:val="2"/>
                <w:sz w:val="21"/>
                <w:szCs w:val="21"/>
              </w:rPr>
              <w:t>区域</w:t>
            </w:r>
          </w:p>
        </w:tc>
        <w:tc>
          <w:tcPr>
            <w:tcW w:w="1079" w:type="pct"/>
            <w:vAlign w:val="center"/>
          </w:tcPr>
          <w:p>
            <w:pPr>
              <w:topLinePunct w:val="0"/>
              <w:adjustRightInd/>
              <w:spacing w:before="20" w:line="240" w:lineRule="auto"/>
              <w:ind w:firstLine="0" w:firstLineChars="0"/>
              <w:jc w:val="center"/>
              <w:rPr>
                <w:rFonts w:ascii="Times New Roman" w:cs="Times New Roman"/>
                <w:kern w:val="2"/>
                <w:sz w:val="21"/>
                <w:szCs w:val="21"/>
              </w:rPr>
            </w:pPr>
            <w:r>
              <w:rPr>
                <w:rFonts w:ascii="Times New Roman" w:cs="Times New Roman"/>
                <w:kern w:val="2"/>
                <w:sz w:val="21"/>
                <w:szCs w:val="21"/>
              </w:rPr>
              <w:t>多年平均气温</w:t>
            </w:r>
          </w:p>
          <w:p>
            <w:pPr>
              <w:topLinePunct w:val="0"/>
              <w:adjustRightInd/>
              <w:spacing w:before="20"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1079" w:type="pct"/>
            <w:vAlign w:val="center"/>
          </w:tcPr>
          <w:p>
            <w:pPr>
              <w:topLinePunct w:val="0"/>
              <w:adjustRightInd/>
              <w:spacing w:before="20" w:line="240" w:lineRule="auto"/>
              <w:ind w:firstLine="0" w:firstLineChars="0"/>
              <w:jc w:val="center"/>
              <w:rPr>
                <w:rFonts w:ascii="Times New Roman" w:cs="Times New Roman"/>
                <w:kern w:val="2"/>
                <w:sz w:val="21"/>
                <w:szCs w:val="21"/>
              </w:rPr>
            </w:pPr>
            <w:r>
              <w:rPr>
                <w:rFonts w:ascii="Times New Roman" w:cs="Times New Roman"/>
                <w:kern w:val="2"/>
                <w:sz w:val="21"/>
                <w:szCs w:val="21"/>
              </w:rPr>
              <w:t>多年平均降水量</w:t>
            </w:r>
          </w:p>
          <w:p>
            <w:pPr>
              <w:topLinePunct w:val="0"/>
              <w:adjustRightInd/>
              <w:spacing w:before="20" w:line="240" w:lineRule="auto"/>
              <w:ind w:firstLine="0" w:firstLineChars="0"/>
              <w:jc w:val="center"/>
              <w:rPr>
                <w:rFonts w:ascii="Times New Roman" w:cs="Times New Roman"/>
                <w:kern w:val="2"/>
                <w:sz w:val="21"/>
                <w:szCs w:val="21"/>
              </w:rPr>
            </w:pPr>
            <w:r>
              <w:rPr>
                <w:rFonts w:ascii="Times New Roman" w:cs="Times New Roman"/>
                <w:kern w:val="2"/>
                <w:sz w:val="21"/>
                <w:szCs w:val="21"/>
              </w:rPr>
              <w:t>（mm）</w:t>
            </w:r>
          </w:p>
        </w:tc>
        <w:tc>
          <w:tcPr>
            <w:tcW w:w="1079" w:type="pct"/>
            <w:vAlign w:val="center"/>
          </w:tcPr>
          <w:p>
            <w:pPr>
              <w:topLinePunct w:val="0"/>
              <w:adjustRightInd/>
              <w:spacing w:before="20" w:line="240" w:lineRule="auto"/>
              <w:ind w:firstLine="0" w:firstLineChars="0"/>
              <w:jc w:val="center"/>
              <w:rPr>
                <w:rFonts w:ascii="Times New Roman" w:cs="Times New Roman"/>
                <w:kern w:val="2"/>
                <w:sz w:val="21"/>
                <w:szCs w:val="21"/>
              </w:rPr>
            </w:pPr>
            <w:r>
              <w:rPr>
                <w:rFonts w:ascii="Times New Roman" w:cs="Times New Roman"/>
                <w:kern w:val="2"/>
                <w:sz w:val="21"/>
                <w:szCs w:val="21"/>
              </w:rPr>
              <w:t>热量生产力</w:t>
            </w:r>
          </w:p>
          <w:p>
            <w:pPr>
              <w:topLinePunct w:val="0"/>
              <w:adjustRightInd/>
              <w:spacing w:before="20" w:line="240" w:lineRule="auto"/>
              <w:ind w:firstLine="0" w:firstLineChars="0"/>
              <w:jc w:val="center"/>
              <w:rPr>
                <w:rFonts w:ascii="Times New Roman" w:cs="Times New Roman"/>
                <w:kern w:val="2"/>
                <w:sz w:val="21"/>
                <w:szCs w:val="21"/>
              </w:rPr>
            </w:pPr>
            <w:r>
              <w:rPr>
                <w:rFonts w:ascii="Times New Roman" w:cs="Times New Roman"/>
                <w:kern w:val="2"/>
                <w:sz w:val="21"/>
                <w:szCs w:val="21"/>
              </w:rPr>
              <w:t>（g/m</w:t>
            </w:r>
            <w:r>
              <w:rPr>
                <w:rFonts w:ascii="Times New Roman" w:cs="Times New Roman"/>
                <w:kern w:val="2"/>
                <w:sz w:val="21"/>
                <w:szCs w:val="21"/>
                <w:vertAlign w:val="superscript"/>
              </w:rPr>
              <w:t>2</w:t>
            </w:r>
            <w:r>
              <w:rPr>
                <w:rFonts w:ascii="Times New Roman" w:cs="Times New Roman"/>
                <w:kern w:val="2"/>
                <w:sz w:val="21"/>
                <w:szCs w:val="21"/>
              </w:rPr>
              <w:t>·a）</w:t>
            </w:r>
          </w:p>
        </w:tc>
        <w:tc>
          <w:tcPr>
            <w:tcW w:w="1079" w:type="pct"/>
            <w:vAlign w:val="center"/>
          </w:tcPr>
          <w:p>
            <w:pPr>
              <w:topLinePunct w:val="0"/>
              <w:adjustRightInd/>
              <w:spacing w:before="20" w:line="240" w:lineRule="auto"/>
              <w:ind w:firstLine="0" w:firstLineChars="0"/>
              <w:jc w:val="center"/>
              <w:rPr>
                <w:rFonts w:ascii="Times New Roman" w:cs="Times New Roman"/>
                <w:kern w:val="2"/>
                <w:sz w:val="21"/>
                <w:szCs w:val="21"/>
              </w:rPr>
            </w:pPr>
            <w:r>
              <w:rPr>
                <w:rFonts w:ascii="Times New Roman" w:cs="Times New Roman"/>
                <w:kern w:val="2"/>
                <w:sz w:val="21"/>
                <w:szCs w:val="21"/>
              </w:rPr>
              <w:t>水分生产力</w:t>
            </w:r>
          </w:p>
          <w:p>
            <w:pPr>
              <w:topLinePunct w:val="0"/>
              <w:adjustRightInd/>
              <w:spacing w:before="20" w:line="240" w:lineRule="auto"/>
              <w:ind w:firstLine="0" w:firstLineChars="0"/>
              <w:jc w:val="center"/>
              <w:rPr>
                <w:rFonts w:ascii="Times New Roman" w:cs="Times New Roman"/>
                <w:kern w:val="2"/>
                <w:sz w:val="21"/>
                <w:szCs w:val="21"/>
              </w:rPr>
            </w:pPr>
            <w:r>
              <w:rPr>
                <w:rFonts w:ascii="Times New Roman" w:cs="Times New Roman"/>
                <w:kern w:val="2"/>
                <w:sz w:val="21"/>
                <w:szCs w:val="21"/>
              </w:rPr>
              <w:t>（g/m</w:t>
            </w:r>
            <w:r>
              <w:rPr>
                <w:rFonts w:ascii="Times New Roman" w:cs="Times New Roman"/>
                <w:kern w:val="2"/>
                <w:sz w:val="21"/>
                <w:szCs w:val="21"/>
                <w:vertAlign w:val="superscript"/>
              </w:rPr>
              <w:t>2</w:t>
            </w:r>
            <w:r>
              <w:rPr>
                <w:rFonts w:ascii="Times New Roman" w:cs="Times New Roman"/>
                <w:kern w:val="2"/>
                <w:sz w:val="21"/>
                <w:szCs w:val="21"/>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476" w:hRule="atLeast"/>
          <w:jc w:val="center"/>
        </w:trPr>
        <w:tc>
          <w:tcPr>
            <w:tcW w:w="683" w:type="pct"/>
            <w:vAlign w:val="center"/>
          </w:tcPr>
          <w:p>
            <w:pPr>
              <w:topLinePunct w:val="0"/>
              <w:adjustRightInd/>
              <w:spacing w:before="20"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宣汉县</w:t>
            </w:r>
          </w:p>
        </w:tc>
        <w:tc>
          <w:tcPr>
            <w:tcW w:w="1079" w:type="pct"/>
            <w:vAlign w:val="center"/>
          </w:tcPr>
          <w:p>
            <w:pPr>
              <w:topLinePunct w:val="0"/>
              <w:adjustRightInd/>
              <w:spacing w:before="20"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16.8</w:t>
            </w:r>
          </w:p>
        </w:tc>
        <w:tc>
          <w:tcPr>
            <w:tcW w:w="1079" w:type="pct"/>
            <w:vAlign w:val="center"/>
          </w:tcPr>
          <w:p>
            <w:pPr>
              <w:topLinePunct w:val="0"/>
              <w:adjustRightInd/>
              <w:spacing w:before="20"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1132.69</w:t>
            </w:r>
          </w:p>
        </w:tc>
        <w:tc>
          <w:tcPr>
            <w:tcW w:w="1079" w:type="pct"/>
            <w:vAlign w:val="center"/>
          </w:tcPr>
          <w:p>
            <w:pPr>
              <w:topLinePunct w:val="0"/>
              <w:adjustRightInd/>
              <w:spacing w:before="20"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1994.03</w:t>
            </w:r>
          </w:p>
        </w:tc>
        <w:tc>
          <w:tcPr>
            <w:tcW w:w="1079" w:type="pct"/>
            <w:vAlign w:val="center"/>
          </w:tcPr>
          <w:p>
            <w:pPr>
              <w:topLinePunct w:val="0"/>
              <w:adjustRightInd/>
              <w:spacing w:before="20"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1585.88</w:t>
            </w:r>
          </w:p>
        </w:tc>
      </w:tr>
    </w:tbl>
    <w:p>
      <w:pPr>
        <w:topLinePunct w:val="0"/>
        <w:adjustRightInd/>
        <w:spacing w:line="480" w:lineRule="exact"/>
        <w:ind w:firstLine="720" w:firstLineChars="300"/>
        <w:rPr>
          <w:rFonts w:ascii="Times New Roman" w:cs="Times New Roman"/>
          <w:kern w:val="2"/>
        </w:rPr>
      </w:pPr>
      <w:r>
        <w:rPr>
          <w:rFonts w:ascii="Times New Roman" w:cs="Times New Roman"/>
          <w:kern w:val="2"/>
        </w:rPr>
        <w:t>从表</w:t>
      </w:r>
      <w:r>
        <w:rPr>
          <w:rFonts w:hint="eastAsia" w:ascii="Times New Roman" w:cs="Times New Roman"/>
          <w:kern w:val="2"/>
        </w:rPr>
        <w:t>5.2</w:t>
      </w:r>
      <w:r>
        <w:rPr>
          <w:rFonts w:ascii="Times New Roman" w:cs="Times New Roman"/>
          <w:kern w:val="2"/>
        </w:rPr>
        <w:t>-1</w:t>
      </w:r>
      <w:r>
        <w:rPr>
          <w:rFonts w:hint="eastAsia" w:ascii="Times New Roman" w:cs="Times New Roman"/>
          <w:kern w:val="2"/>
        </w:rPr>
        <w:t>1</w:t>
      </w:r>
      <w:r>
        <w:rPr>
          <w:rFonts w:ascii="Times New Roman" w:cs="Times New Roman"/>
          <w:kern w:val="2"/>
        </w:rPr>
        <w:t>可以看出，项目区域热量条件充足，水分条件不足，土地自然生产力受水分条件限制，根据项目区域降水量计算得出土地自然生产力为</w:t>
      </w:r>
      <w:r>
        <w:rPr>
          <w:rFonts w:hint="eastAsia" w:ascii="Times New Roman" w:cs="Times New Roman"/>
          <w:kern w:val="2"/>
        </w:rPr>
        <w:t>1585.88</w:t>
      </w:r>
      <w:r>
        <w:rPr>
          <w:rFonts w:ascii="Times New Roman" w:cs="Times New Roman"/>
          <w:kern w:val="2"/>
        </w:rPr>
        <w:t>gc/m</w:t>
      </w:r>
      <w:r>
        <w:rPr>
          <w:rFonts w:ascii="Times New Roman" w:cs="Times New Roman"/>
          <w:kern w:val="2"/>
          <w:vertAlign w:val="superscript"/>
        </w:rPr>
        <w:t>2</w:t>
      </w:r>
      <w:r>
        <w:rPr>
          <w:rFonts w:ascii="Times New Roman" w:cs="Times New Roman"/>
          <w:kern w:val="2"/>
        </w:rPr>
        <w:t>·a。</w:t>
      </w:r>
    </w:p>
    <w:p>
      <w:pPr>
        <w:topLinePunct w:val="0"/>
        <w:adjustRightInd/>
        <w:spacing w:line="480" w:lineRule="exact"/>
        <w:ind w:firstLine="482"/>
        <w:rPr>
          <w:rFonts w:ascii="Times New Roman" w:cs="Times New Roman"/>
          <w:b/>
          <w:bCs/>
          <w:kern w:val="2"/>
          <w:lang w:val="de-DE"/>
        </w:rPr>
      </w:pPr>
      <w:r>
        <w:rPr>
          <w:rFonts w:ascii="Times New Roman" w:cs="Times New Roman"/>
          <w:b/>
          <w:bCs/>
          <w:kern w:val="2"/>
          <w:lang w:val="de-DE"/>
        </w:rPr>
        <w:t>（</w:t>
      </w:r>
      <w:r>
        <w:rPr>
          <w:rFonts w:ascii="Times New Roman" w:cs="Times New Roman"/>
          <w:b/>
          <w:bCs/>
          <w:kern w:val="2"/>
        </w:rPr>
        <w:t>2</w:t>
      </w:r>
      <w:r>
        <w:rPr>
          <w:rFonts w:ascii="Times New Roman" w:cs="Times New Roman"/>
          <w:b/>
          <w:bCs/>
          <w:kern w:val="2"/>
          <w:lang w:val="de-DE"/>
        </w:rPr>
        <w:t>）植被生产力现状评价</w:t>
      </w:r>
    </w:p>
    <w:p>
      <w:pPr>
        <w:topLinePunct w:val="0"/>
        <w:adjustRightInd/>
        <w:spacing w:line="480" w:lineRule="exact"/>
        <w:ind w:firstLine="480" w:firstLineChars="0"/>
        <w:jc w:val="left"/>
        <w:rPr>
          <w:rFonts w:ascii="Times New Roman" w:cs="Times New Roman"/>
          <w:kern w:val="2"/>
        </w:rPr>
      </w:pPr>
      <w:r>
        <w:rPr>
          <w:rFonts w:ascii="Times New Roman" w:cs="Times New Roman"/>
          <w:kern w:val="2"/>
        </w:rPr>
        <w:t>植被既是重要的自然资源，又是自然条件（如地质、地貌、气候、土壤等）和人类开发利用资源状况的综合反映，植被作为陆地生物圈的主体，在生态系统中的作用也日益受到重视，尤其是对生态系统变化及稳定起决定性作用。植被净初级生产力（NPP）指绿色植物在单位时间和单位面积上所积累的有机干物质总量，它不仅是表征植物活动的重要变量，而且是判定生态系统碳汇和调节生态过程的主要因子，它直接反映植物群落在自然环境条件下的生产能力，也是生态现状质量评价的重要参数。在对评价区进行自然体系生产力评价中，数据主要来源于卫片解译，实地勘察、收集的现状资料（包括项目所在区域生态环境调查成果，各类环境信息图件及统计资料等），并采用了国内关于自然生态系统生产力和植被生物量的研究成果进行分析。</w:t>
      </w:r>
    </w:p>
    <w:p>
      <w:pPr>
        <w:topLinePunct w:val="0"/>
        <w:adjustRightInd/>
        <w:spacing w:line="480" w:lineRule="exact"/>
        <w:ind w:firstLine="480" w:firstLineChars="0"/>
        <w:jc w:val="left"/>
        <w:rPr>
          <w:rFonts w:ascii="Times New Roman" w:cs="Times New Roman"/>
          <w:b/>
          <w:bCs/>
          <w:kern w:val="2"/>
        </w:rPr>
      </w:pPr>
      <w:r>
        <w:rPr>
          <w:rFonts w:ascii="Times New Roman" w:cs="Times New Roman"/>
          <w:kern w:val="2"/>
        </w:rPr>
        <w:t>评价范围植调查是通过实地勘察、卫片解译、室内分析并结合收集的资料经综合分析而完成。卫片信息的提取过程如下：对选取的卫片数据，利用3S技术进行解译，并经几何精校正、图象增强、进行融合，根据各类环境信息数据及相关图像处理软件进行综合分析，得到评价区内生态环境研究所需的相关数据和生态图件。</w:t>
      </w:r>
    </w:p>
    <w:p>
      <w:pPr>
        <w:topLinePunct w:val="0"/>
        <w:adjustRightInd/>
        <w:spacing w:line="480" w:lineRule="exact"/>
        <w:ind w:firstLine="480" w:firstLineChars="0"/>
        <w:jc w:val="left"/>
        <w:rPr>
          <w:rFonts w:ascii="Times New Roman" w:cs="Times New Roman"/>
          <w:kern w:val="2"/>
        </w:rPr>
      </w:pPr>
      <w:r>
        <w:rPr>
          <w:rFonts w:ascii="Times New Roman" w:cs="Times New Roman"/>
          <w:kern w:val="2"/>
        </w:rPr>
        <w:t>根据调查和卫片解译，结合生态评价范围地表植被覆盖现状和植被立地情况，可将评价范围植被类型划分为以下5类：</w:t>
      </w:r>
    </w:p>
    <w:p>
      <w:pPr>
        <w:topLinePunct w:val="0"/>
        <w:adjustRightInd/>
        <w:spacing w:line="480" w:lineRule="exact"/>
        <w:ind w:firstLine="537" w:firstLineChars="224"/>
        <w:jc w:val="left"/>
        <w:rPr>
          <w:rFonts w:ascii="Times New Roman" w:cs="Times New Roman"/>
          <w:kern w:val="2"/>
        </w:rPr>
      </w:pPr>
      <w:r>
        <w:rPr>
          <w:rFonts w:hAnsi="宋体" w:cs="Times New Roman"/>
          <w:kern w:val="2"/>
        </w:rPr>
        <w:t>①</w:t>
      </w:r>
      <w:r>
        <w:rPr>
          <w:rFonts w:ascii="Times New Roman" w:hAnsi="宋体" w:cs="Times New Roman"/>
          <w:kern w:val="2"/>
        </w:rPr>
        <w:t>针叶林植被：主要是马尾松、杉木、柏木为主的针叶植被，评价范围内此植被类型广泛分布，在中东部成片分布，面积为</w:t>
      </w:r>
      <w:r>
        <w:rPr>
          <w:rFonts w:hint="eastAsia" w:ascii="Times New Roman" w:hAnsi="宋体" w:cs="Times New Roman"/>
          <w:kern w:val="2"/>
        </w:rPr>
        <w:t>373.94</w:t>
      </w:r>
      <w:r>
        <w:rPr>
          <w:rFonts w:ascii="Times New Roman" w:cs="Times New Roman"/>
          <w:kern w:val="2"/>
        </w:rPr>
        <w:t>hm</w:t>
      </w:r>
      <w:r>
        <w:rPr>
          <w:rFonts w:ascii="Times New Roman" w:cs="Times New Roman"/>
          <w:kern w:val="2"/>
          <w:vertAlign w:val="superscript"/>
        </w:rPr>
        <w:t>2</w:t>
      </w:r>
      <w:r>
        <w:rPr>
          <w:rFonts w:ascii="Times New Roman" w:hAnsi="宋体" w:cs="Times New Roman"/>
          <w:kern w:val="2"/>
        </w:rPr>
        <w:t>，占评价范围面积的</w:t>
      </w:r>
      <w:r>
        <w:rPr>
          <w:rFonts w:hint="eastAsia" w:ascii="Times New Roman" w:hAnsi="宋体" w:cs="Times New Roman"/>
          <w:kern w:val="2"/>
        </w:rPr>
        <w:t>29.75</w:t>
      </w:r>
      <w:r>
        <w:rPr>
          <w:rFonts w:ascii="Times New Roman" w:cs="Times New Roman"/>
          <w:kern w:val="2"/>
        </w:rPr>
        <w:t>%</w:t>
      </w:r>
      <w:r>
        <w:rPr>
          <w:rFonts w:ascii="Times New Roman" w:hAnsi="宋体" w:cs="Times New Roman"/>
          <w:kern w:val="2"/>
        </w:rPr>
        <w:t>，平均净初级生产力（常绿针叶林）为</w:t>
      </w:r>
      <w:r>
        <w:rPr>
          <w:rFonts w:ascii="Times New Roman" w:cs="Times New Roman"/>
          <w:kern w:val="2"/>
        </w:rPr>
        <w:t>367.1gC/</w:t>
      </w:r>
      <w:r>
        <w:rPr>
          <w:rFonts w:ascii="Times New Roman" w:hAnsi="宋体" w:cs="Times New Roman"/>
          <w:kern w:val="2"/>
        </w:rPr>
        <w:t>（</w:t>
      </w:r>
      <w:r>
        <w:rPr>
          <w:rFonts w:ascii="Times New Roman" w:cs="Times New Roman"/>
          <w:kern w:val="2"/>
        </w:rPr>
        <w:t>m</w:t>
      </w:r>
      <w:r>
        <w:rPr>
          <w:rFonts w:ascii="Times New Roman" w:cs="Times New Roman"/>
          <w:kern w:val="2"/>
          <w:vertAlign w:val="superscript"/>
        </w:rPr>
        <w:t>2</w:t>
      </w:r>
      <w:r>
        <w:rPr>
          <w:rFonts w:ascii="Times New Roman" w:cs="Times New Roman"/>
          <w:kern w:val="2"/>
        </w:rPr>
        <w:t>.a</w:t>
      </w:r>
      <w:r>
        <w:rPr>
          <w:rFonts w:ascii="Times New Roman" w:hAnsi="宋体" w:cs="Times New Roman"/>
          <w:kern w:val="2"/>
        </w:rPr>
        <w:t>）。</w:t>
      </w:r>
    </w:p>
    <w:p>
      <w:pPr>
        <w:topLinePunct w:val="0"/>
        <w:adjustRightInd/>
        <w:spacing w:line="480" w:lineRule="exact"/>
        <w:ind w:firstLine="537" w:firstLineChars="224"/>
        <w:jc w:val="left"/>
        <w:rPr>
          <w:rFonts w:ascii="Times New Roman" w:cs="Times New Roman"/>
          <w:kern w:val="2"/>
        </w:rPr>
      </w:pPr>
      <w:r>
        <w:rPr>
          <w:rFonts w:hAnsi="宋体" w:cs="Times New Roman"/>
          <w:kern w:val="2"/>
        </w:rPr>
        <w:t>②</w:t>
      </w:r>
      <w:r>
        <w:rPr>
          <w:rFonts w:ascii="Times New Roman" w:hAnsi="宋体" w:cs="Times New Roman"/>
          <w:kern w:val="2"/>
        </w:rPr>
        <w:t>阔叶林植被：主要有麻栎、青冈、枫香、响叶杨等阔叶树种，此植被类型在评价范围西部、西南部成片分布，面积</w:t>
      </w:r>
      <w:r>
        <w:rPr>
          <w:rFonts w:hint="eastAsia" w:ascii="Times New Roman" w:hAnsi="宋体" w:cs="Times New Roman"/>
          <w:kern w:val="2"/>
        </w:rPr>
        <w:t>488.75</w:t>
      </w:r>
      <w:r>
        <w:rPr>
          <w:rFonts w:ascii="Times New Roman" w:cs="Times New Roman"/>
          <w:kern w:val="2"/>
        </w:rPr>
        <w:t>hm</w:t>
      </w:r>
      <w:r>
        <w:rPr>
          <w:rFonts w:ascii="Times New Roman" w:cs="Times New Roman"/>
          <w:kern w:val="2"/>
          <w:vertAlign w:val="superscript"/>
        </w:rPr>
        <w:t>2</w:t>
      </w:r>
      <w:r>
        <w:rPr>
          <w:rFonts w:ascii="Times New Roman" w:hAnsi="宋体" w:cs="Times New Roman"/>
          <w:kern w:val="2"/>
        </w:rPr>
        <w:t>，占评价范围面积的</w:t>
      </w:r>
      <w:r>
        <w:rPr>
          <w:rFonts w:hint="eastAsia" w:ascii="Times New Roman" w:cs="Times New Roman"/>
          <w:kern w:val="2"/>
        </w:rPr>
        <w:t>38.88</w:t>
      </w:r>
      <w:r>
        <w:rPr>
          <w:rFonts w:ascii="Times New Roman" w:cs="Times New Roman"/>
          <w:kern w:val="2"/>
        </w:rPr>
        <w:t>%</w:t>
      </w:r>
      <w:r>
        <w:rPr>
          <w:rFonts w:ascii="Times New Roman" w:hAnsi="宋体" w:cs="Times New Roman"/>
          <w:kern w:val="2"/>
        </w:rPr>
        <w:t>，平均净初级生产力（落叶阔叶林）</w:t>
      </w:r>
      <w:r>
        <w:rPr>
          <w:rFonts w:ascii="Times New Roman" w:cs="Times New Roman"/>
          <w:kern w:val="2"/>
        </w:rPr>
        <w:t>642.9gC/</w:t>
      </w:r>
      <w:r>
        <w:rPr>
          <w:rFonts w:ascii="Times New Roman" w:hAnsi="宋体" w:cs="Times New Roman"/>
          <w:kern w:val="2"/>
        </w:rPr>
        <w:t>（</w:t>
      </w:r>
      <w:r>
        <w:rPr>
          <w:rFonts w:ascii="Times New Roman" w:cs="Times New Roman"/>
          <w:kern w:val="2"/>
        </w:rPr>
        <w:t>m</w:t>
      </w:r>
      <w:r>
        <w:rPr>
          <w:rFonts w:ascii="Times New Roman" w:cs="Times New Roman"/>
          <w:kern w:val="2"/>
          <w:vertAlign w:val="superscript"/>
        </w:rPr>
        <w:t>2</w:t>
      </w:r>
      <w:r>
        <w:rPr>
          <w:rFonts w:ascii="Times New Roman" w:cs="Times New Roman"/>
          <w:kern w:val="2"/>
        </w:rPr>
        <w:t>.a</w:t>
      </w:r>
      <w:r>
        <w:rPr>
          <w:rFonts w:ascii="Times New Roman" w:hAnsi="宋体" w:cs="Times New Roman"/>
          <w:kern w:val="2"/>
        </w:rPr>
        <w:t>）。</w:t>
      </w:r>
    </w:p>
    <w:p>
      <w:pPr>
        <w:topLinePunct w:val="0"/>
        <w:adjustRightInd/>
        <w:spacing w:line="480" w:lineRule="exact"/>
        <w:ind w:firstLine="537" w:firstLineChars="224"/>
        <w:jc w:val="left"/>
        <w:rPr>
          <w:rFonts w:ascii="Times New Roman" w:cs="Times New Roman"/>
          <w:kern w:val="2"/>
        </w:rPr>
      </w:pPr>
      <w:r>
        <w:rPr>
          <w:rFonts w:hAnsi="宋体" w:cs="Times New Roman"/>
          <w:kern w:val="2"/>
        </w:rPr>
        <w:t>③</w:t>
      </w:r>
      <w:r>
        <w:rPr>
          <w:rFonts w:ascii="Times New Roman" w:hAnsi="宋体" w:cs="Times New Roman"/>
          <w:kern w:val="2"/>
        </w:rPr>
        <w:t>灌丛植被：代表植物有槲栎、马桑、黄荆、火棘、荚蒾、盐肤木等。主要分布在林下、林缘、山脚、路边、农田两旁，对保护农田和水土保持起到很重要的作用，此植被类型面积为</w:t>
      </w:r>
      <w:r>
        <w:rPr>
          <w:rFonts w:hint="eastAsia" w:ascii="Times New Roman" w:hAnsi="宋体" w:cs="Times New Roman"/>
          <w:kern w:val="2"/>
        </w:rPr>
        <w:t>69.83</w:t>
      </w:r>
      <w:r>
        <w:rPr>
          <w:rFonts w:ascii="Times New Roman" w:cs="Times New Roman"/>
          <w:kern w:val="2"/>
        </w:rPr>
        <w:t>hm</w:t>
      </w:r>
      <w:r>
        <w:rPr>
          <w:rFonts w:ascii="Times New Roman" w:cs="Times New Roman"/>
          <w:kern w:val="2"/>
          <w:vertAlign w:val="superscript"/>
        </w:rPr>
        <w:t>2</w:t>
      </w:r>
      <w:r>
        <w:rPr>
          <w:rFonts w:ascii="Times New Roman" w:hAnsi="宋体" w:cs="Times New Roman"/>
          <w:kern w:val="2"/>
        </w:rPr>
        <w:t>，占评价范围总面积的</w:t>
      </w:r>
      <w:r>
        <w:rPr>
          <w:rFonts w:hint="eastAsia" w:ascii="Times New Roman" w:cs="Times New Roman"/>
          <w:kern w:val="2"/>
        </w:rPr>
        <w:t>5.56</w:t>
      </w:r>
      <w:r>
        <w:rPr>
          <w:rFonts w:ascii="Times New Roman" w:cs="Times New Roman"/>
          <w:kern w:val="2"/>
        </w:rPr>
        <w:t>%</w:t>
      </w:r>
      <w:r>
        <w:rPr>
          <w:rFonts w:ascii="Times New Roman" w:hAnsi="宋体" w:cs="Times New Roman"/>
          <w:kern w:val="2"/>
        </w:rPr>
        <w:t>，平均净初级生产力为（灌木）</w:t>
      </w:r>
      <w:r>
        <w:rPr>
          <w:rFonts w:ascii="Times New Roman" w:cs="Times New Roman"/>
          <w:kern w:val="2"/>
        </w:rPr>
        <w:t>367.7gC/</w:t>
      </w:r>
      <w:r>
        <w:rPr>
          <w:rFonts w:ascii="Times New Roman" w:hAnsi="宋体" w:cs="Times New Roman"/>
          <w:kern w:val="2"/>
        </w:rPr>
        <w:t>（</w:t>
      </w:r>
      <w:r>
        <w:rPr>
          <w:rFonts w:ascii="Times New Roman" w:cs="Times New Roman"/>
          <w:kern w:val="2"/>
        </w:rPr>
        <w:t>m</w:t>
      </w:r>
      <w:r>
        <w:rPr>
          <w:rFonts w:ascii="Times New Roman" w:cs="Times New Roman"/>
          <w:kern w:val="2"/>
          <w:vertAlign w:val="superscript"/>
        </w:rPr>
        <w:t>2</w:t>
      </w:r>
      <w:r>
        <w:rPr>
          <w:rFonts w:ascii="Times New Roman" w:cs="Times New Roman"/>
          <w:kern w:val="2"/>
        </w:rPr>
        <w:t>.a</w:t>
      </w:r>
      <w:r>
        <w:rPr>
          <w:rFonts w:ascii="Times New Roman" w:hAnsi="宋体" w:cs="Times New Roman"/>
          <w:kern w:val="2"/>
        </w:rPr>
        <w:t>）。</w:t>
      </w:r>
    </w:p>
    <w:p>
      <w:pPr>
        <w:topLinePunct w:val="0"/>
        <w:adjustRightInd/>
        <w:spacing w:line="480" w:lineRule="exact"/>
        <w:ind w:firstLine="537" w:firstLineChars="224"/>
        <w:jc w:val="left"/>
        <w:rPr>
          <w:rFonts w:ascii="Times New Roman" w:cs="Times New Roman"/>
          <w:kern w:val="2"/>
        </w:rPr>
      </w:pPr>
      <w:r>
        <w:rPr>
          <w:rFonts w:hAnsi="宋体" w:cs="Times New Roman"/>
          <w:kern w:val="2"/>
        </w:rPr>
        <w:t>④</w:t>
      </w:r>
      <w:r>
        <w:rPr>
          <w:rFonts w:ascii="Times New Roman" w:hAnsi="宋体" w:cs="Times New Roman"/>
          <w:kern w:val="2"/>
        </w:rPr>
        <w:t>草丛植被：代表植物有白茅、五节芒、芒、芒萁、斑茅、蕨等。主要分布在分布的林下、林缘、路边、农田两旁，此植被类型面积为</w:t>
      </w:r>
      <w:r>
        <w:rPr>
          <w:rFonts w:hint="eastAsia" w:ascii="Times New Roman" w:hAnsi="宋体" w:cs="Times New Roman"/>
          <w:kern w:val="2"/>
        </w:rPr>
        <w:t>0.95</w:t>
      </w:r>
      <w:r>
        <w:rPr>
          <w:rFonts w:ascii="Times New Roman" w:cs="Times New Roman"/>
          <w:kern w:val="2"/>
        </w:rPr>
        <w:t>hm</w:t>
      </w:r>
      <w:r>
        <w:rPr>
          <w:rFonts w:ascii="Times New Roman" w:cs="Times New Roman"/>
          <w:kern w:val="2"/>
          <w:vertAlign w:val="superscript"/>
        </w:rPr>
        <w:t>2</w:t>
      </w:r>
      <w:r>
        <w:rPr>
          <w:rFonts w:ascii="Times New Roman" w:hAnsi="宋体" w:cs="Times New Roman"/>
          <w:kern w:val="2"/>
        </w:rPr>
        <w:t>，占评价范围总面积的</w:t>
      </w:r>
      <w:r>
        <w:rPr>
          <w:rFonts w:hint="eastAsia" w:ascii="Times New Roman" w:cs="Times New Roman"/>
          <w:kern w:val="2"/>
        </w:rPr>
        <w:t>0.08</w:t>
      </w:r>
      <w:r>
        <w:rPr>
          <w:rFonts w:ascii="Times New Roman" w:cs="Times New Roman"/>
          <w:kern w:val="2"/>
        </w:rPr>
        <w:t>%</w:t>
      </w:r>
      <w:r>
        <w:rPr>
          <w:rFonts w:ascii="Times New Roman" w:hAnsi="宋体" w:cs="Times New Roman"/>
          <w:kern w:val="2"/>
        </w:rPr>
        <w:t>，平均净初级生产力（坡面草地）为</w:t>
      </w:r>
      <w:r>
        <w:rPr>
          <w:rFonts w:ascii="Times New Roman" w:cs="Times New Roman"/>
          <w:kern w:val="2"/>
        </w:rPr>
        <w:t>507.4gC/(m</w:t>
      </w:r>
      <w:r>
        <w:rPr>
          <w:rFonts w:ascii="Times New Roman" w:cs="Times New Roman"/>
          <w:kern w:val="2"/>
          <w:vertAlign w:val="superscript"/>
        </w:rPr>
        <w:t>2</w:t>
      </w:r>
      <w:r>
        <w:rPr>
          <w:rFonts w:ascii="Times New Roman" w:cs="Times New Roman"/>
          <w:kern w:val="2"/>
        </w:rPr>
        <w:t>.a)</w:t>
      </w:r>
      <w:r>
        <w:rPr>
          <w:rFonts w:ascii="Times New Roman" w:hAnsi="宋体" w:cs="Times New Roman"/>
          <w:kern w:val="2"/>
        </w:rPr>
        <w:t>。</w:t>
      </w:r>
    </w:p>
    <w:p>
      <w:pPr>
        <w:topLinePunct w:val="0"/>
        <w:adjustRightInd/>
        <w:spacing w:line="480" w:lineRule="exact"/>
        <w:ind w:firstLine="537" w:firstLineChars="224"/>
        <w:jc w:val="left"/>
        <w:rPr>
          <w:rFonts w:ascii="Times New Roman" w:cs="Times New Roman"/>
          <w:kern w:val="2"/>
        </w:rPr>
      </w:pPr>
      <w:r>
        <w:rPr>
          <w:rFonts w:hAnsi="宋体" w:cs="Times New Roman"/>
          <w:kern w:val="2"/>
        </w:rPr>
        <w:t>⑤</w:t>
      </w:r>
      <w:r>
        <w:rPr>
          <w:rFonts w:ascii="Times New Roman" w:hAnsi="宋体" w:cs="Times New Roman"/>
          <w:kern w:val="2"/>
        </w:rPr>
        <w:t>农作物植被：该地区的农作物主要有水稻、玉米、红苕、棉花、花生、小麦、马铃薯、豌豆等，主要分布在山谷、河谷两侧等低海拔区；农作物植被面积</w:t>
      </w:r>
      <w:r>
        <w:rPr>
          <w:rFonts w:hint="eastAsia" w:ascii="Times New Roman" w:hAnsi="宋体" w:cs="Times New Roman"/>
          <w:kern w:val="2"/>
        </w:rPr>
        <w:t>234.22</w:t>
      </w:r>
      <w:r>
        <w:rPr>
          <w:rFonts w:ascii="Times New Roman" w:cs="Times New Roman"/>
          <w:kern w:val="2"/>
        </w:rPr>
        <w:t>hm</w:t>
      </w:r>
      <w:r>
        <w:rPr>
          <w:rFonts w:ascii="Times New Roman" w:cs="Times New Roman"/>
          <w:kern w:val="2"/>
          <w:vertAlign w:val="superscript"/>
        </w:rPr>
        <w:t>2</w:t>
      </w:r>
      <w:r>
        <w:rPr>
          <w:rFonts w:ascii="Times New Roman" w:hAnsi="宋体" w:cs="Times New Roman"/>
          <w:kern w:val="2"/>
        </w:rPr>
        <w:t>，占评价范围面积的</w:t>
      </w:r>
      <w:r>
        <w:rPr>
          <w:rFonts w:hint="eastAsia" w:ascii="Times New Roman" w:cs="Times New Roman"/>
          <w:kern w:val="2"/>
        </w:rPr>
        <w:t>18.12</w:t>
      </w:r>
      <w:r>
        <w:rPr>
          <w:rFonts w:ascii="Times New Roman" w:cs="Times New Roman"/>
          <w:kern w:val="2"/>
        </w:rPr>
        <w:t>%</w:t>
      </w:r>
      <w:r>
        <w:rPr>
          <w:rFonts w:ascii="Times New Roman" w:hAnsi="宋体" w:cs="Times New Roman"/>
          <w:kern w:val="2"/>
        </w:rPr>
        <w:t>，平均净初级生产力</w:t>
      </w:r>
      <w:r>
        <w:rPr>
          <w:rFonts w:ascii="Times New Roman" w:cs="Times New Roman"/>
          <w:kern w:val="2"/>
        </w:rPr>
        <w:t>426.5gC/</w:t>
      </w:r>
      <w:r>
        <w:rPr>
          <w:rFonts w:ascii="Times New Roman" w:hAnsi="宋体" w:cs="Times New Roman"/>
          <w:kern w:val="2"/>
        </w:rPr>
        <w:t>（</w:t>
      </w:r>
      <w:r>
        <w:rPr>
          <w:rFonts w:ascii="Times New Roman" w:cs="Times New Roman"/>
          <w:kern w:val="2"/>
        </w:rPr>
        <w:t>m</w:t>
      </w:r>
      <w:r>
        <w:rPr>
          <w:rFonts w:ascii="Times New Roman" w:cs="Times New Roman"/>
          <w:kern w:val="2"/>
          <w:vertAlign w:val="superscript"/>
        </w:rPr>
        <w:t>2</w:t>
      </w:r>
      <w:r>
        <w:rPr>
          <w:rFonts w:ascii="Times New Roman" w:cs="Times New Roman"/>
          <w:kern w:val="2"/>
        </w:rPr>
        <w:t>.a</w:t>
      </w:r>
      <w:r>
        <w:rPr>
          <w:rFonts w:ascii="Times New Roman" w:hAnsi="宋体" w:cs="Times New Roman"/>
          <w:kern w:val="2"/>
        </w:rPr>
        <w:t>）</w:t>
      </w:r>
      <w:r>
        <w:rPr>
          <w:rFonts w:ascii="Times New Roman" w:cs="Times New Roman"/>
          <w:kern w:val="2"/>
        </w:rPr>
        <w:t>。</w:t>
      </w:r>
    </w:p>
    <w:p>
      <w:pPr>
        <w:pStyle w:val="112"/>
        <w:ind w:firstLine="0" w:firstLineChars="0"/>
        <w:rPr>
          <w:kern w:val="2"/>
          <w:szCs w:val="24"/>
          <w:lang w:val="de-DE"/>
        </w:rPr>
      </w:pPr>
      <w:r>
        <w:rPr>
          <w:szCs w:val="24"/>
        </w:rPr>
        <w:t>评价范围内各植被类型净生产力情况见下表。</w:t>
      </w:r>
    </w:p>
    <w:p>
      <w:pPr>
        <w:topLinePunct w:val="0"/>
        <w:autoSpaceDE w:val="0"/>
        <w:autoSpaceDN w:val="0"/>
        <w:spacing w:beforeLines="50" w:line="240" w:lineRule="auto"/>
        <w:ind w:firstLine="0" w:firstLineChars="0"/>
        <w:jc w:val="center"/>
        <w:rPr>
          <w:rFonts w:ascii="Times New Roman" w:cs="Times New Roman"/>
          <w:b/>
          <w:sz w:val="21"/>
        </w:rPr>
      </w:pPr>
      <w:r>
        <w:rPr>
          <w:rFonts w:ascii="Times New Roman" w:cs="Times New Roman"/>
          <w:b/>
          <w:sz w:val="21"/>
        </w:rPr>
        <w:t>表</w:t>
      </w:r>
      <w:r>
        <w:rPr>
          <w:rFonts w:hint="eastAsia" w:ascii="Times New Roman" w:cs="Times New Roman"/>
          <w:b/>
          <w:sz w:val="21"/>
        </w:rPr>
        <w:t>5.2</w:t>
      </w:r>
      <w:r>
        <w:rPr>
          <w:rFonts w:ascii="Times New Roman" w:cs="Times New Roman"/>
          <w:b/>
          <w:sz w:val="21"/>
        </w:rPr>
        <w:t>-</w:t>
      </w:r>
      <w:r>
        <w:rPr>
          <w:rFonts w:hint="eastAsia" w:ascii="Times New Roman" w:cs="Times New Roman"/>
          <w:b/>
          <w:sz w:val="21"/>
        </w:rPr>
        <w:t>12</w:t>
      </w:r>
      <w:r>
        <w:rPr>
          <w:rFonts w:ascii="Times New Roman" w:cs="Times New Roman"/>
          <w:b/>
          <w:sz w:val="21"/>
        </w:rPr>
        <w:t xml:space="preserve"> 评价范围植被自然生产力情况表</w:t>
      </w:r>
    </w:p>
    <w:tbl>
      <w:tblPr>
        <w:tblStyle w:val="805"/>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6"/>
        <w:gridCol w:w="2128"/>
        <w:gridCol w:w="949"/>
        <w:gridCol w:w="855"/>
        <w:gridCol w:w="1229"/>
        <w:gridCol w:w="1200"/>
        <w:gridCol w:w="12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topLinePunct w:val="0"/>
              <w:adjustRightInd/>
              <w:snapToGrid w:val="0"/>
              <w:spacing w:line="240" w:lineRule="auto"/>
              <w:ind w:firstLine="0" w:firstLineChars="0"/>
              <w:rPr>
                <w:rFonts w:ascii="Times New Roman" w:cs="Times New Roman"/>
                <w:snapToGrid w:val="0"/>
                <w:sz w:val="21"/>
                <w:szCs w:val="21"/>
              </w:rPr>
            </w:pPr>
            <w:r>
              <w:rPr>
                <w:rFonts w:ascii="Times New Roman" w:cs="Times New Roman"/>
                <w:snapToGrid w:val="0"/>
                <w:sz w:val="21"/>
                <w:szCs w:val="21"/>
              </w:rPr>
              <w:t>植被</w:t>
            </w:r>
          </w:p>
          <w:p>
            <w:pPr>
              <w:topLinePunct w:val="0"/>
              <w:adjustRightInd/>
              <w:snapToGrid w:val="0"/>
              <w:spacing w:line="240" w:lineRule="auto"/>
              <w:ind w:firstLine="0" w:firstLineChars="0"/>
              <w:rPr>
                <w:rFonts w:ascii="Times New Roman" w:cs="Times New Roman"/>
                <w:sz w:val="21"/>
                <w:szCs w:val="21"/>
              </w:rPr>
            </w:pPr>
            <w:r>
              <w:rPr>
                <w:rFonts w:ascii="Times New Roman" w:cs="Times New Roman"/>
                <w:snapToGrid w:val="0"/>
                <w:sz w:val="21"/>
                <w:szCs w:val="21"/>
              </w:rPr>
              <w:t>类型</w:t>
            </w:r>
          </w:p>
        </w:tc>
        <w:tc>
          <w:tcPr>
            <w:tcW w:w="1248" w:type="pct"/>
            <w:vAlign w:val="center"/>
          </w:tcPr>
          <w:p>
            <w:pPr>
              <w:topLinePunct w:val="0"/>
              <w:adjustRightInd/>
              <w:snapToGrid w:val="0"/>
              <w:spacing w:line="240" w:lineRule="auto"/>
              <w:ind w:firstLine="0" w:firstLineChars="0"/>
              <w:rPr>
                <w:rFonts w:ascii="Times New Roman" w:cs="Times New Roman"/>
                <w:sz w:val="21"/>
                <w:szCs w:val="21"/>
              </w:rPr>
            </w:pPr>
            <w:r>
              <w:rPr>
                <w:rFonts w:ascii="Times New Roman" w:cs="Times New Roman"/>
                <w:snapToGrid w:val="0"/>
                <w:sz w:val="21"/>
                <w:szCs w:val="21"/>
              </w:rPr>
              <w:t>代表植物</w:t>
            </w:r>
          </w:p>
        </w:tc>
        <w:tc>
          <w:tcPr>
            <w:tcW w:w="557" w:type="pct"/>
            <w:vAlign w:val="center"/>
          </w:tcPr>
          <w:p>
            <w:pPr>
              <w:topLinePunct w:val="0"/>
              <w:adjustRightInd/>
              <w:snapToGrid w:val="0"/>
              <w:spacing w:line="240" w:lineRule="auto"/>
              <w:ind w:firstLine="0" w:firstLineChars="0"/>
              <w:rPr>
                <w:rFonts w:ascii="Times New Roman" w:cs="Times New Roman"/>
                <w:sz w:val="21"/>
                <w:szCs w:val="21"/>
              </w:rPr>
            </w:pPr>
            <w:r>
              <w:rPr>
                <w:rFonts w:ascii="Times New Roman" w:cs="Times New Roman"/>
                <w:snapToGrid w:val="0"/>
                <w:sz w:val="21"/>
                <w:szCs w:val="21"/>
              </w:rPr>
              <w:t>面积（</w:t>
            </w:r>
            <w:r>
              <w:rPr>
                <w:rFonts w:hint="eastAsia" w:ascii="Times New Roman" w:cs="Times New Roman"/>
                <w:snapToGrid w:val="0"/>
                <w:sz w:val="21"/>
                <w:szCs w:val="21"/>
              </w:rPr>
              <w:t>hm</w:t>
            </w:r>
            <w:r>
              <w:rPr>
                <w:rFonts w:ascii="Times New Roman" w:cs="Times New Roman"/>
                <w:snapToGrid w:val="0"/>
                <w:sz w:val="21"/>
                <w:szCs w:val="21"/>
                <w:vertAlign w:val="superscript"/>
              </w:rPr>
              <w:t>2</w:t>
            </w:r>
            <w:r>
              <w:rPr>
                <w:rFonts w:ascii="Times New Roman" w:cs="Times New Roman"/>
                <w:snapToGrid w:val="0"/>
                <w:sz w:val="21"/>
                <w:szCs w:val="21"/>
              </w:rPr>
              <w:t>）</w:t>
            </w:r>
          </w:p>
        </w:tc>
        <w:tc>
          <w:tcPr>
            <w:tcW w:w="502" w:type="pct"/>
            <w:vAlign w:val="center"/>
          </w:tcPr>
          <w:p>
            <w:pPr>
              <w:topLinePunct w:val="0"/>
              <w:adjustRightInd/>
              <w:snapToGrid w:val="0"/>
              <w:spacing w:line="240" w:lineRule="auto"/>
              <w:ind w:firstLine="0" w:firstLineChars="0"/>
              <w:rPr>
                <w:rFonts w:ascii="Times New Roman" w:cs="Times New Roman"/>
                <w:sz w:val="21"/>
                <w:szCs w:val="21"/>
              </w:rPr>
            </w:pPr>
            <w:r>
              <w:rPr>
                <w:rFonts w:ascii="Times New Roman" w:cs="Times New Roman"/>
                <w:snapToGrid w:val="0"/>
                <w:sz w:val="21"/>
                <w:szCs w:val="21"/>
              </w:rPr>
              <w:t>占评价范围（%）</w:t>
            </w:r>
          </w:p>
        </w:tc>
        <w:tc>
          <w:tcPr>
            <w:tcW w:w="722" w:type="pct"/>
            <w:vAlign w:val="center"/>
          </w:tcPr>
          <w:p>
            <w:pPr>
              <w:topLinePunct w:val="0"/>
              <w:adjustRightInd/>
              <w:snapToGrid w:val="0"/>
              <w:spacing w:line="240" w:lineRule="auto"/>
              <w:ind w:firstLine="0" w:firstLineChars="0"/>
              <w:rPr>
                <w:rFonts w:ascii="Times New Roman" w:cs="Times New Roman"/>
                <w:sz w:val="21"/>
                <w:szCs w:val="21"/>
              </w:rPr>
            </w:pPr>
            <w:r>
              <w:rPr>
                <w:rFonts w:ascii="Times New Roman" w:cs="Times New Roman"/>
                <w:snapToGrid w:val="0"/>
                <w:sz w:val="21"/>
                <w:szCs w:val="21"/>
              </w:rPr>
              <w:t>平均净生产力[</w:t>
            </w:r>
            <w:r>
              <w:rPr>
                <w:rFonts w:ascii="Times New Roman" w:cs="Times New Roman"/>
              </w:rPr>
              <w:t>gC/（m</w:t>
            </w:r>
            <w:r>
              <w:rPr>
                <w:rFonts w:ascii="Times New Roman" w:cs="Times New Roman"/>
                <w:vertAlign w:val="superscript"/>
              </w:rPr>
              <w:t>2</w:t>
            </w:r>
            <w:r>
              <w:rPr>
                <w:rFonts w:ascii="Times New Roman" w:cs="Times New Roman"/>
              </w:rPr>
              <w:t>.a）</w:t>
            </w:r>
            <w:r>
              <w:rPr>
                <w:rFonts w:ascii="Times New Roman" w:cs="Times New Roman"/>
                <w:snapToGrid w:val="0"/>
                <w:sz w:val="21"/>
                <w:szCs w:val="21"/>
              </w:rPr>
              <w:t>]</w:t>
            </w:r>
          </w:p>
        </w:tc>
        <w:tc>
          <w:tcPr>
            <w:tcW w:w="705" w:type="pct"/>
            <w:vAlign w:val="center"/>
          </w:tcPr>
          <w:p>
            <w:pPr>
              <w:topLinePunct w:val="0"/>
              <w:adjustRightInd/>
              <w:snapToGrid w:val="0"/>
              <w:spacing w:line="240" w:lineRule="auto"/>
              <w:ind w:firstLine="0" w:firstLineChars="0"/>
              <w:rPr>
                <w:rFonts w:ascii="Times New Roman" w:cs="Times New Roman"/>
                <w:snapToGrid w:val="0"/>
                <w:sz w:val="21"/>
                <w:szCs w:val="21"/>
              </w:rPr>
            </w:pPr>
            <w:r>
              <w:rPr>
                <w:rFonts w:ascii="Times New Roman" w:cs="Times New Roman"/>
                <w:snapToGrid w:val="0"/>
                <w:sz w:val="21"/>
                <w:szCs w:val="21"/>
              </w:rPr>
              <w:t>总生产力[tC/（a）]</w:t>
            </w:r>
          </w:p>
        </w:tc>
        <w:tc>
          <w:tcPr>
            <w:tcW w:w="714" w:type="pct"/>
            <w:vAlign w:val="center"/>
          </w:tcPr>
          <w:p>
            <w:pPr>
              <w:topLinePunct w:val="0"/>
              <w:adjustRightInd/>
              <w:snapToGrid w:val="0"/>
              <w:spacing w:line="240" w:lineRule="auto"/>
              <w:ind w:firstLine="0" w:firstLineChars="0"/>
              <w:rPr>
                <w:rFonts w:ascii="Times New Roman" w:cs="Times New Roman"/>
                <w:snapToGrid w:val="0"/>
                <w:sz w:val="21"/>
                <w:szCs w:val="21"/>
              </w:rPr>
            </w:pPr>
            <w:r>
              <w:rPr>
                <w:rFonts w:ascii="Times New Roman" w:cs="Times New Roman"/>
                <w:snapToGrid w:val="0"/>
                <w:sz w:val="21"/>
                <w:szCs w:val="21"/>
              </w:rPr>
              <w:t>生产力比重</w:t>
            </w:r>
          </w:p>
          <w:p>
            <w:pPr>
              <w:topLinePunct w:val="0"/>
              <w:adjustRightInd/>
              <w:snapToGrid w:val="0"/>
              <w:spacing w:line="240" w:lineRule="auto"/>
              <w:ind w:firstLine="0" w:firstLineChars="0"/>
              <w:rPr>
                <w:rFonts w:ascii="Times New Roman" w:cs="Times New Roman"/>
                <w:snapToGrid w:val="0"/>
                <w:sz w:val="21"/>
                <w:szCs w:val="21"/>
              </w:rPr>
            </w:pPr>
            <w:r>
              <w:rPr>
                <w:rFonts w:ascii="Times New Roman" w:cs="Times New Roman"/>
                <w:snapToGrid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pct"/>
            <w:vAlign w:val="center"/>
          </w:tcPr>
          <w:p>
            <w:pPr>
              <w:topLinePunct w:val="0"/>
              <w:adjustRightInd/>
              <w:snapToGrid w:val="0"/>
              <w:spacing w:line="240" w:lineRule="auto"/>
              <w:ind w:firstLine="0" w:firstLineChars="0"/>
              <w:rPr>
                <w:rFonts w:ascii="Times New Roman" w:cs="Times New Roman"/>
                <w:sz w:val="21"/>
                <w:szCs w:val="21"/>
              </w:rPr>
            </w:pPr>
            <w:r>
              <w:rPr>
                <w:rFonts w:ascii="Times New Roman" w:cs="Times New Roman"/>
                <w:snapToGrid w:val="0"/>
                <w:sz w:val="21"/>
                <w:szCs w:val="21"/>
              </w:rPr>
              <w:t>针叶林植被</w:t>
            </w:r>
          </w:p>
        </w:tc>
        <w:tc>
          <w:tcPr>
            <w:tcW w:w="1248" w:type="pct"/>
            <w:vAlign w:val="center"/>
          </w:tcPr>
          <w:p>
            <w:pPr>
              <w:topLinePunct w:val="0"/>
              <w:adjustRightInd/>
              <w:snapToGrid w:val="0"/>
              <w:spacing w:line="240" w:lineRule="auto"/>
              <w:ind w:firstLine="0" w:firstLineChars="0"/>
              <w:rPr>
                <w:rFonts w:ascii="Times New Roman" w:cs="Times New Roman"/>
                <w:snapToGrid w:val="0"/>
                <w:sz w:val="21"/>
                <w:szCs w:val="21"/>
              </w:rPr>
            </w:pPr>
            <w:r>
              <w:rPr>
                <w:rFonts w:hint="eastAsia" w:ascii="Times New Roman" w:cs="Times New Roman"/>
                <w:snapToGrid w:val="0"/>
                <w:sz w:val="21"/>
                <w:szCs w:val="21"/>
              </w:rPr>
              <w:t>马尾松、杉木、柏木</w:t>
            </w:r>
          </w:p>
        </w:tc>
        <w:tc>
          <w:tcPr>
            <w:tcW w:w="557"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hint="eastAsia" w:ascii="Times New Roman" w:cs="Times New Roman"/>
                <w:snapToGrid w:val="0"/>
                <w:sz w:val="21"/>
                <w:szCs w:val="21"/>
              </w:rPr>
              <w:t>373.94</w:t>
            </w:r>
          </w:p>
        </w:tc>
        <w:tc>
          <w:tcPr>
            <w:tcW w:w="502"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hint="eastAsia" w:ascii="Times New Roman" w:cs="Times New Roman"/>
                <w:snapToGrid w:val="0"/>
                <w:sz w:val="21"/>
                <w:szCs w:val="21"/>
              </w:rPr>
              <w:t>29.75</w:t>
            </w:r>
            <w:r>
              <w:rPr>
                <w:rFonts w:ascii="Times New Roman" w:cs="Times New Roman"/>
                <w:snapToGrid w:val="0"/>
                <w:sz w:val="21"/>
                <w:szCs w:val="21"/>
              </w:rPr>
              <w:t xml:space="preserve"> </w:t>
            </w:r>
          </w:p>
        </w:tc>
        <w:tc>
          <w:tcPr>
            <w:tcW w:w="722"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ascii="Times New Roman" w:cs="Times New Roman"/>
                <w:snapToGrid w:val="0"/>
                <w:sz w:val="21"/>
                <w:szCs w:val="21"/>
              </w:rPr>
              <w:t>367.1</w:t>
            </w:r>
          </w:p>
        </w:tc>
        <w:tc>
          <w:tcPr>
            <w:tcW w:w="705"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hint="eastAsia" w:ascii="Times New Roman" w:cs="Times New Roman"/>
                <w:snapToGrid w:val="0"/>
                <w:sz w:val="21"/>
                <w:szCs w:val="21"/>
              </w:rPr>
              <w:t>1372.73</w:t>
            </w:r>
            <w:r>
              <w:rPr>
                <w:rFonts w:ascii="Times New Roman" w:cs="Times New Roman"/>
                <w:snapToGrid w:val="0"/>
                <w:sz w:val="21"/>
                <w:szCs w:val="21"/>
              </w:rPr>
              <w:t xml:space="preserve"> </w:t>
            </w:r>
          </w:p>
        </w:tc>
        <w:tc>
          <w:tcPr>
            <w:tcW w:w="714"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hint="eastAsia" w:ascii="Times New Roman" w:cs="Times New Roman"/>
                <w:snapToGrid w:val="0"/>
                <w:sz w:val="21"/>
                <w:szCs w:val="21"/>
              </w:rPr>
              <w:t>23.78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49" w:type="pct"/>
            <w:vAlign w:val="center"/>
          </w:tcPr>
          <w:p>
            <w:pPr>
              <w:topLinePunct w:val="0"/>
              <w:adjustRightInd/>
              <w:snapToGrid w:val="0"/>
              <w:spacing w:line="240" w:lineRule="auto"/>
              <w:ind w:firstLine="0" w:firstLineChars="0"/>
              <w:rPr>
                <w:rFonts w:ascii="Times New Roman" w:cs="Times New Roman"/>
                <w:snapToGrid w:val="0"/>
                <w:sz w:val="21"/>
                <w:szCs w:val="21"/>
              </w:rPr>
            </w:pPr>
            <w:r>
              <w:rPr>
                <w:rFonts w:ascii="Times New Roman" w:cs="Times New Roman"/>
                <w:snapToGrid w:val="0"/>
                <w:sz w:val="21"/>
                <w:szCs w:val="21"/>
              </w:rPr>
              <w:t>阔叶林植被</w:t>
            </w:r>
          </w:p>
        </w:tc>
        <w:tc>
          <w:tcPr>
            <w:tcW w:w="1248" w:type="pct"/>
            <w:vAlign w:val="center"/>
          </w:tcPr>
          <w:p>
            <w:pPr>
              <w:topLinePunct w:val="0"/>
              <w:adjustRightInd/>
              <w:snapToGrid w:val="0"/>
              <w:spacing w:line="240" w:lineRule="auto"/>
              <w:ind w:firstLine="0" w:firstLineChars="0"/>
              <w:rPr>
                <w:rFonts w:ascii="Times New Roman" w:cs="Times New Roman"/>
                <w:snapToGrid w:val="0"/>
                <w:sz w:val="21"/>
                <w:szCs w:val="21"/>
              </w:rPr>
            </w:pPr>
            <w:r>
              <w:rPr>
                <w:rFonts w:hint="eastAsia" w:ascii="Times New Roman" w:cs="Times New Roman"/>
                <w:snapToGrid w:val="0"/>
                <w:sz w:val="21"/>
                <w:szCs w:val="21"/>
              </w:rPr>
              <w:t>麻栎、青冈、枫香、响叶杨</w:t>
            </w:r>
          </w:p>
        </w:tc>
        <w:tc>
          <w:tcPr>
            <w:tcW w:w="557"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hint="eastAsia" w:ascii="Times New Roman" w:cs="Times New Roman"/>
                <w:snapToGrid w:val="0"/>
                <w:sz w:val="21"/>
                <w:szCs w:val="21"/>
              </w:rPr>
              <w:t>488.75</w:t>
            </w:r>
          </w:p>
        </w:tc>
        <w:tc>
          <w:tcPr>
            <w:tcW w:w="502"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hint="eastAsia" w:ascii="Times New Roman" w:cs="Times New Roman"/>
                <w:snapToGrid w:val="0"/>
                <w:sz w:val="21"/>
                <w:szCs w:val="21"/>
              </w:rPr>
              <w:t>38.88</w:t>
            </w:r>
            <w:r>
              <w:rPr>
                <w:rFonts w:ascii="Times New Roman" w:cs="Times New Roman"/>
                <w:snapToGrid w:val="0"/>
                <w:sz w:val="21"/>
                <w:szCs w:val="21"/>
              </w:rPr>
              <w:t xml:space="preserve"> </w:t>
            </w:r>
          </w:p>
        </w:tc>
        <w:tc>
          <w:tcPr>
            <w:tcW w:w="722"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ascii="Times New Roman" w:cs="Times New Roman"/>
                <w:snapToGrid w:val="0"/>
                <w:sz w:val="21"/>
                <w:szCs w:val="21"/>
              </w:rPr>
              <w:t>642.9</w:t>
            </w:r>
          </w:p>
        </w:tc>
        <w:tc>
          <w:tcPr>
            <w:tcW w:w="705"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hint="eastAsia" w:ascii="Times New Roman" w:cs="Times New Roman"/>
                <w:snapToGrid w:val="0"/>
                <w:sz w:val="21"/>
                <w:szCs w:val="21"/>
              </w:rPr>
              <w:t>3142.17</w:t>
            </w:r>
          </w:p>
        </w:tc>
        <w:tc>
          <w:tcPr>
            <w:tcW w:w="714"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hint="eastAsia" w:ascii="Times New Roman" w:cs="Times New Roman"/>
                <w:snapToGrid w:val="0"/>
                <w:sz w:val="21"/>
                <w:szCs w:val="21"/>
              </w:rPr>
              <w:t>54.44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549" w:type="pct"/>
            <w:vAlign w:val="center"/>
          </w:tcPr>
          <w:p>
            <w:pPr>
              <w:topLinePunct w:val="0"/>
              <w:adjustRightInd/>
              <w:snapToGrid w:val="0"/>
              <w:spacing w:line="240" w:lineRule="auto"/>
              <w:ind w:firstLine="0" w:firstLineChars="0"/>
              <w:rPr>
                <w:rFonts w:ascii="Times New Roman" w:cs="Times New Roman"/>
                <w:snapToGrid w:val="0"/>
                <w:sz w:val="21"/>
                <w:szCs w:val="21"/>
              </w:rPr>
            </w:pPr>
            <w:r>
              <w:rPr>
                <w:rFonts w:ascii="Times New Roman" w:cs="Times New Roman"/>
                <w:snapToGrid w:val="0"/>
                <w:sz w:val="21"/>
                <w:szCs w:val="21"/>
              </w:rPr>
              <w:t>灌丛植被</w:t>
            </w:r>
          </w:p>
        </w:tc>
        <w:tc>
          <w:tcPr>
            <w:tcW w:w="1248" w:type="pct"/>
            <w:vAlign w:val="center"/>
          </w:tcPr>
          <w:p>
            <w:pPr>
              <w:topLinePunct w:val="0"/>
              <w:adjustRightInd/>
              <w:snapToGrid w:val="0"/>
              <w:spacing w:line="240" w:lineRule="auto"/>
              <w:ind w:firstLine="0" w:firstLineChars="0"/>
              <w:rPr>
                <w:rFonts w:ascii="Times New Roman" w:cs="Times New Roman"/>
                <w:snapToGrid w:val="0"/>
                <w:sz w:val="21"/>
                <w:szCs w:val="21"/>
              </w:rPr>
            </w:pPr>
            <w:r>
              <w:rPr>
                <w:rFonts w:hint="eastAsia" w:ascii="Times New Roman" w:cs="Times New Roman"/>
                <w:snapToGrid w:val="0"/>
                <w:sz w:val="21"/>
                <w:szCs w:val="21"/>
              </w:rPr>
              <w:t>槲栎、马桑、黄荆、火棘、荚蒾、盐肤木</w:t>
            </w:r>
          </w:p>
        </w:tc>
        <w:tc>
          <w:tcPr>
            <w:tcW w:w="557"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hint="eastAsia" w:ascii="Times New Roman" w:cs="Times New Roman"/>
                <w:snapToGrid w:val="0"/>
                <w:sz w:val="21"/>
                <w:szCs w:val="21"/>
              </w:rPr>
              <w:t>69.83</w:t>
            </w:r>
          </w:p>
        </w:tc>
        <w:tc>
          <w:tcPr>
            <w:tcW w:w="502"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hint="eastAsia" w:ascii="Times New Roman" w:cs="Times New Roman"/>
                <w:snapToGrid w:val="0"/>
                <w:sz w:val="21"/>
                <w:szCs w:val="21"/>
              </w:rPr>
              <w:t>5.56</w:t>
            </w:r>
            <w:r>
              <w:rPr>
                <w:rFonts w:ascii="Times New Roman" w:cs="Times New Roman"/>
                <w:snapToGrid w:val="0"/>
                <w:sz w:val="21"/>
                <w:szCs w:val="21"/>
              </w:rPr>
              <w:t xml:space="preserve"> </w:t>
            </w:r>
          </w:p>
        </w:tc>
        <w:tc>
          <w:tcPr>
            <w:tcW w:w="722"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ascii="Times New Roman" w:cs="Times New Roman"/>
                <w:snapToGrid w:val="0"/>
                <w:sz w:val="21"/>
                <w:szCs w:val="21"/>
              </w:rPr>
              <w:t>367.7</w:t>
            </w:r>
          </w:p>
        </w:tc>
        <w:tc>
          <w:tcPr>
            <w:tcW w:w="705"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hint="eastAsia" w:ascii="Times New Roman" w:cs="Times New Roman"/>
                <w:snapToGrid w:val="0"/>
                <w:sz w:val="21"/>
                <w:szCs w:val="21"/>
              </w:rPr>
              <w:t>256.76</w:t>
            </w:r>
          </w:p>
        </w:tc>
        <w:tc>
          <w:tcPr>
            <w:tcW w:w="714"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hint="eastAsia" w:ascii="Times New Roman" w:cs="Times New Roman"/>
                <w:snapToGrid w:val="0"/>
                <w:sz w:val="21"/>
                <w:szCs w:val="21"/>
              </w:rPr>
              <w:t>4.44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549" w:type="pct"/>
            <w:vAlign w:val="center"/>
          </w:tcPr>
          <w:p>
            <w:pPr>
              <w:topLinePunct w:val="0"/>
              <w:adjustRightInd/>
              <w:snapToGrid w:val="0"/>
              <w:spacing w:line="240" w:lineRule="auto"/>
              <w:ind w:firstLine="0" w:firstLineChars="0"/>
              <w:rPr>
                <w:rFonts w:ascii="Times New Roman" w:cs="Times New Roman"/>
                <w:snapToGrid w:val="0"/>
                <w:sz w:val="21"/>
                <w:szCs w:val="21"/>
              </w:rPr>
            </w:pPr>
            <w:r>
              <w:rPr>
                <w:rFonts w:ascii="Times New Roman" w:cs="Times New Roman"/>
                <w:snapToGrid w:val="0"/>
                <w:sz w:val="21"/>
                <w:szCs w:val="21"/>
              </w:rPr>
              <w:t>草丛植被</w:t>
            </w:r>
          </w:p>
        </w:tc>
        <w:tc>
          <w:tcPr>
            <w:tcW w:w="1248" w:type="pct"/>
            <w:vAlign w:val="center"/>
          </w:tcPr>
          <w:p>
            <w:pPr>
              <w:topLinePunct w:val="0"/>
              <w:adjustRightInd/>
              <w:snapToGrid w:val="0"/>
              <w:spacing w:line="240" w:lineRule="auto"/>
              <w:ind w:firstLine="0" w:firstLineChars="0"/>
              <w:rPr>
                <w:rFonts w:ascii="Times New Roman" w:cs="Times New Roman"/>
                <w:snapToGrid w:val="0"/>
                <w:sz w:val="21"/>
                <w:szCs w:val="21"/>
              </w:rPr>
            </w:pPr>
            <w:r>
              <w:rPr>
                <w:rFonts w:hint="eastAsia" w:ascii="Times New Roman" w:cs="Times New Roman"/>
                <w:snapToGrid w:val="0"/>
                <w:sz w:val="21"/>
                <w:szCs w:val="21"/>
              </w:rPr>
              <w:t>白茅、五节芒、芒、芒萁、斑茅、蕨</w:t>
            </w:r>
          </w:p>
        </w:tc>
        <w:tc>
          <w:tcPr>
            <w:tcW w:w="557"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hint="eastAsia" w:ascii="Times New Roman" w:cs="Times New Roman"/>
                <w:snapToGrid w:val="0"/>
                <w:sz w:val="21"/>
                <w:szCs w:val="21"/>
              </w:rPr>
              <w:t>0.95</w:t>
            </w:r>
          </w:p>
        </w:tc>
        <w:tc>
          <w:tcPr>
            <w:tcW w:w="502"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hint="eastAsia" w:ascii="Times New Roman" w:cs="Times New Roman"/>
                <w:snapToGrid w:val="0"/>
                <w:sz w:val="21"/>
                <w:szCs w:val="21"/>
              </w:rPr>
              <w:t>0.08</w:t>
            </w:r>
            <w:r>
              <w:rPr>
                <w:rFonts w:ascii="Times New Roman" w:cs="Times New Roman"/>
                <w:snapToGrid w:val="0"/>
                <w:sz w:val="21"/>
                <w:szCs w:val="21"/>
              </w:rPr>
              <w:t xml:space="preserve"> </w:t>
            </w:r>
          </w:p>
        </w:tc>
        <w:tc>
          <w:tcPr>
            <w:tcW w:w="722"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ascii="Times New Roman" w:cs="Times New Roman"/>
                <w:snapToGrid w:val="0"/>
                <w:sz w:val="21"/>
                <w:szCs w:val="21"/>
              </w:rPr>
              <w:t>226.2</w:t>
            </w:r>
          </w:p>
        </w:tc>
        <w:tc>
          <w:tcPr>
            <w:tcW w:w="705"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hint="eastAsia" w:ascii="Times New Roman" w:cs="Times New Roman"/>
                <w:snapToGrid w:val="0"/>
                <w:sz w:val="21"/>
                <w:szCs w:val="21"/>
              </w:rPr>
              <w:t>2.15</w:t>
            </w:r>
            <w:r>
              <w:rPr>
                <w:rFonts w:ascii="Times New Roman" w:cs="Times New Roman"/>
                <w:snapToGrid w:val="0"/>
                <w:sz w:val="21"/>
                <w:szCs w:val="21"/>
              </w:rPr>
              <w:t xml:space="preserve"> </w:t>
            </w:r>
          </w:p>
        </w:tc>
        <w:tc>
          <w:tcPr>
            <w:tcW w:w="714"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ascii="Times New Roman" w:cs="Times New Roman"/>
                <w:snapToGrid w:val="0"/>
                <w:sz w:val="21"/>
                <w:szCs w:val="21"/>
              </w:rPr>
              <w:t>0.</w:t>
            </w:r>
            <w:r>
              <w:rPr>
                <w:rFonts w:hint="eastAsia" w:ascii="Times New Roman" w:cs="Times New Roman"/>
                <w:snapToGrid w:val="0"/>
                <w:sz w:val="21"/>
                <w:szCs w:val="21"/>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49" w:type="pct"/>
            <w:vAlign w:val="center"/>
          </w:tcPr>
          <w:p>
            <w:pPr>
              <w:topLinePunct w:val="0"/>
              <w:adjustRightInd/>
              <w:snapToGrid w:val="0"/>
              <w:spacing w:line="240" w:lineRule="auto"/>
              <w:ind w:firstLine="0" w:firstLineChars="0"/>
              <w:rPr>
                <w:rFonts w:ascii="Times New Roman" w:cs="Times New Roman"/>
                <w:sz w:val="21"/>
                <w:szCs w:val="21"/>
              </w:rPr>
            </w:pPr>
            <w:r>
              <w:rPr>
                <w:rFonts w:ascii="Times New Roman" w:cs="Times New Roman"/>
                <w:snapToGrid w:val="0"/>
                <w:sz w:val="21"/>
                <w:szCs w:val="21"/>
              </w:rPr>
              <w:t>农作物植被</w:t>
            </w:r>
          </w:p>
        </w:tc>
        <w:tc>
          <w:tcPr>
            <w:tcW w:w="1248" w:type="pct"/>
            <w:vAlign w:val="center"/>
          </w:tcPr>
          <w:p>
            <w:pPr>
              <w:topLinePunct w:val="0"/>
              <w:adjustRightInd/>
              <w:snapToGrid w:val="0"/>
              <w:spacing w:line="240" w:lineRule="auto"/>
              <w:ind w:firstLine="0" w:firstLineChars="0"/>
              <w:rPr>
                <w:rFonts w:ascii="Times New Roman" w:cs="Times New Roman"/>
                <w:snapToGrid w:val="0"/>
                <w:sz w:val="21"/>
                <w:szCs w:val="21"/>
              </w:rPr>
            </w:pPr>
            <w:r>
              <w:rPr>
                <w:rFonts w:hint="eastAsia" w:ascii="Times New Roman" w:cs="Times New Roman"/>
                <w:snapToGrid w:val="0"/>
                <w:sz w:val="21"/>
                <w:szCs w:val="21"/>
              </w:rPr>
              <w:t>水稻、玉米、红苕、棉花、花生、小麦、马铃薯、豌豆</w:t>
            </w:r>
          </w:p>
        </w:tc>
        <w:tc>
          <w:tcPr>
            <w:tcW w:w="557"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hint="eastAsia" w:ascii="Times New Roman" w:cs="Times New Roman"/>
                <w:snapToGrid w:val="0"/>
                <w:sz w:val="21"/>
                <w:szCs w:val="21"/>
              </w:rPr>
              <w:t>234.22</w:t>
            </w:r>
          </w:p>
        </w:tc>
        <w:tc>
          <w:tcPr>
            <w:tcW w:w="502"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hint="eastAsia" w:ascii="Times New Roman" w:cs="Times New Roman"/>
                <w:snapToGrid w:val="0"/>
                <w:sz w:val="21"/>
                <w:szCs w:val="21"/>
              </w:rPr>
              <w:t>18.12</w:t>
            </w:r>
            <w:r>
              <w:rPr>
                <w:rFonts w:ascii="Times New Roman" w:cs="Times New Roman"/>
                <w:snapToGrid w:val="0"/>
                <w:sz w:val="21"/>
                <w:szCs w:val="21"/>
              </w:rPr>
              <w:t xml:space="preserve"> </w:t>
            </w:r>
          </w:p>
        </w:tc>
        <w:tc>
          <w:tcPr>
            <w:tcW w:w="722"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ascii="Times New Roman" w:cs="Times New Roman"/>
                <w:snapToGrid w:val="0"/>
                <w:sz w:val="21"/>
                <w:szCs w:val="21"/>
              </w:rPr>
              <w:t>426.5</w:t>
            </w:r>
          </w:p>
        </w:tc>
        <w:tc>
          <w:tcPr>
            <w:tcW w:w="705"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hint="eastAsia" w:ascii="Times New Roman" w:cs="Times New Roman"/>
                <w:snapToGrid w:val="0"/>
                <w:sz w:val="21"/>
                <w:szCs w:val="21"/>
              </w:rPr>
              <w:t>998.1</w:t>
            </w:r>
            <w:r>
              <w:rPr>
                <w:rFonts w:ascii="Times New Roman" w:cs="Times New Roman"/>
                <w:snapToGrid w:val="0"/>
                <w:sz w:val="21"/>
                <w:szCs w:val="21"/>
              </w:rPr>
              <w:t xml:space="preserve"> </w:t>
            </w:r>
          </w:p>
        </w:tc>
        <w:tc>
          <w:tcPr>
            <w:tcW w:w="714"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hint="eastAsia" w:ascii="Times New Roman" w:cs="Times New Roman"/>
                <w:snapToGrid w:val="0"/>
                <w:sz w:val="21"/>
                <w:szCs w:val="21"/>
              </w:rPr>
              <w:t>17.3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pct"/>
            <w:vAlign w:val="center"/>
          </w:tcPr>
          <w:p>
            <w:pPr>
              <w:topLinePunct w:val="0"/>
              <w:adjustRightInd/>
              <w:snapToGrid w:val="0"/>
              <w:spacing w:line="240" w:lineRule="auto"/>
              <w:ind w:firstLine="0" w:firstLineChars="0"/>
              <w:rPr>
                <w:rFonts w:ascii="Times New Roman" w:cs="Times New Roman"/>
                <w:sz w:val="21"/>
                <w:szCs w:val="21"/>
              </w:rPr>
            </w:pPr>
            <w:r>
              <w:rPr>
                <w:rFonts w:ascii="Times New Roman" w:cs="Times New Roman"/>
                <w:sz w:val="21"/>
                <w:szCs w:val="21"/>
              </w:rPr>
              <w:t>无植被</w:t>
            </w:r>
          </w:p>
        </w:tc>
        <w:tc>
          <w:tcPr>
            <w:tcW w:w="1248" w:type="pct"/>
            <w:vAlign w:val="center"/>
          </w:tcPr>
          <w:p>
            <w:pPr>
              <w:topLinePunct w:val="0"/>
              <w:adjustRightInd/>
              <w:snapToGrid w:val="0"/>
              <w:spacing w:line="240" w:lineRule="auto"/>
              <w:ind w:firstLine="0" w:firstLineChars="0"/>
              <w:rPr>
                <w:rFonts w:ascii="Times New Roman" w:cs="Times New Roman"/>
                <w:snapToGrid w:val="0"/>
                <w:sz w:val="21"/>
                <w:szCs w:val="21"/>
              </w:rPr>
            </w:pPr>
            <w:r>
              <w:rPr>
                <w:rFonts w:ascii="Times New Roman" w:cs="Times New Roman"/>
                <w:snapToGrid w:val="0"/>
                <w:sz w:val="21"/>
                <w:szCs w:val="21"/>
              </w:rPr>
              <w:t>-</w:t>
            </w:r>
          </w:p>
        </w:tc>
        <w:tc>
          <w:tcPr>
            <w:tcW w:w="557" w:type="pct"/>
            <w:vAlign w:val="center"/>
          </w:tcPr>
          <w:p>
            <w:pPr>
              <w:topLinePunct w:val="0"/>
              <w:adjustRightInd/>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 xml:space="preserve">73.84 </w:t>
            </w:r>
          </w:p>
        </w:tc>
        <w:tc>
          <w:tcPr>
            <w:tcW w:w="502" w:type="pct"/>
            <w:vAlign w:val="center"/>
          </w:tcPr>
          <w:p>
            <w:pPr>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 xml:space="preserve">5.86 </w:t>
            </w:r>
          </w:p>
        </w:tc>
        <w:tc>
          <w:tcPr>
            <w:tcW w:w="722"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ascii="Times New Roman" w:cs="Times New Roman"/>
                <w:snapToGrid w:val="0"/>
                <w:sz w:val="21"/>
                <w:szCs w:val="21"/>
              </w:rPr>
              <w:t>-</w:t>
            </w:r>
          </w:p>
        </w:tc>
        <w:tc>
          <w:tcPr>
            <w:tcW w:w="705"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ascii="Times New Roman" w:cs="Times New Roman"/>
                <w:snapToGrid w:val="0"/>
                <w:sz w:val="21"/>
                <w:szCs w:val="21"/>
              </w:rPr>
              <w:t xml:space="preserve">0.00 </w:t>
            </w:r>
          </w:p>
        </w:tc>
        <w:tc>
          <w:tcPr>
            <w:tcW w:w="714"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ascii="Times New Roman" w:cs="Times New Roman"/>
                <w:snapToGrid w:val="0"/>
                <w:sz w:val="21"/>
                <w:szCs w:val="21"/>
              </w:rPr>
              <w:t xml:space="preserve">0.00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topLinePunct w:val="0"/>
              <w:adjustRightInd/>
              <w:snapToGrid w:val="0"/>
              <w:spacing w:line="240" w:lineRule="auto"/>
              <w:ind w:firstLine="0" w:firstLineChars="0"/>
              <w:rPr>
                <w:rFonts w:ascii="Times New Roman" w:cs="Times New Roman"/>
                <w:sz w:val="21"/>
                <w:szCs w:val="21"/>
              </w:rPr>
            </w:pPr>
            <w:r>
              <w:rPr>
                <w:rFonts w:ascii="Times New Roman" w:cs="Times New Roman"/>
                <w:sz w:val="21"/>
                <w:szCs w:val="21"/>
              </w:rPr>
              <w:t>合计</w:t>
            </w:r>
          </w:p>
        </w:tc>
        <w:tc>
          <w:tcPr>
            <w:tcW w:w="1248" w:type="pct"/>
            <w:vAlign w:val="center"/>
          </w:tcPr>
          <w:p>
            <w:pPr>
              <w:topLinePunct w:val="0"/>
              <w:adjustRightInd/>
              <w:snapToGrid w:val="0"/>
              <w:spacing w:line="240" w:lineRule="auto"/>
              <w:ind w:firstLine="0" w:firstLineChars="0"/>
              <w:rPr>
                <w:rFonts w:ascii="Times New Roman" w:cs="Times New Roman"/>
                <w:snapToGrid w:val="0"/>
                <w:sz w:val="21"/>
                <w:szCs w:val="21"/>
              </w:rPr>
            </w:pPr>
            <w:r>
              <w:rPr>
                <w:rFonts w:ascii="Times New Roman" w:cs="Times New Roman"/>
                <w:snapToGrid w:val="0"/>
                <w:sz w:val="21"/>
                <w:szCs w:val="21"/>
              </w:rPr>
              <w:t>-</w:t>
            </w:r>
          </w:p>
        </w:tc>
        <w:tc>
          <w:tcPr>
            <w:tcW w:w="557"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hint="eastAsia" w:ascii="Times New Roman" w:cs="Times New Roman"/>
                <w:snapToGrid w:val="0"/>
                <w:sz w:val="21"/>
                <w:szCs w:val="21"/>
              </w:rPr>
              <w:t>1257.02</w:t>
            </w:r>
          </w:p>
        </w:tc>
        <w:tc>
          <w:tcPr>
            <w:tcW w:w="502"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ascii="Times New Roman" w:cs="Times New Roman"/>
                <w:snapToGrid w:val="0"/>
                <w:sz w:val="21"/>
                <w:szCs w:val="21"/>
              </w:rPr>
              <w:t>100</w:t>
            </w:r>
          </w:p>
        </w:tc>
        <w:tc>
          <w:tcPr>
            <w:tcW w:w="722"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ascii="Times New Roman" w:cs="Times New Roman"/>
                <w:snapToGrid w:val="0"/>
                <w:sz w:val="21"/>
                <w:szCs w:val="21"/>
              </w:rPr>
              <w:t>-</w:t>
            </w:r>
          </w:p>
        </w:tc>
        <w:tc>
          <w:tcPr>
            <w:tcW w:w="705"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hint="eastAsia" w:ascii="Times New Roman" w:cs="Times New Roman"/>
                <w:snapToGrid w:val="0"/>
                <w:sz w:val="21"/>
                <w:szCs w:val="21"/>
              </w:rPr>
              <w:t>5771.91</w:t>
            </w:r>
          </w:p>
        </w:tc>
        <w:tc>
          <w:tcPr>
            <w:tcW w:w="714" w:type="pct"/>
            <w:vAlign w:val="center"/>
          </w:tcPr>
          <w:p>
            <w:pPr>
              <w:widowControl/>
              <w:topLinePunct w:val="0"/>
              <w:adjustRightInd/>
              <w:spacing w:line="240" w:lineRule="auto"/>
              <w:ind w:firstLine="0" w:firstLineChars="0"/>
              <w:textAlignment w:val="center"/>
              <w:rPr>
                <w:rFonts w:ascii="Times New Roman" w:cs="Times New Roman"/>
                <w:snapToGrid w:val="0"/>
                <w:sz w:val="21"/>
                <w:szCs w:val="21"/>
              </w:rPr>
            </w:pPr>
            <w:r>
              <w:rPr>
                <w:rFonts w:ascii="Times New Roman" w:cs="Times New Roman"/>
                <w:snapToGrid w:val="0"/>
                <w:sz w:val="21"/>
                <w:szCs w:val="21"/>
              </w:rPr>
              <w:t xml:space="preserve">100.00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topLinePunct w:val="0"/>
              <w:adjustRightInd/>
              <w:snapToGrid w:val="0"/>
              <w:spacing w:line="240" w:lineRule="auto"/>
              <w:ind w:firstLine="0" w:firstLineChars="0"/>
              <w:rPr>
                <w:rFonts w:ascii="Times New Roman" w:cs="Times New Roman"/>
                <w:sz w:val="21"/>
                <w:szCs w:val="21"/>
              </w:rPr>
            </w:pPr>
            <w:r>
              <w:rPr>
                <w:rFonts w:ascii="Times New Roman" w:cs="Times New Roman"/>
                <w:snapToGrid w:val="0"/>
                <w:sz w:val="21"/>
                <w:szCs w:val="21"/>
              </w:rPr>
              <w:t>平均</w:t>
            </w:r>
          </w:p>
        </w:tc>
        <w:tc>
          <w:tcPr>
            <w:tcW w:w="1248" w:type="pct"/>
            <w:vAlign w:val="center"/>
          </w:tcPr>
          <w:p>
            <w:pPr>
              <w:topLinePunct w:val="0"/>
              <w:adjustRightInd/>
              <w:snapToGrid w:val="0"/>
              <w:spacing w:line="240" w:lineRule="auto"/>
              <w:ind w:firstLine="0" w:firstLineChars="0"/>
              <w:rPr>
                <w:rFonts w:ascii="Times New Roman" w:cs="Times New Roman"/>
                <w:snapToGrid w:val="0"/>
                <w:sz w:val="21"/>
                <w:szCs w:val="21"/>
              </w:rPr>
            </w:pPr>
            <w:r>
              <w:rPr>
                <w:rFonts w:ascii="Times New Roman" w:cs="Times New Roman"/>
                <w:snapToGrid w:val="0"/>
                <w:sz w:val="21"/>
                <w:szCs w:val="21"/>
              </w:rPr>
              <w:t>-</w:t>
            </w:r>
          </w:p>
        </w:tc>
        <w:tc>
          <w:tcPr>
            <w:tcW w:w="557" w:type="pct"/>
            <w:vAlign w:val="center"/>
          </w:tcPr>
          <w:p>
            <w:pPr>
              <w:topLinePunct w:val="0"/>
              <w:adjustRightInd/>
              <w:snapToGrid w:val="0"/>
              <w:spacing w:line="240" w:lineRule="auto"/>
              <w:ind w:firstLine="0" w:firstLineChars="0"/>
              <w:rPr>
                <w:rFonts w:ascii="Times New Roman" w:cs="Times New Roman"/>
                <w:snapToGrid w:val="0"/>
                <w:sz w:val="21"/>
                <w:szCs w:val="21"/>
              </w:rPr>
            </w:pPr>
            <w:r>
              <w:rPr>
                <w:rFonts w:ascii="Times New Roman" w:cs="Times New Roman"/>
                <w:snapToGrid w:val="0"/>
                <w:sz w:val="21"/>
                <w:szCs w:val="21"/>
              </w:rPr>
              <w:t>-</w:t>
            </w:r>
          </w:p>
        </w:tc>
        <w:tc>
          <w:tcPr>
            <w:tcW w:w="502" w:type="pct"/>
            <w:vAlign w:val="center"/>
          </w:tcPr>
          <w:p>
            <w:pPr>
              <w:topLinePunct w:val="0"/>
              <w:adjustRightInd/>
              <w:snapToGrid w:val="0"/>
              <w:spacing w:line="240" w:lineRule="auto"/>
              <w:ind w:firstLine="0" w:firstLineChars="0"/>
              <w:rPr>
                <w:rFonts w:ascii="Times New Roman" w:cs="Times New Roman"/>
                <w:snapToGrid w:val="0"/>
                <w:sz w:val="21"/>
                <w:szCs w:val="21"/>
              </w:rPr>
            </w:pPr>
            <w:r>
              <w:rPr>
                <w:rFonts w:ascii="Times New Roman" w:cs="Times New Roman"/>
                <w:snapToGrid w:val="0"/>
                <w:sz w:val="21"/>
                <w:szCs w:val="21"/>
              </w:rPr>
              <w:t>-</w:t>
            </w:r>
          </w:p>
        </w:tc>
        <w:tc>
          <w:tcPr>
            <w:tcW w:w="722" w:type="pct"/>
            <w:vAlign w:val="center"/>
          </w:tcPr>
          <w:p>
            <w:pPr>
              <w:topLinePunct w:val="0"/>
              <w:adjustRightInd/>
              <w:snapToGrid w:val="0"/>
              <w:spacing w:line="240" w:lineRule="auto"/>
              <w:ind w:firstLine="0" w:firstLineChars="0"/>
              <w:rPr>
                <w:rFonts w:ascii="Times New Roman" w:cs="Times New Roman"/>
                <w:snapToGrid w:val="0"/>
                <w:sz w:val="21"/>
                <w:szCs w:val="21"/>
              </w:rPr>
            </w:pPr>
            <w:r>
              <w:rPr>
                <w:rFonts w:hint="eastAsia" w:ascii="Times New Roman" w:cs="Times New Roman"/>
                <w:snapToGrid w:val="0"/>
                <w:sz w:val="21"/>
                <w:szCs w:val="21"/>
              </w:rPr>
              <w:t>522.07</w:t>
            </w:r>
          </w:p>
        </w:tc>
        <w:tc>
          <w:tcPr>
            <w:tcW w:w="705" w:type="pct"/>
            <w:vAlign w:val="center"/>
          </w:tcPr>
          <w:p>
            <w:pPr>
              <w:topLinePunct w:val="0"/>
              <w:adjustRightInd/>
              <w:snapToGrid w:val="0"/>
              <w:spacing w:line="240" w:lineRule="auto"/>
              <w:ind w:firstLine="0" w:firstLineChars="0"/>
              <w:rPr>
                <w:rFonts w:ascii="Times New Roman" w:cs="Times New Roman"/>
                <w:snapToGrid w:val="0"/>
                <w:sz w:val="21"/>
                <w:szCs w:val="21"/>
              </w:rPr>
            </w:pPr>
          </w:p>
        </w:tc>
        <w:tc>
          <w:tcPr>
            <w:tcW w:w="714" w:type="pct"/>
            <w:vAlign w:val="center"/>
          </w:tcPr>
          <w:p>
            <w:pPr>
              <w:topLinePunct w:val="0"/>
              <w:adjustRightInd/>
              <w:snapToGrid w:val="0"/>
              <w:spacing w:line="240" w:lineRule="auto"/>
              <w:ind w:firstLine="0" w:firstLineChars="0"/>
              <w:rPr>
                <w:rFonts w:ascii="Times New Roman" w:cs="Times New Roman"/>
                <w:snapToGrid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topLinePunct w:val="0"/>
              <w:adjustRightInd/>
              <w:snapToGrid w:val="0"/>
              <w:spacing w:line="240" w:lineRule="auto"/>
              <w:ind w:firstLine="0" w:firstLineChars="0"/>
              <w:rPr>
                <w:rFonts w:ascii="Times New Roman" w:cs="Times New Roman"/>
                <w:sz w:val="21"/>
                <w:szCs w:val="21"/>
              </w:rPr>
            </w:pPr>
            <w:r>
              <w:rPr>
                <w:rFonts w:ascii="Times New Roman" w:cs="Times New Roman"/>
                <w:snapToGrid w:val="0"/>
                <w:sz w:val="21"/>
                <w:szCs w:val="21"/>
              </w:rPr>
              <w:t>参考标准</w:t>
            </w:r>
          </w:p>
        </w:tc>
        <w:tc>
          <w:tcPr>
            <w:tcW w:w="1248" w:type="pct"/>
            <w:vAlign w:val="center"/>
          </w:tcPr>
          <w:p>
            <w:pPr>
              <w:topLinePunct w:val="0"/>
              <w:adjustRightInd/>
              <w:snapToGrid w:val="0"/>
              <w:spacing w:line="240" w:lineRule="auto"/>
              <w:ind w:firstLine="0" w:firstLineChars="0"/>
              <w:rPr>
                <w:rFonts w:ascii="Times New Roman" w:cs="Times New Roman"/>
                <w:snapToGrid w:val="0"/>
                <w:sz w:val="21"/>
                <w:szCs w:val="21"/>
              </w:rPr>
            </w:pPr>
            <w:r>
              <w:rPr>
                <w:rFonts w:ascii="Times New Roman" w:cs="Times New Roman"/>
                <w:snapToGrid w:val="0"/>
                <w:sz w:val="21"/>
                <w:szCs w:val="21"/>
              </w:rPr>
              <w:t>-</w:t>
            </w:r>
          </w:p>
        </w:tc>
        <w:tc>
          <w:tcPr>
            <w:tcW w:w="557" w:type="pct"/>
            <w:vAlign w:val="center"/>
          </w:tcPr>
          <w:p>
            <w:pPr>
              <w:topLinePunct w:val="0"/>
              <w:adjustRightInd/>
              <w:snapToGrid w:val="0"/>
              <w:spacing w:line="240" w:lineRule="auto"/>
              <w:ind w:firstLine="0" w:firstLineChars="0"/>
              <w:rPr>
                <w:rFonts w:ascii="Times New Roman" w:cs="Times New Roman"/>
                <w:snapToGrid w:val="0"/>
                <w:sz w:val="21"/>
                <w:szCs w:val="21"/>
              </w:rPr>
            </w:pPr>
            <w:r>
              <w:rPr>
                <w:rFonts w:ascii="Times New Roman" w:cs="Times New Roman"/>
                <w:snapToGrid w:val="0"/>
                <w:sz w:val="21"/>
                <w:szCs w:val="21"/>
              </w:rPr>
              <w:t>-</w:t>
            </w:r>
          </w:p>
        </w:tc>
        <w:tc>
          <w:tcPr>
            <w:tcW w:w="502" w:type="pct"/>
            <w:vAlign w:val="center"/>
          </w:tcPr>
          <w:p>
            <w:pPr>
              <w:topLinePunct w:val="0"/>
              <w:adjustRightInd/>
              <w:snapToGrid w:val="0"/>
              <w:spacing w:line="240" w:lineRule="auto"/>
              <w:ind w:firstLine="0" w:firstLineChars="0"/>
              <w:rPr>
                <w:rFonts w:ascii="Times New Roman" w:cs="Times New Roman"/>
                <w:snapToGrid w:val="0"/>
                <w:sz w:val="21"/>
                <w:szCs w:val="21"/>
              </w:rPr>
            </w:pPr>
            <w:r>
              <w:rPr>
                <w:rFonts w:ascii="Times New Roman" w:cs="Times New Roman"/>
                <w:snapToGrid w:val="0"/>
                <w:sz w:val="21"/>
                <w:szCs w:val="21"/>
              </w:rPr>
              <w:t>-</w:t>
            </w:r>
          </w:p>
        </w:tc>
        <w:tc>
          <w:tcPr>
            <w:tcW w:w="722" w:type="pct"/>
            <w:vAlign w:val="center"/>
          </w:tcPr>
          <w:p>
            <w:pPr>
              <w:topLinePunct w:val="0"/>
              <w:adjustRightInd/>
              <w:snapToGrid w:val="0"/>
              <w:spacing w:line="240" w:lineRule="auto"/>
              <w:ind w:firstLine="0" w:firstLineChars="0"/>
              <w:rPr>
                <w:rFonts w:ascii="Times New Roman" w:cs="Times New Roman"/>
                <w:snapToGrid w:val="0"/>
                <w:sz w:val="21"/>
                <w:szCs w:val="21"/>
              </w:rPr>
            </w:pPr>
            <w:r>
              <w:rPr>
                <w:rFonts w:ascii="Times New Roman" w:cs="Times New Roman"/>
                <w:snapToGrid w:val="0"/>
                <w:sz w:val="21"/>
                <w:szCs w:val="21"/>
              </w:rPr>
              <w:t>684</w:t>
            </w:r>
          </w:p>
        </w:tc>
        <w:tc>
          <w:tcPr>
            <w:tcW w:w="705" w:type="pct"/>
            <w:vAlign w:val="center"/>
          </w:tcPr>
          <w:p>
            <w:pPr>
              <w:topLinePunct w:val="0"/>
              <w:adjustRightInd/>
              <w:snapToGrid w:val="0"/>
              <w:spacing w:line="240" w:lineRule="auto"/>
              <w:ind w:firstLine="0" w:firstLineChars="0"/>
              <w:rPr>
                <w:rFonts w:ascii="Times New Roman" w:cs="Times New Roman"/>
                <w:snapToGrid w:val="0"/>
                <w:sz w:val="21"/>
                <w:szCs w:val="21"/>
              </w:rPr>
            </w:pPr>
            <w:r>
              <w:rPr>
                <w:rFonts w:ascii="Times New Roman" w:cs="Times New Roman"/>
                <w:snapToGrid w:val="0"/>
                <w:sz w:val="21"/>
                <w:szCs w:val="21"/>
              </w:rPr>
              <w:t>-</w:t>
            </w:r>
          </w:p>
        </w:tc>
        <w:tc>
          <w:tcPr>
            <w:tcW w:w="714" w:type="pct"/>
            <w:vAlign w:val="center"/>
          </w:tcPr>
          <w:p>
            <w:pPr>
              <w:topLinePunct w:val="0"/>
              <w:adjustRightInd/>
              <w:snapToGrid w:val="0"/>
              <w:spacing w:line="240" w:lineRule="auto"/>
              <w:ind w:firstLine="0" w:firstLineChars="0"/>
              <w:rPr>
                <w:rFonts w:ascii="Times New Roman" w:cs="Times New Roman"/>
                <w:snapToGrid w:val="0"/>
                <w:sz w:val="21"/>
                <w:szCs w:val="21"/>
              </w:rPr>
            </w:pPr>
            <w:r>
              <w:rPr>
                <w:rFonts w:ascii="Times New Roman" w:cs="Times New Roman"/>
                <w:snapToGrid w:val="0"/>
                <w:sz w:val="21"/>
                <w:szCs w:val="21"/>
              </w:rPr>
              <w:t>-</w:t>
            </w:r>
          </w:p>
        </w:tc>
      </w:tr>
    </w:tbl>
    <w:p>
      <w:pPr>
        <w:topLinePunct w:val="0"/>
        <w:adjustRightInd/>
        <w:spacing w:line="240" w:lineRule="auto"/>
        <w:ind w:firstLine="363" w:firstLineChars="0"/>
        <w:jc w:val="left"/>
        <w:rPr>
          <w:rFonts w:ascii="Times New Roman" w:cs="Times New Roman"/>
          <w:kern w:val="2"/>
          <w:sz w:val="21"/>
          <w:szCs w:val="21"/>
        </w:rPr>
      </w:pPr>
      <w:r>
        <w:rPr>
          <w:rFonts w:ascii="Times New Roman" w:cs="Times New Roman"/>
          <w:kern w:val="2"/>
          <w:sz w:val="21"/>
          <w:szCs w:val="21"/>
        </w:rPr>
        <w:t>注：表中平均生产力值来源于《中国陆地植被净初级生产力遥感估算》等文献，参考标准采用全国1989-1993中国陆地生态系统平均NPP值</w:t>
      </w:r>
    </w:p>
    <w:p>
      <w:pPr>
        <w:pStyle w:val="112"/>
        <w:ind w:firstLine="480"/>
        <w:rPr>
          <w:kern w:val="2"/>
          <w:szCs w:val="24"/>
          <w:lang w:val="de-DE"/>
        </w:rPr>
      </w:pPr>
      <w:r>
        <w:rPr>
          <w:kern w:val="2"/>
          <w:szCs w:val="24"/>
        </w:rPr>
        <w:t>从表</w:t>
      </w:r>
      <w:r>
        <w:rPr>
          <w:rFonts w:hint="eastAsia"/>
          <w:kern w:val="2"/>
          <w:szCs w:val="24"/>
        </w:rPr>
        <w:t>5.2</w:t>
      </w:r>
      <w:r>
        <w:rPr>
          <w:kern w:val="2"/>
          <w:szCs w:val="24"/>
        </w:rPr>
        <w:t>-</w:t>
      </w:r>
      <w:r>
        <w:rPr>
          <w:rFonts w:hint="eastAsia"/>
          <w:kern w:val="2"/>
          <w:szCs w:val="24"/>
        </w:rPr>
        <w:t>12</w:t>
      </w:r>
      <w:r>
        <w:rPr>
          <w:kern w:val="2"/>
          <w:szCs w:val="24"/>
        </w:rPr>
        <w:t>中可以看出，评价范围总生产力</w:t>
      </w:r>
      <w:r>
        <w:rPr>
          <w:rFonts w:hint="eastAsia"/>
          <w:kern w:val="2"/>
          <w:szCs w:val="24"/>
        </w:rPr>
        <w:t>5771.91</w:t>
      </w:r>
      <w:r>
        <w:rPr>
          <w:kern w:val="2"/>
          <w:szCs w:val="24"/>
        </w:rPr>
        <w:t>tC/（a），平均净生产</w:t>
      </w:r>
      <w:r>
        <w:rPr>
          <w:rFonts w:hint="eastAsia"/>
          <w:kern w:val="2"/>
          <w:szCs w:val="24"/>
        </w:rPr>
        <w:t>522.07</w:t>
      </w:r>
      <w:r>
        <w:rPr>
          <w:kern w:val="2"/>
          <w:szCs w:val="24"/>
        </w:rPr>
        <w:t>gC/（m</w:t>
      </w:r>
      <w:r>
        <w:rPr>
          <w:kern w:val="2"/>
          <w:szCs w:val="24"/>
          <w:vertAlign w:val="superscript"/>
        </w:rPr>
        <w:t>2</w:t>
      </w:r>
      <w:r>
        <w:rPr>
          <w:kern w:val="2"/>
          <w:szCs w:val="24"/>
        </w:rPr>
        <w:t>.a），比中国陆地生态系统平均值低</w:t>
      </w:r>
      <w:r>
        <w:rPr>
          <w:rFonts w:hint="eastAsia"/>
          <w:kern w:val="2"/>
          <w:szCs w:val="24"/>
        </w:rPr>
        <w:t>161.93</w:t>
      </w:r>
      <w:r>
        <w:rPr>
          <w:kern w:val="2"/>
          <w:szCs w:val="24"/>
        </w:rPr>
        <w:t>gC/（m</w:t>
      </w:r>
      <w:r>
        <w:rPr>
          <w:kern w:val="2"/>
          <w:szCs w:val="24"/>
          <w:vertAlign w:val="superscript"/>
        </w:rPr>
        <w:t>2</w:t>
      </w:r>
      <w:r>
        <w:rPr>
          <w:kern w:val="2"/>
          <w:szCs w:val="24"/>
        </w:rPr>
        <w:t>.a），远不及评价范围土地自然生产力</w:t>
      </w:r>
      <w:r>
        <w:rPr>
          <w:rFonts w:hint="eastAsia"/>
          <w:kern w:val="2"/>
          <w:szCs w:val="24"/>
        </w:rPr>
        <w:t>1585.88</w:t>
      </w:r>
      <w:r>
        <w:rPr>
          <w:kern w:val="2"/>
          <w:szCs w:val="24"/>
        </w:rPr>
        <w:t>t/hm</w:t>
      </w:r>
      <w:r>
        <w:rPr>
          <w:kern w:val="2"/>
          <w:szCs w:val="24"/>
          <w:vertAlign w:val="superscript"/>
        </w:rPr>
        <w:t>2</w:t>
      </w:r>
      <w:r>
        <w:rPr>
          <w:kern w:val="2"/>
          <w:szCs w:val="24"/>
        </w:rPr>
        <w:t>/a，主要是由于评价范围内平均净生产力水平较高的地带性常绿阔叶林植被，因为人为干扰，已经基本不复存在，取而代之的是平均净生产力水平较低的常绿针叶林和落叶阔叶林植被及耕地植被</w:t>
      </w:r>
      <w:r>
        <w:rPr>
          <w:szCs w:val="24"/>
        </w:rPr>
        <w:t>。</w:t>
      </w:r>
    </w:p>
    <w:p>
      <w:pPr>
        <w:topLinePunct w:val="0"/>
        <w:adjustRightInd/>
        <w:spacing w:line="480" w:lineRule="exact"/>
        <w:ind w:firstLine="482"/>
        <w:rPr>
          <w:rFonts w:ascii="Times New Roman" w:cs="Times New Roman"/>
          <w:b/>
          <w:bCs/>
          <w:kern w:val="2"/>
        </w:rPr>
      </w:pPr>
      <w:r>
        <w:rPr>
          <w:rFonts w:ascii="Times New Roman" w:cs="Times New Roman"/>
          <w:b/>
          <w:bCs/>
          <w:kern w:val="2"/>
        </w:rPr>
        <w:t>（3）评价范围植被生物量现状评价</w:t>
      </w:r>
    </w:p>
    <w:p>
      <w:pPr>
        <w:topLinePunct w:val="0"/>
        <w:snapToGrid w:val="0"/>
        <w:spacing w:beforeLines="50"/>
        <w:ind w:firstLine="480"/>
        <w:rPr>
          <w:rFonts w:ascii="Times New Roman" w:cs="Times New Roman"/>
        </w:rPr>
      </w:pPr>
      <w:r>
        <w:rPr>
          <w:rFonts w:ascii="Times New Roman" w:cs="Times New Roman"/>
        </w:rPr>
        <w:t>植被的生物量是指一定地段面积内植物群落在某一时期生存着的活有机物质之重量，以t/hm</w:t>
      </w:r>
      <w:r>
        <w:rPr>
          <w:rFonts w:ascii="Times New Roman" w:cs="Times New Roman"/>
          <w:vertAlign w:val="superscript"/>
        </w:rPr>
        <w:t>2</w:t>
      </w:r>
      <w:r>
        <w:rPr>
          <w:rFonts w:ascii="Times New Roman" w:cs="Times New Roman"/>
        </w:rPr>
        <w:t>表示。群落类型不同，其生物量测定的方法也有所不同。</w:t>
      </w:r>
    </w:p>
    <w:p>
      <w:pPr>
        <w:topLinePunct w:val="0"/>
        <w:snapToGrid w:val="0"/>
        <w:ind w:firstLine="482"/>
        <w:rPr>
          <w:rFonts w:ascii="Times New Roman" w:cs="Times New Roman"/>
          <w:b/>
          <w:bCs/>
        </w:rPr>
      </w:pPr>
      <w:r>
        <w:rPr>
          <w:rFonts w:ascii="Times New Roman" w:cs="Times New Roman"/>
          <w:b/>
          <w:bCs/>
        </w:rPr>
        <w:t>1、森林群落生物量</w:t>
      </w:r>
    </w:p>
    <w:p>
      <w:pPr>
        <w:topLinePunct w:val="0"/>
        <w:snapToGrid w:val="0"/>
        <w:ind w:firstLine="480"/>
        <w:rPr>
          <w:rFonts w:ascii="Times New Roman" w:cs="Times New Roman"/>
        </w:rPr>
      </w:pPr>
      <w:r>
        <w:rPr>
          <w:rFonts w:ascii="Times New Roman" w:cs="Times New Roman"/>
        </w:rPr>
        <w:t>森林生物量目前常用材积推算法来估算，用此方法估算出的生物量被称为材积源生物量。由于在作材积分析时需要对森林群落样地的林木进行砍伐取样，在实际操作中要</w:t>
      </w:r>
      <w:r>
        <w:rPr>
          <w:rFonts w:hint="eastAsia" w:ascii="Times New Roman" w:cs="Times New Roman"/>
          <w:lang w:eastAsia="zh-CN"/>
        </w:rPr>
        <w:t>涉及</w:t>
      </w:r>
      <w:r>
        <w:rPr>
          <w:rFonts w:ascii="Times New Roman" w:cs="Times New Roman"/>
        </w:rPr>
        <w:t>取样木砍伐的审批手续及样木赔偿付费等问题，因此，本次森林生物量的估算采取借用中国科学院生态环境研究中心专家建立的我国森林生物量的基本参数，以79.2t/hm</w:t>
      </w:r>
      <w:r>
        <w:rPr>
          <w:rFonts w:ascii="Times New Roman" w:cs="Times New Roman"/>
          <w:vertAlign w:val="superscript"/>
        </w:rPr>
        <w:t>2</w:t>
      </w:r>
      <w:r>
        <w:rPr>
          <w:rFonts w:ascii="Times New Roman" w:cs="Times New Roman"/>
        </w:rPr>
        <w:t>作为本次森林生物量估算的基础。考虑到上述参数未将森林群落的林下灌木、草本之生物量计入，因此，又借用中山大学学者在我国南方地区（广州林区）所进行的森林生物量测定中增加的灌木草本层生物量之补充，即在材积源生物量中增加10t/hm</w:t>
      </w:r>
      <w:r>
        <w:rPr>
          <w:rFonts w:ascii="Times New Roman" w:cs="Times New Roman"/>
          <w:vertAlign w:val="superscript"/>
        </w:rPr>
        <w:t>2</w:t>
      </w:r>
      <w:r>
        <w:rPr>
          <w:rFonts w:ascii="Times New Roman" w:cs="Times New Roman"/>
        </w:rPr>
        <w:t>，即以（79.2＋10）t/hm</w:t>
      </w:r>
      <w:r>
        <w:rPr>
          <w:rFonts w:ascii="Times New Roman" w:cs="Times New Roman"/>
          <w:vertAlign w:val="superscript"/>
        </w:rPr>
        <w:t>2</w:t>
      </w:r>
      <w:r>
        <w:rPr>
          <w:rFonts w:ascii="Times New Roman" w:cs="Times New Roman"/>
        </w:rPr>
        <w:t>来作为本评价区域森林群落生物量的基数。</w:t>
      </w:r>
    </w:p>
    <w:p>
      <w:pPr>
        <w:topLinePunct w:val="0"/>
        <w:snapToGrid w:val="0"/>
        <w:ind w:firstLine="482"/>
        <w:rPr>
          <w:rFonts w:ascii="Times New Roman" w:cs="Times New Roman"/>
          <w:b/>
          <w:bCs/>
        </w:rPr>
      </w:pPr>
      <w:r>
        <w:rPr>
          <w:rFonts w:ascii="Times New Roman" w:cs="Times New Roman"/>
          <w:b/>
          <w:bCs/>
        </w:rPr>
        <w:t>2、灌丛和灌草丛生物量</w:t>
      </w:r>
    </w:p>
    <w:p>
      <w:pPr>
        <w:topLinePunct w:val="0"/>
        <w:snapToGrid w:val="0"/>
        <w:ind w:firstLine="0" w:firstLineChars="0"/>
        <w:rPr>
          <w:rFonts w:ascii="Times New Roman" w:cs="Times New Roman"/>
        </w:rPr>
      </w:pPr>
      <w:r>
        <w:rPr>
          <w:rFonts w:ascii="Times New Roman" w:cs="Times New Roman"/>
        </w:rPr>
        <w:t xml:space="preserve">    灌丛和灌草丛生物量采用收获法测定。本次野外实地调查中，选择不同灌丛和灌草丛类型，进行了典型样方生物量测定，考虑到不同灌丛类型其生物量有很大的差异，故分别对本区内两种类型的灌丛进行生物量的测定。灌丛共作</w:t>
      </w:r>
      <w:r>
        <w:rPr>
          <w:rFonts w:hint="eastAsia" w:ascii="Times New Roman" w:cs="Times New Roman"/>
        </w:rPr>
        <w:t>3</w:t>
      </w:r>
      <w:r>
        <w:rPr>
          <w:rFonts w:ascii="Times New Roman" w:cs="Times New Roman"/>
        </w:rPr>
        <w:t>个5×5m的生物量样方，在每个样方内均匀取样4m</w:t>
      </w:r>
      <w:r>
        <w:rPr>
          <w:rFonts w:ascii="Times New Roman" w:cs="Times New Roman"/>
          <w:vertAlign w:val="superscript"/>
        </w:rPr>
        <w:t>2</w:t>
      </w:r>
      <w:r>
        <w:rPr>
          <w:rFonts w:ascii="Times New Roman" w:cs="Times New Roman"/>
        </w:rPr>
        <w:t>的生物量（鲜重），并将部分鲜样称重后带回实验室内恒温箱中80℃烘干至恒重，计算含水量及干物质重量，将生物量鲜重换算成干重，得到灌丛地上部分平均生物量为16.28t/hm</w:t>
      </w:r>
      <w:r>
        <w:rPr>
          <w:rFonts w:ascii="Times New Roman" w:cs="Times New Roman"/>
          <w:vertAlign w:val="superscript"/>
        </w:rPr>
        <w:t>2</w:t>
      </w:r>
      <w:r>
        <w:rPr>
          <w:rFonts w:ascii="Times New Roman" w:cs="Times New Roman"/>
        </w:rPr>
        <w:t>；灌草丛取</w:t>
      </w:r>
      <w:r>
        <w:rPr>
          <w:rFonts w:hint="eastAsia" w:ascii="Times New Roman" w:cs="Times New Roman"/>
        </w:rPr>
        <w:t>3</w:t>
      </w:r>
      <w:r>
        <w:rPr>
          <w:rFonts w:ascii="Times New Roman" w:cs="Times New Roman"/>
        </w:rPr>
        <w:t>个1×1m的生物量样方，在每个样方内均匀取样1m</w:t>
      </w:r>
      <w:r>
        <w:rPr>
          <w:rFonts w:ascii="Times New Roman" w:cs="Times New Roman"/>
          <w:vertAlign w:val="superscript"/>
        </w:rPr>
        <w:t>2</w:t>
      </w:r>
      <w:r>
        <w:rPr>
          <w:rFonts w:ascii="Times New Roman" w:cs="Times New Roman"/>
        </w:rPr>
        <w:t>的生物量（鲜重），并将部分鲜样称重后带回实验室内恒温箱中80℃烘干至恒重，计算含水量及干物质重量，将生物量鲜重换算成干重，得到灌草丛地上部分平均生物量为4.52t/hm</w:t>
      </w:r>
      <w:r>
        <w:rPr>
          <w:rFonts w:ascii="Times New Roman" w:cs="Times New Roman"/>
          <w:vertAlign w:val="superscript"/>
        </w:rPr>
        <w:t>2</w:t>
      </w:r>
      <w:r>
        <w:rPr>
          <w:rFonts w:ascii="Times New Roman" w:cs="Times New Roman"/>
        </w:rPr>
        <w:t>。由于现场测定仅作了灌丛和灌草丛的地上部分生物量的测定，地下部分生物量则利用已有的生物量资料中地上部分（T）与地下部分（R）之比例系数（T/R）为1.44的系数来推算出本评价范围内灌丛和灌草丛生物量的地下部分（屠玉麟，贵州中部喀斯特灌丛群落生物量研究，《中国岩溶》．Vol.14.No.3.1995）。因此，灌丛的生物量即为地上部分与地下部分之和：（16.28＋16.28/1.44）=27.58t/hm</w:t>
      </w:r>
      <w:r>
        <w:rPr>
          <w:rFonts w:ascii="Times New Roman" w:cs="Times New Roman"/>
          <w:vertAlign w:val="superscript"/>
        </w:rPr>
        <w:t>2</w:t>
      </w:r>
      <w:r>
        <w:rPr>
          <w:rFonts w:ascii="Times New Roman" w:cs="Times New Roman"/>
        </w:rPr>
        <w:t>，灌草丛的生物量即为地上部分与地下部分之和：（4.52＋4.52/1.44）=7.66t/hm</w:t>
      </w:r>
      <w:r>
        <w:rPr>
          <w:rFonts w:ascii="Times New Roman" w:cs="Times New Roman"/>
          <w:vertAlign w:val="superscript"/>
        </w:rPr>
        <w:t>2</w:t>
      </w:r>
      <w:r>
        <w:rPr>
          <w:rFonts w:ascii="Times New Roman" w:cs="Times New Roman"/>
        </w:rPr>
        <w:t>。</w:t>
      </w:r>
    </w:p>
    <w:p>
      <w:pPr>
        <w:topLinePunct w:val="0"/>
        <w:snapToGrid w:val="0"/>
        <w:ind w:firstLine="0" w:firstLineChars="0"/>
        <w:rPr>
          <w:rFonts w:ascii="Times New Roman" w:cs="Times New Roman"/>
          <w:b/>
          <w:bCs/>
        </w:rPr>
      </w:pPr>
      <w:r>
        <w:rPr>
          <w:rFonts w:ascii="Times New Roman" w:cs="Times New Roman"/>
          <w:b/>
          <w:bCs/>
        </w:rPr>
        <w:t xml:space="preserve">    3、农田植被的生物量</w:t>
      </w:r>
    </w:p>
    <w:p>
      <w:pPr>
        <w:pStyle w:val="112"/>
        <w:ind w:firstLine="480"/>
        <w:rPr>
          <w:kern w:val="2"/>
          <w:szCs w:val="24"/>
        </w:rPr>
      </w:pPr>
      <w:r>
        <w:rPr>
          <w:kern w:val="2"/>
          <w:szCs w:val="24"/>
        </w:rPr>
        <w:t>农田植被生物量由三部分组成，即作物子粒、</w:t>
      </w:r>
      <w:r>
        <w:rPr>
          <w:rFonts w:hint="eastAsia"/>
          <w:kern w:val="2"/>
          <w:szCs w:val="24"/>
          <w:lang w:eastAsia="zh-CN"/>
        </w:rPr>
        <w:t>秸秆</w:t>
      </w:r>
      <w:r>
        <w:rPr>
          <w:kern w:val="2"/>
          <w:szCs w:val="24"/>
        </w:rPr>
        <w:t>和根茬。由于目前尚无</w:t>
      </w:r>
      <w:r>
        <w:rPr>
          <w:rFonts w:hint="eastAsia"/>
          <w:kern w:val="2"/>
          <w:szCs w:val="24"/>
        </w:rPr>
        <w:t>宣汉县</w:t>
      </w:r>
      <w:r>
        <w:rPr>
          <w:kern w:val="2"/>
          <w:szCs w:val="24"/>
        </w:rPr>
        <w:t>农田的</w:t>
      </w:r>
      <w:r>
        <w:rPr>
          <w:rFonts w:hint="eastAsia"/>
          <w:kern w:val="2"/>
          <w:szCs w:val="24"/>
          <w:lang w:eastAsia="zh-CN"/>
        </w:rPr>
        <w:t>秸秆</w:t>
      </w:r>
      <w:r>
        <w:rPr>
          <w:kern w:val="2"/>
          <w:szCs w:val="24"/>
        </w:rPr>
        <w:t>、根茬单位面积产量数据</w:t>
      </w:r>
      <w:r>
        <w:rPr>
          <w:rFonts w:hint="eastAsia"/>
          <w:kern w:val="2"/>
          <w:szCs w:val="24"/>
        </w:rPr>
        <w:t>，</w:t>
      </w:r>
      <w:r>
        <w:rPr>
          <w:kern w:val="2"/>
          <w:szCs w:val="24"/>
        </w:rPr>
        <w:t>农田植被生物量基数参考</w:t>
      </w:r>
      <w:r>
        <w:rPr>
          <w:rFonts w:hint="eastAsia"/>
          <w:kern w:val="2"/>
          <w:szCs w:val="24"/>
        </w:rPr>
        <w:t>四川</w:t>
      </w:r>
      <w:r>
        <w:rPr>
          <w:kern w:val="2"/>
          <w:szCs w:val="24"/>
        </w:rPr>
        <w:t>省已有案例。</w:t>
      </w:r>
    </w:p>
    <w:p>
      <w:pPr>
        <w:topLinePunct w:val="0"/>
        <w:snapToGrid w:val="0"/>
        <w:spacing w:line="240" w:lineRule="auto"/>
        <w:ind w:firstLine="561" w:firstLineChars="0"/>
        <w:jc w:val="center"/>
        <w:rPr>
          <w:rFonts w:ascii="Times New Roman" w:cs="Times New Roman"/>
          <w:b/>
          <w:sz w:val="21"/>
          <w:szCs w:val="21"/>
        </w:rPr>
      </w:pPr>
      <w:r>
        <w:rPr>
          <w:rFonts w:ascii="Times New Roman" w:cs="Times New Roman"/>
          <w:b/>
          <w:sz w:val="21"/>
          <w:szCs w:val="21"/>
        </w:rPr>
        <w:t>表</w:t>
      </w:r>
      <w:r>
        <w:rPr>
          <w:rFonts w:hint="eastAsia" w:ascii="Times New Roman" w:cs="Times New Roman"/>
          <w:b/>
          <w:sz w:val="21"/>
          <w:szCs w:val="21"/>
        </w:rPr>
        <w:t>5.2-13</w:t>
      </w:r>
      <w:r>
        <w:rPr>
          <w:rFonts w:ascii="Times New Roman" w:cs="Times New Roman"/>
          <w:b/>
          <w:sz w:val="21"/>
          <w:szCs w:val="21"/>
        </w:rPr>
        <w:t xml:space="preserve"> 评价范围内的植被生物量现状值</w:t>
      </w:r>
    </w:p>
    <w:tbl>
      <w:tblPr>
        <w:tblStyle w:val="57"/>
        <w:tblW w:w="78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1570"/>
        <w:gridCol w:w="1740"/>
        <w:gridCol w:w="1560"/>
        <w:gridCol w:w="14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restart"/>
            <w:vAlign w:val="center"/>
          </w:tcPr>
          <w:p>
            <w:pPr>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植被类型</w:t>
            </w:r>
          </w:p>
        </w:tc>
        <w:tc>
          <w:tcPr>
            <w:tcW w:w="4870" w:type="dxa"/>
            <w:gridSpan w:val="3"/>
            <w:vAlign w:val="center"/>
          </w:tcPr>
          <w:p>
            <w:pPr>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项目评价范围</w:t>
            </w:r>
          </w:p>
        </w:tc>
        <w:tc>
          <w:tcPr>
            <w:tcW w:w="1434" w:type="dxa"/>
            <w:vAlign w:val="center"/>
          </w:tcPr>
          <w:p>
            <w:pPr>
              <w:topLinePunct w:val="0"/>
              <w:adjustRightInd/>
              <w:spacing w:line="240" w:lineRule="auto"/>
              <w:ind w:firstLine="0" w:firstLineChars="0"/>
              <w:jc w:val="center"/>
              <w:rPr>
                <w:rFonts w:asci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Merge w:val="continue"/>
            <w:vAlign w:val="center"/>
          </w:tcPr>
          <w:p>
            <w:pPr>
              <w:topLinePunct w:val="0"/>
              <w:adjustRightInd/>
              <w:spacing w:line="240" w:lineRule="auto"/>
              <w:ind w:firstLine="0" w:firstLineChars="0"/>
              <w:jc w:val="center"/>
              <w:rPr>
                <w:rFonts w:ascii="Times New Roman" w:cs="Times New Roman"/>
                <w:sz w:val="21"/>
                <w:szCs w:val="21"/>
              </w:rPr>
            </w:pPr>
          </w:p>
        </w:tc>
        <w:tc>
          <w:tcPr>
            <w:tcW w:w="1570" w:type="dxa"/>
            <w:vAlign w:val="center"/>
          </w:tcPr>
          <w:p>
            <w:pPr>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面积</w:t>
            </w:r>
            <w:r>
              <w:rPr>
                <w:rFonts w:hint="eastAsia" w:ascii="Times New Roman" w:cs="Times New Roman"/>
                <w:sz w:val="21"/>
                <w:szCs w:val="21"/>
              </w:rPr>
              <w:t>（</w:t>
            </w:r>
            <w:r>
              <w:rPr>
                <w:rFonts w:ascii="Times New Roman" w:cs="Times New Roman"/>
                <w:sz w:val="21"/>
                <w:szCs w:val="21"/>
              </w:rPr>
              <w:t>hm</w:t>
            </w:r>
            <w:r>
              <w:rPr>
                <w:rFonts w:ascii="Times New Roman" w:cs="Times New Roman"/>
                <w:sz w:val="21"/>
                <w:szCs w:val="21"/>
                <w:vertAlign w:val="superscript"/>
              </w:rPr>
              <w:t>2</w:t>
            </w:r>
            <w:r>
              <w:rPr>
                <w:rFonts w:hint="eastAsia" w:ascii="Times New Roman" w:cs="Times New Roman"/>
                <w:sz w:val="21"/>
                <w:szCs w:val="21"/>
              </w:rPr>
              <w:t>）</w:t>
            </w:r>
          </w:p>
        </w:tc>
        <w:tc>
          <w:tcPr>
            <w:tcW w:w="1740" w:type="dxa"/>
            <w:vAlign w:val="center"/>
          </w:tcPr>
          <w:p>
            <w:pPr>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基数</w:t>
            </w:r>
            <w:r>
              <w:rPr>
                <w:rFonts w:hint="eastAsia" w:ascii="Times New Roman" w:cs="Times New Roman"/>
                <w:sz w:val="21"/>
                <w:szCs w:val="21"/>
              </w:rPr>
              <w:t>（</w:t>
            </w:r>
            <w:r>
              <w:rPr>
                <w:rFonts w:ascii="Times New Roman" w:cs="Times New Roman"/>
              </w:rPr>
              <w:t>t/hm²</w:t>
            </w:r>
            <w:r>
              <w:rPr>
                <w:rFonts w:hint="eastAsia" w:ascii="Times New Roman" w:cs="Times New Roman"/>
                <w:sz w:val="21"/>
                <w:szCs w:val="21"/>
              </w:rPr>
              <w:t>）</w:t>
            </w:r>
          </w:p>
        </w:tc>
        <w:tc>
          <w:tcPr>
            <w:tcW w:w="1560" w:type="dxa"/>
            <w:vAlign w:val="center"/>
          </w:tcPr>
          <w:p>
            <w:pPr>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生物量</w:t>
            </w:r>
            <w:r>
              <w:rPr>
                <w:rFonts w:hint="eastAsia" w:ascii="Times New Roman" w:cs="Times New Roman"/>
                <w:sz w:val="21"/>
                <w:szCs w:val="21"/>
              </w:rPr>
              <w:t>（</w:t>
            </w:r>
            <w:r>
              <w:rPr>
                <w:rFonts w:ascii="Times New Roman" w:cs="Times New Roman"/>
                <w:sz w:val="21"/>
                <w:szCs w:val="21"/>
              </w:rPr>
              <w:t>t</w:t>
            </w:r>
            <w:r>
              <w:rPr>
                <w:rFonts w:hint="eastAsia" w:ascii="Times New Roman" w:cs="Times New Roman"/>
                <w:sz w:val="21"/>
                <w:szCs w:val="21"/>
              </w:rPr>
              <w:t>）</w:t>
            </w:r>
          </w:p>
        </w:tc>
        <w:tc>
          <w:tcPr>
            <w:tcW w:w="1434" w:type="dxa"/>
            <w:vAlign w:val="center"/>
          </w:tcPr>
          <w:p>
            <w:pPr>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百分比（%）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Align w:val="center"/>
          </w:tcPr>
          <w:p>
            <w:pPr>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水田植被</w:t>
            </w:r>
          </w:p>
        </w:tc>
        <w:tc>
          <w:tcPr>
            <w:tcW w:w="1570" w:type="dxa"/>
            <w:vAlign w:val="bottom"/>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kern w:val="2"/>
                <w:sz w:val="21"/>
                <w:szCs w:val="21"/>
              </w:rPr>
              <w:t>21.92</w:t>
            </w:r>
          </w:p>
        </w:tc>
        <w:tc>
          <w:tcPr>
            <w:tcW w:w="1740" w:type="dxa"/>
            <w:vAlign w:val="bottom"/>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10.51</w:t>
            </w:r>
          </w:p>
        </w:tc>
        <w:tc>
          <w:tcPr>
            <w:tcW w:w="1560" w:type="dxa"/>
            <w:vAlign w:val="bottom"/>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230.38</w:t>
            </w:r>
          </w:p>
        </w:tc>
        <w:tc>
          <w:tcPr>
            <w:tcW w:w="1434" w:type="dxa"/>
            <w:vAlign w:val="bottom"/>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0.29</w:t>
            </w:r>
            <w:r>
              <w:rPr>
                <w:rFonts w:ascii="Times New Roman" w:cs="Times New Roman"/>
                <w:sz w:val="21"/>
                <w:szCs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Align w:val="center"/>
          </w:tcPr>
          <w:p>
            <w:pPr>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旱地植被</w:t>
            </w:r>
          </w:p>
        </w:tc>
        <w:tc>
          <w:tcPr>
            <w:tcW w:w="1570" w:type="dxa"/>
            <w:vAlign w:val="bottom"/>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kern w:val="2"/>
                <w:sz w:val="21"/>
                <w:szCs w:val="21"/>
              </w:rPr>
              <w:t>227.79</w:t>
            </w:r>
          </w:p>
        </w:tc>
        <w:tc>
          <w:tcPr>
            <w:tcW w:w="1740" w:type="dxa"/>
            <w:vAlign w:val="bottom"/>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10.31</w:t>
            </w:r>
          </w:p>
        </w:tc>
        <w:tc>
          <w:tcPr>
            <w:tcW w:w="1560" w:type="dxa"/>
            <w:vAlign w:val="bottom"/>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2348.51</w:t>
            </w:r>
            <w:r>
              <w:rPr>
                <w:rFonts w:ascii="Times New Roman" w:cs="Times New Roman"/>
                <w:sz w:val="21"/>
                <w:szCs w:val="21"/>
              </w:rPr>
              <w:t xml:space="preserve"> </w:t>
            </w:r>
          </w:p>
        </w:tc>
        <w:tc>
          <w:tcPr>
            <w:tcW w:w="1434" w:type="dxa"/>
            <w:vAlign w:val="bottom"/>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2.88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Align w:val="center"/>
          </w:tcPr>
          <w:p>
            <w:pPr>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森林植被</w:t>
            </w:r>
          </w:p>
        </w:tc>
        <w:tc>
          <w:tcPr>
            <w:tcW w:w="1570" w:type="dxa"/>
            <w:vAlign w:val="bottom"/>
          </w:tcPr>
          <w:p>
            <w:pPr>
              <w:widowControl/>
              <w:topLinePunct w:val="0"/>
              <w:adjustRightInd/>
              <w:spacing w:line="240" w:lineRule="auto"/>
              <w:ind w:firstLine="0" w:firstLineChars="0"/>
              <w:jc w:val="center"/>
              <w:textAlignment w:val="bottom"/>
              <w:rPr>
                <w:rFonts w:hAnsi="宋体"/>
                <w:kern w:val="2"/>
              </w:rPr>
            </w:pPr>
            <w:r>
              <w:rPr>
                <w:rFonts w:hint="eastAsia" w:ascii="Times New Roman" w:cs="Times New Roman"/>
                <w:sz w:val="21"/>
                <w:szCs w:val="21"/>
              </w:rPr>
              <w:t>862.69</w:t>
            </w:r>
          </w:p>
        </w:tc>
        <w:tc>
          <w:tcPr>
            <w:tcW w:w="1740" w:type="dxa"/>
            <w:vAlign w:val="bottom"/>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89.2</w:t>
            </w:r>
          </w:p>
        </w:tc>
        <w:tc>
          <w:tcPr>
            <w:tcW w:w="1560" w:type="dxa"/>
            <w:vAlign w:val="bottom"/>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76951.95</w:t>
            </w:r>
          </w:p>
        </w:tc>
        <w:tc>
          <w:tcPr>
            <w:tcW w:w="1434" w:type="dxa"/>
            <w:vAlign w:val="bottom"/>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94.46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Align w:val="center"/>
          </w:tcPr>
          <w:p>
            <w:pPr>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灌丛植被</w:t>
            </w:r>
          </w:p>
        </w:tc>
        <w:tc>
          <w:tcPr>
            <w:tcW w:w="1570" w:type="dxa"/>
            <w:vAlign w:val="bottom"/>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kern w:val="2"/>
                <w:sz w:val="21"/>
                <w:szCs w:val="21"/>
              </w:rPr>
              <w:t>69.83</w:t>
            </w:r>
          </w:p>
        </w:tc>
        <w:tc>
          <w:tcPr>
            <w:tcW w:w="1740" w:type="dxa"/>
            <w:vAlign w:val="bottom"/>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27.58</w:t>
            </w:r>
          </w:p>
        </w:tc>
        <w:tc>
          <w:tcPr>
            <w:tcW w:w="1560" w:type="dxa"/>
            <w:vAlign w:val="bottom"/>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1925.91</w:t>
            </w:r>
          </w:p>
        </w:tc>
        <w:tc>
          <w:tcPr>
            <w:tcW w:w="1434" w:type="dxa"/>
            <w:vAlign w:val="bottom"/>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2.36</w:t>
            </w:r>
            <w:r>
              <w:rPr>
                <w:rFonts w:ascii="Times New Roman" w:cs="Times New Roman"/>
                <w:sz w:val="21"/>
                <w:szCs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Align w:val="center"/>
          </w:tcPr>
          <w:p>
            <w:pPr>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灌草丛植被</w:t>
            </w:r>
          </w:p>
        </w:tc>
        <w:tc>
          <w:tcPr>
            <w:tcW w:w="1570" w:type="dxa"/>
            <w:vAlign w:val="bottom"/>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kern w:val="2"/>
                <w:sz w:val="21"/>
                <w:szCs w:val="21"/>
              </w:rPr>
              <w:t>0.95</w:t>
            </w:r>
          </w:p>
        </w:tc>
        <w:tc>
          <w:tcPr>
            <w:tcW w:w="1740" w:type="dxa"/>
            <w:vAlign w:val="bottom"/>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7.66</w:t>
            </w:r>
          </w:p>
        </w:tc>
        <w:tc>
          <w:tcPr>
            <w:tcW w:w="1560" w:type="dxa"/>
            <w:vAlign w:val="bottom"/>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7.28</w:t>
            </w:r>
            <w:r>
              <w:rPr>
                <w:rFonts w:ascii="Times New Roman" w:cs="Times New Roman"/>
                <w:sz w:val="21"/>
                <w:szCs w:val="21"/>
              </w:rPr>
              <w:t xml:space="preserve"> </w:t>
            </w:r>
          </w:p>
        </w:tc>
        <w:tc>
          <w:tcPr>
            <w:tcW w:w="1434" w:type="dxa"/>
            <w:vAlign w:val="bottom"/>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0.</w:t>
            </w:r>
            <w:r>
              <w:rPr>
                <w:rFonts w:hint="eastAsia" w:ascii="Times New Roman" w:cs="Times New Roman"/>
                <w:sz w:val="21"/>
                <w:szCs w:val="21"/>
              </w:rPr>
              <w:t>01</w:t>
            </w:r>
            <w:r>
              <w:rPr>
                <w:rFonts w:ascii="Times New Roman" w:cs="Times New Roman"/>
                <w:sz w:val="21"/>
                <w:szCs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5" w:type="dxa"/>
            <w:vAlign w:val="center"/>
          </w:tcPr>
          <w:p>
            <w:pPr>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合计</w:t>
            </w:r>
          </w:p>
        </w:tc>
        <w:tc>
          <w:tcPr>
            <w:tcW w:w="1570" w:type="dxa"/>
            <w:vAlign w:val="bottom"/>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kern w:val="2"/>
                <w:sz w:val="21"/>
                <w:szCs w:val="21"/>
              </w:rPr>
              <w:t>1257.02</w:t>
            </w:r>
          </w:p>
        </w:tc>
        <w:tc>
          <w:tcPr>
            <w:tcW w:w="1740" w:type="dxa"/>
            <w:vAlign w:val="bottom"/>
          </w:tcPr>
          <w:p>
            <w:pPr>
              <w:topLinePunct w:val="0"/>
              <w:adjustRightInd/>
              <w:spacing w:line="240" w:lineRule="auto"/>
              <w:ind w:firstLine="0" w:firstLineChars="0"/>
              <w:jc w:val="center"/>
              <w:rPr>
                <w:rFonts w:ascii="Times New Roman" w:cs="Times New Roman"/>
                <w:sz w:val="21"/>
                <w:szCs w:val="21"/>
              </w:rPr>
            </w:pPr>
          </w:p>
        </w:tc>
        <w:tc>
          <w:tcPr>
            <w:tcW w:w="1560" w:type="dxa"/>
            <w:vAlign w:val="bottom"/>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8</w:t>
            </w:r>
            <w:r>
              <w:rPr>
                <w:rFonts w:hint="eastAsia" w:ascii="Times New Roman" w:cs="Times New Roman"/>
                <w:sz w:val="21"/>
                <w:szCs w:val="21"/>
              </w:rPr>
              <w:t>1464.03</w:t>
            </w:r>
            <w:r>
              <w:rPr>
                <w:rFonts w:ascii="Times New Roman" w:cs="Times New Roman"/>
                <w:sz w:val="21"/>
                <w:szCs w:val="21"/>
              </w:rPr>
              <w:t xml:space="preserve"> </w:t>
            </w:r>
          </w:p>
        </w:tc>
        <w:tc>
          <w:tcPr>
            <w:tcW w:w="1434" w:type="dxa"/>
            <w:vAlign w:val="bottom"/>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 xml:space="preserve">100.00 </w:t>
            </w:r>
          </w:p>
        </w:tc>
      </w:tr>
    </w:tbl>
    <w:p>
      <w:pPr>
        <w:pStyle w:val="112"/>
        <w:ind w:firstLine="480"/>
      </w:pPr>
      <w:r>
        <w:t>由表</w:t>
      </w:r>
      <w:r>
        <w:rPr>
          <w:rFonts w:hint="eastAsia"/>
        </w:rPr>
        <w:t>5.2</w:t>
      </w:r>
      <w:r>
        <w:t>-</w:t>
      </w:r>
      <w:r>
        <w:rPr>
          <w:rFonts w:hint="eastAsia"/>
        </w:rPr>
        <w:t>13</w:t>
      </w:r>
      <w:r>
        <w:t>可知，在评价范围内植物总生物量中，森林植被生物量所占比重最大，达到</w:t>
      </w:r>
      <w:r>
        <w:rPr>
          <w:rFonts w:hint="eastAsia"/>
        </w:rPr>
        <w:t>94.46</w:t>
      </w:r>
      <w:r>
        <w:t>%，可见森林植被对区域生物量的贡献之大，同时也表明森林植被是本评价区域最重要的生态系统，森林生态效益不可忽视，在维持区域生态平衡方面有绝对的意义。</w:t>
      </w:r>
    </w:p>
    <w:p>
      <w:pPr>
        <w:pStyle w:val="4"/>
        <w:rPr>
          <w:rFonts w:eastAsia="宋体"/>
        </w:rPr>
      </w:pPr>
      <w:r>
        <w:rPr>
          <w:rFonts w:eastAsia="宋体"/>
        </w:rPr>
        <w:t>5.2.6</w:t>
      </w:r>
      <w:r>
        <w:rPr>
          <w:rFonts w:eastAsia="宋体"/>
          <w:bCs/>
        </w:rPr>
        <w:t>景观生态体系现状调查</w:t>
      </w:r>
    </w:p>
    <w:p>
      <w:pPr>
        <w:topLinePunct w:val="0"/>
        <w:snapToGrid w:val="0"/>
        <w:ind w:firstLine="482" w:firstLineChars="0"/>
        <w:rPr>
          <w:rFonts w:ascii="Times New Roman" w:cs="Times New Roman"/>
          <w:kern w:val="2"/>
        </w:rPr>
      </w:pPr>
      <w:r>
        <w:rPr>
          <w:rFonts w:ascii="Times New Roman" w:cs="Times New Roman"/>
          <w:kern w:val="2"/>
        </w:rPr>
        <w:t>景观（Landscape）的定义有多种表述，但大部分都是反映内陆地形、地貌或景色的，或是反映某一地理区域的综合地形特征。而景观生态学（LandscapeEcology）将景观定义为：“一个空间异质性的区域，由相互作用的拼块（patch）或生态系统组成，以相似的形式重复出现的生态体系”。为了深入认识评价范围内的环境特征，下面用景观生态学的原理和方法来研究生态体系的组成、特征、生产力及其稳定性。</w:t>
      </w:r>
    </w:p>
    <w:p>
      <w:pPr>
        <w:topLinePunct w:val="0"/>
        <w:adjustRightInd/>
        <w:spacing w:line="480" w:lineRule="exact"/>
        <w:ind w:firstLine="482"/>
        <w:rPr>
          <w:rFonts w:ascii="Times New Roman" w:cs="Times New Roman"/>
          <w:b/>
          <w:bCs/>
          <w:kern w:val="2"/>
        </w:rPr>
      </w:pPr>
      <w:r>
        <w:rPr>
          <w:rFonts w:ascii="Times New Roman" w:cs="Times New Roman"/>
          <w:b/>
          <w:bCs/>
          <w:kern w:val="2"/>
        </w:rPr>
        <w:t>1、景观生态体系组成与特征</w:t>
      </w:r>
    </w:p>
    <w:p>
      <w:pPr>
        <w:topLinePunct w:val="0"/>
        <w:snapToGrid w:val="0"/>
        <w:spacing w:beforeLines="50"/>
        <w:ind w:firstLine="482" w:firstLineChars="0"/>
        <w:rPr>
          <w:rFonts w:ascii="Times New Roman" w:cs="Times New Roman"/>
        </w:rPr>
      </w:pPr>
      <w:r>
        <w:rPr>
          <w:rFonts w:ascii="Times New Roman" w:cs="Times New Roman"/>
          <w:kern w:val="2"/>
        </w:rPr>
        <w:t>按照生态学中景观的概念描述可知，景观生态体系的组成即生态系统或土地利</w:t>
      </w:r>
      <w:r>
        <w:rPr>
          <w:rFonts w:ascii="Times New Roman" w:cs="Times New Roman"/>
        </w:rPr>
        <w:t>用类型组成，因而可以用评价范围内的主要土地利用类型——森林、灌丛、灌草丛、耕地、河流水面、建设用地等生态系统作为景观体系的基本单元——拼块来进行景观分析。</w:t>
      </w:r>
    </w:p>
    <w:p>
      <w:pPr>
        <w:topLinePunct w:val="0"/>
        <w:snapToGrid w:val="0"/>
        <w:ind w:firstLine="480"/>
        <w:rPr>
          <w:rFonts w:ascii="Times New Roman" w:cs="Times New Roman"/>
          <w:kern w:val="2"/>
        </w:rPr>
      </w:pPr>
      <w:r>
        <w:rPr>
          <w:rFonts w:ascii="Times New Roman" w:cs="Times New Roman"/>
          <w:kern w:val="2"/>
        </w:rPr>
        <w:t>（1）</w:t>
      </w:r>
      <w:r>
        <w:rPr>
          <w:rFonts w:hint="eastAsia" w:ascii="Times New Roman" w:cs="Times New Roman"/>
          <w:kern w:val="2"/>
        </w:rPr>
        <w:t>马尾松、杉木、柏木</w:t>
      </w:r>
      <w:r>
        <w:rPr>
          <w:rFonts w:ascii="Times New Roman" w:cs="Times New Roman"/>
          <w:kern w:val="2"/>
        </w:rPr>
        <w:t>、</w:t>
      </w:r>
      <w:r>
        <w:rPr>
          <w:rFonts w:hint="eastAsia" w:ascii="Times New Roman" w:cs="Times New Roman"/>
          <w:kern w:val="2"/>
        </w:rPr>
        <w:t>麻栎、青冈、枫香、响叶杨</w:t>
      </w:r>
      <w:r>
        <w:rPr>
          <w:rFonts w:ascii="Times New Roman" w:cs="Times New Roman"/>
          <w:kern w:val="2"/>
        </w:rPr>
        <w:t>及乔木经济树种等为主的森林拼块</w:t>
      </w:r>
    </w:p>
    <w:p>
      <w:pPr>
        <w:topLinePunct w:val="0"/>
        <w:snapToGrid w:val="0"/>
        <w:ind w:firstLine="480"/>
        <w:rPr>
          <w:rFonts w:ascii="Times New Roman" w:cs="Times New Roman"/>
          <w:kern w:val="2"/>
        </w:rPr>
      </w:pPr>
      <w:r>
        <w:rPr>
          <w:rFonts w:ascii="Times New Roman" w:cs="Times New Roman"/>
          <w:kern w:val="2"/>
        </w:rPr>
        <w:t>属于人工栽培或干预后经过一段时间自然生长发育形成，具有一定人工性，属于环境资源拼块。该拼块成片分布，连通程度较高。该拼块面积为</w:t>
      </w:r>
      <w:r>
        <w:rPr>
          <w:rFonts w:hint="eastAsia" w:ascii="Times New Roman" w:cs="Times New Roman"/>
          <w:kern w:val="2"/>
        </w:rPr>
        <w:t>862.69hm</w:t>
      </w:r>
      <w:r>
        <w:rPr>
          <w:rFonts w:ascii="Times New Roman" w:cs="Times New Roman"/>
          <w:kern w:val="2"/>
        </w:rPr>
        <w:t>²，约占评价区域总面积的</w:t>
      </w:r>
      <w:r>
        <w:rPr>
          <w:rFonts w:hint="eastAsia" w:ascii="Times New Roman" w:cs="Times New Roman"/>
          <w:kern w:val="2"/>
        </w:rPr>
        <w:t>68.63</w:t>
      </w:r>
      <w:r>
        <w:rPr>
          <w:rFonts w:ascii="Times New Roman" w:cs="Times New Roman"/>
          <w:kern w:val="2"/>
        </w:rPr>
        <w:t>%，是评价区内较最重要的景观拼块，对评价区内生态起着绝对作用。</w:t>
      </w:r>
    </w:p>
    <w:p>
      <w:pPr>
        <w:topLinePunct w:val="0"/>
        <w:snapToGrid w:val="0"/>
        <w:ind w:firstLine="480"/>
        <w:rPr>
          <w:rFonts w:ascii="Times New Roman" w:cs="Times New Roman"/>
          <w:kern w:val="2"/>
        </w:rPr>
      </w:pPr>
      <w:r>
        <w:rPr>
          <w:rFonts w:ascii="Times New Roman" w:cs="Times New Roman"/>
          <w:kern w:val="2"/>
        </w:rPr>
        <w:t>（2）</w:t>
      </w:r>
      <w:r>
        <w:rPr>
          <w:rFonts w:hint="eastAsia" w:ascii="Times New Roman" w:cs="Times New Roman"/>
          <w:kern w:val="2"/>
        </w:rPr>
        <w:t>槲栎、马桑、黄荆、火棘、荚蒾、盐肤木</w:t>
      </w:r>
      <w:r>
        <w:rPr>
          <w:rFonts w:ascii="Times New Roman" w:cs="Times New Roman"/>
          <w:kern w:val="2"/>
        </w:rPr>
        <w:t>及灌木经济树种等为主的灌丛拼块</w:t>
      </w:r>
    </w:p>
    <w:p>
      <w:pPr>
        <w:topLinePunct w:val="0"/>
        <w:snapToGrid w:val="0"/>
        <w:ind w:firstLine="480"/>
        <w:rPr>
          <w:rFonts w:ascii="Times New Roman" w:cs="Times New Roman"/>
          <w:kern w:val="2"/>
        </w:rPr>
      </w:pPr>
      <w:r>
        <w:rPr>
          <w:rFonts w:ascii="Times New Roman" w:cs="Times New Roman"/>
          <w:kern w:val="2"/>
        </w:rPr>
        <w:t>属于人类活动影响下形成的干扰拼块，多分布在林地边缘地带或荒坡田坎，由于人类活动频繁，受干扰程度高，水土流失和生物多样性受损较严重。该拼块面积为</w:t>
      </w:r>
      <w:r>
        <w:rPr>
          <w:rFonts w:hint="eastAsia" w:ascii="Times New Roman" w:cs="Times New Roman"/>
          <w:kern w:val="2"/>
        </w:rPr>
        <w:t>69.83hm</w:t>
      </w:r>
      <w:r>
        <w:rPr>
          <w:rFonts w:ascii="Times New Roman" w:cs="Times New Roman"/>
          <w:kern w:val="2"/>
        </w:rPr>
        <w:t>²，占评价区域总面积的</w:t>
      </w:r>
      <w:r>
        <w:rPr>
          <w:rFonts w:hint="eastAsia" w:ascii="Times New Roman" w:cs="Times New Roman"/>
          <w:kern w:val="2"/>
        </w:rPr>
        <w:t>5.56</w:t>
      </w:r>
      <w:r>
        <w:rPr>
          <w:rFonts w:ascii="Times New Roman" w:cs="Times New Roman"/>
          <w:kern w:val="2"/>
        </w:rPr>
        <w:t>%，是评价区内重要的拼块之一。</w:t>
      </w:r>
    </w:p>
    <w:p>
      <w:pPr>
        <w:topLinePunct w:val="0"/>
        <w:snapToGrid w:val="0"/>
        <w:ind w:firstLine="480"/>
        <w:rPr>
          <w:rFonts w:ascii="Times New Roman" w:cs="Times New Roman"/>
          <w:kern w:val="2"/>
        </w:rPr>
      </w:pPr>
      <w:r>
        <w:rPr>
          <w:rFonts w:ascii="Times New Roman" w:cs="Times New Roman"/>
          <w:kern w:val="2"/>
        </w:rPr>
        <w:t>（3）</w:t>
      </w:r>
      <w:r>
        <w:rPr>
          <w:rFonts w:hint="eastAsia" w:ascii="Times New Roman" w:cs="Times New Roman"/>
          <w:kern w:val="2"/>
        </w:rPr>
        <w:t>白茅、五节芒、芒、芒萁、斑茅、蕨</w:t>
      </w:r>
      <w:r>
        <w:rPr>
          <w:rFonts w:ascii="Times New Roman" w:cs="Times New Roman"/>
          <w:kern w:val="2"/>
        </w:rPr>
        <w:t>等为主的灌草丛拼块</w:t>
      </w:r>
    </w:p>
    <w:p>
      <w:pPr>
        <w:topLinePunct w:val="0"/>
        <w:snapToGrid w:val="0"/>
        <w:ind w:firstLine="480"/>
        <w:rPr>
          <w:rFonts w:ascii="Times New Roman" w:cs="Times New Roman"/>
          <w:kern w:val="2"/>
        </w:rPr>
      </w:pPr>
      <w:r>
        <w:rPr>
          <w:rFonts w:ascii="Times New Roman" w:cs="Times New Roman"/>
          <w:kern w:val="2"/>
        </w:rPr>
        <w:t>属于人类活动影响下形成的干扰拼块，分布广泛，由于人类活动频繁，受干扰程度高，水土流失和生物多样性受损较严重。该拼块面积为</w:t>
      </w:r>
      <w:r>
        <w:rPr>
          <w:rFonts w:hint="eastAsia" w:ascii="Times New Roman" w:cs="Times New Roman"/>
          <w:kern w:val="2"/>
        </w:rPr>
        <w:t>0.95hm</w:t>
      </w:r>
      <w:r>
        <w:rPr>
          <w:rFonts w:ascii="Times New Roman" w:cs="Times New Roman"/>
          <w:kern w:val="2"/>
        </w:rPr>
        <w:t>²，占评价区总面积的</w:t>
      </w:r>
      <w:r>
        <w:rPr>
          <w:rFonts w:hint="eastAsia" w:ascii="Times New Roman" w:cs="Times New Roman"/>
          <w:kern w:val="2"/>
        </w:rPr>
        <w:t>0.08%</w:t>
      </w:r>
      <w:r>
        <w:rPr>
          <w:rFonts w:ascii="Times New Roman" w:cs="Times New Roman"/>
          <w:kern w:val="2"/>
        </w:rPr>
        <w:t>。</w:t>
      </w:r>
    </w:p>
    <w:p>
      <w:pPr>
        <w:topLinePunct w:val="0"/>
        <w:snapToGrid w:val="0"/>
        <w:ind w:firstLine="480"/>
        <w:rPr>
          <w:rFonts w:ascii="Times New Roman" w:cs="Times New Roman"/>
          <w:kern w:val="2"/>
        </w:rPr>
      </w:pPr>
      <w:r>
        <w:rPr>
          <w:rFonts w:ascii="Times New Roman" w:cs="Times New Roman"/>
          <w:kern w:val="2"/>
        </w:rPr>
        <w:t>（4）以</w:t>
      </w:r>
      <w:r>
        <w:rPr>
          <w:rFonts w:hint="eastAsia" w:ascii="Times New Roman" w:cs="Times New Roman"/>
          <w:kern w:val="2"/>
        </w:rPr>
        <w:t>水稻、玉米、红苕、棉花、花生、小麦、马铃薯、豌豆</w:t>
      </w:r>
      <w:r>
        <w:rPr>
          <w:rFonts w:ascii="Times New Roman" w:cs="Times New Roman"/>
          <w:kern w:val="2"/>
        </w:rPr>
        <w:t>为主的耕地植被拼块</w:t>
      </w:r>
    </w:p>
    <w:p>
      <w:pPr>
        <w:topLinePunct w:val="0"/>
        <w:snapToGrid w:val="0"/>
        <w:ind w:firstLine="480"/>
        <w:rPr>
          <w:rFonts w:ascii="Times New Roman" w:cs="Times New Roman"/>
          <w:kern w:val="2"/>
        </w:rPr>
      </w:pPr>
      <w:r>
        <w:rPr>
          <w:rFonts w:ascii="Times New Roman" w:cs="Times New Roman"/>
          <w:kern w:val="2"/>
        </w:rPr>
        <w:t>属于人工引进的种植拼块。该拼块的生境、外貌及结构与水田均有明显区别，其生境一般比较干燥，地面具有一定坡度，作物种类比较多样化，并形成多种组合。该拼块面积为</w:t>
      </w:r>
      <w:r>
        <w:rPr>
          <w:rFonts w:hint="eastAsia" w:ascii="Times New Roman" w:cs="Times New Roman"/>
          <w:kern w:val="2"/>
        </w:rPr>
        <w:t>249.71hm</w:t>
      </w:r>
      <w:r>
        <w:rPr>
          <w:rFonts w:ascii="Times New Roman" w:cs="Times New Roman"/>
          <w:kern w:val="2"/>
        </w:rPr>
        <w:t>²，占评价区面积的</w:t>
      </w:r>
      <w:r>
        <w:rPr>
          <w:rFonts w:hint="eastAsia" w:ascii="Times New Roman" w:cs="Times New Roman"/>
          <w:kern w:val="2"/>
        </w:rPr>
        <w:t>19.86</w:t>
      </w:r>
      <w:r>
        <w:rPr>
          <w:rFonts w:ascii="Times New Roman" w:cs="Times New Roman"/>
          <w:kern w:val="2"/>
        </w:rPr>
        <w:t>%。</w:t>
      </w:r>
    </w:p>
    <w:p>
      <w:pPr>
        <w:topLinePunct w:val="0"/>
        <w:snapToGrid w:val="0"/>
        <w:ind w:firstLine="480"/>
        <w:rPr>
          <w:rFonts w:ascii="Times New Roman" w:cs="Times New Roman"/>
          <w:kern w:val="2"/>
        </w:rPr>
      </w:pPr>
      <w:r>
        <w:rPr>
          <w:rFonts w:ascii="Times New Roman" w:cs="Times New Roman"/>
          <w:kern w:val="2"/>
        </w:rPr>
        <w:t>（5）以河流水面等为主的水面拼块</w:t>
      </w:r>
    </w:p>
    <w:p>
      <w:pPr>
        <w:topLinePunct w:val="0"/>
        <w:snapToGrid w:val="0"/>
        <w:ind w:firstLine="480"/>
        <w:rPr>
          <w:rFonts w:ascii="Times New Roman" w:cs="Times New Roman"/>
          <w:kern w:val="2"/>
        </w:rPr>
      </w:pPr>
      <w:r>
        <w:rPr>
          <w:rFonts w:ascii="Times New Roman" w:cs="Times New Roman"/>
          <w:kern w:val="2"/>
        </w:rPr>
        <w:t>为自然或人工形成的水生生态系统，含</w:t>
      </w:r>
      <w:r>
        <w:rPr>
          <w:rFonts w:hint="eastAsia" w:ascii="Times New Roman" w:cs="Times New Roman"/>
          <w:kern w:val="2"/>
        </w:rPr>
        <w:t>河流水面、坑塘水面</w:t>
      </w:r>
      <w:r>
        <w:rPr>
          <w:rFonts w:ascii="Times New Roman" w:cs="Times New Roman"/>
          <w:kern w:val="2"/>
        </w:rPr>
        <w:t>，属环境资源拼块。水面拼块总面积为</w:t>
      </w:r>
      <w:r>
        <w:rPr>
          <w:rFonts w:hint="eastAsia" w:ascii="Times New Roman" w:cs="Times New Roman"/>
          <w:kern w:val="2"/>
        </w:rPr>
        <w:t>18.90hm</w:t>
      </w:r>
      <w:r>
        <w:rPr>
          <w:rFonts w:ascii="Times New Roman" w:cs="Times New Roman"/>
          <w:kern w:val="2"/>
        </w:rPr>
        <w:t>²，占评价区面积的</w:t>
      </w:r>
      <w:r>
        <w:rPr>
          <w:rFonts w:hint="eastAsia" w:ascii="Times New Roman" w:cs="Times New Roman"/>
          <w:kern w:val="2"/>
        </w:rPr>
        <w:t>1.50</w:t>
      </w:r>
      <w:r>
        <w:rPr>
          <w:rFonts w:ascii="Times New Roman" w:cs="Times New Roman"/>
          <w:kern w:val="2"/>
        </w:rPr>
        <w:t>%。</w:t>
      </w:r>
    </w:p>
    <w:p>
      <w:pPr>
        <w:topLinePunct w:val="0"/>
        <w:snapToGrid w:val="0"/>
        <w:ind w:firstLine="480"/>
        <w:rPr>
          <w:rFonts w:ascii="Times New Roman" w:cs="Times New Roman"/>
          <w:kern w:val="2"/>
        </w:rPr>
      </w:pPr>
      <w:r>
        <w:rPr>
          <w:rFonts w:ascii="Times New Roman" w:cs="Times New Roman"/>
          <w:kern w:val="2"/>
        </w:rPr>
        <w:t>（6）建设用地为主的人工生态系统拼块</w:t>
      </w:r>
    </w:p>
    <w:p>
      <w:pPr>
        <w:topLinePunct w:val="0"/>
        <w:snapToGrid w:val="0"/>
        <w:ind w:firstLine="480"/>
        <w:rPr>
          <w:rFonts w:ascii="Times New Roman" w:cs="Times New Roman"/>
          <w:kern w:val="2"/>
        </w:rPr>
      </w:pPr>
      <w:r>
        <w:rPr>
          <w:rFonts w:ascii="Times New Roman" w:cs="Times New Roman"/>
          <w:kern w:val="2"/>
        </w:rPr>
        <w:t>该拼块是人工建造引进的拼块，为人类的聚居地，是拼块中受人类干扰最明显的组分之一，表现在拼块外貌和结构上不再具有自然属性，更具社会性，该拼块在区内分布比较局限，在村寨所在地有成片分布。该拼块面积约为</w:t>
      </w:r>
      <w:r>
        <w:rPr>
          <w:rFonts w:hint="eastAsia" w:ascii="Times New Roman" w:cs="Times New Roman"/>
          <w:kern w:val="2"/>
        </w:rPr>
        <w:t>54.94hm</w:t>
      </w:r>
      <w:r>
        <w:rPr>
          <w:rFonts w:ascii="Times New Roman" w:cs="Times New Roman"/>
          <w:kern w:val="2"/>
        </w:rPr>
        <w:t>²，占评价区总面积的</w:t>
      </w:r>
      <w:r>
        <w:rPr>
          <w:rFonts w:hint="eastAsia" w:ascii="Times New Roman" w:cs="Times New Roman"/>
          <w:kern w:val="2"/>
        </w:rPr>
        <w:t>4.37</w:t>
      </w:r>
      <w:r>
        <w:rPr>
          <w:rFonts w:ascii="Times New Roman" w:cs="Times New Roman"/>
          <w:kern w:val="2"/>
        </w:rPr>
        <w:t>%。</w:t>
      </w:r>
    </w:p>
    <w:p>
      <w:pPr>
        <w:topLinePunct w:val="0"/>
        <w:snapToGrid w:val="0"/>
        <w:ind w:firstLine="480"/>
        <w:rPr>
          <w:rFonts w:ascii="Times New Roman" w:cs="Times New Roman"/>
          <w:kern w:val="2"/>
        </w:rPr>
      </w:pPr>
      <w:r>
        <w:rPr>
          <w:rFonts w:ascii="Times New Roman" w:cs="Times New Roman"/>
          <w:kern w:val="2"/>
        </w:rPr>
        <w:t>以上拼块类型构成了本区景观生态体系，它们之间既相互联系又相互制约。</w:t>
      </w:r>
    </w:p>
    <w:p>
      <w:pPr>
        <w:topLinePunct w:val="0"/>
        <w:snapToGrid w:val="0"/>
        <w:ind w:firstLine="0" w:firstLineChars="0"/>
        <w:rPr>
          <w:rFonts w:ascii="Times New Roman" w:cs="Times New Roman"/>
          <w:kern w:val="2"/>
        </w:rPr>
      </w:pPr>
      <w:r>
        <w:rPr>
          <w:rFonts w:ascii="Times New Roman" w:cs="Times New Roman"/>
          <w:kern w:val="2"/>
        </w:rPr>
        <w:t>以</w:t>
      </w:r>
      <w:r>
        <w:rPr>
          <w:rFonts w:hint="eastAsia" w:ascii="Times New Roman" w:cs="Times New Roman"/>
          <w:kern w:val="2"/>
        </w:rPr>
        <w:t>马尾松、杉木、柏木</w:t>
      </w:r>
      <w:r>
        <w:rPr>
          <w:rFonts w:ascii="Times New Roman" w:cs="Times New Roman"/>
          <w:kern w:val="2"/>
        </w:rPr>
        <w:t>、</w:t>
      </w:r>
      <w:r>
        <w:rPr>
          <w:rFonts w:hint="eastAsia" w:ascii="Times New Roman" w:cs="Times New Roman"/>
          <w:kern w:val="2"/>
        </w:rPr>
        <w:t>麻栎、青冈、枫香、响叶杨</w:t>
      </w:r>
      <w:r>
        <w:rPr>
          <w:rFonts w:ascii="Times New Roman" w:cs="Times New Roman"/>
          <w:kern w:val="2"/>
        </w:rPr>
        <w:t>及乔木经济树种的森林拼块，以</w:t>
      </w:r>
      <w:r>
        <w:rPr>
          <w:rFonts w:hint="eastAsia" w:ascii="Times New Roman" w:cs="Times New Roman"/>
          <w:kern w:val="2"/>
        </w:rPr>
        <w:t>槲栎、马桑、黄荆、火棘、荚蒾、盐肤木</w:t>
      </w:r>
      <w:r>
        <w:rPr>
          <w:rFonts w:ascii="Times New Roman" w:cs="Times New Roman"/>
          <w:kern w:val="2"/>
        </w:rPr>
        <w:t>及灌木经济树种为主的灌丛拼块等陆地生态系统决定了以河流水面为主的水生生态系统状况，同时对以</w:t>
      </w:r>
      <w:r>
        <w:rPr>
          <w:rFonts w:hint="eastAsia" w:ascii="Times New Roman" w:cs="Times New Roman"/>
          <w:kern w:val="2"/>
        </w:rPr>
        <w:t>水稻、玉米、红苕、棉花、花生、小麦、马铃薯、豌豆</w:t>
      </w:r>
      <w:r>
        <w:rPr>
          <w:rFonts w:ascii="Times New Roman" w:cs="Times New Roman"/>
          <w:kern w:val="2"/>
        </w:rPr>
        <w:t>为主的耕地植被的生产力水平有着重要影响。环境资源拼块自然生产能力和稳定性的维护是决定本区生态环境质量的主导性因素，该类型拼块的总面积为</w:t>
      </w:r>
      <w:r>
        <w:rPr>
          <w:rFonts w:hint="eastAsia" w:ascii="Times New Roman" w:cs="Times New Roman"/>
          <w:kern w:val="2"/>
        </w:rPr>
        <w:t>952.37hm</w:t>
      </w:r>
      <w:r>
        <w:rPr>
          <w:rFonts w:ascii="Times New Roman" w:cs="Times New Roman"/>
          <w:kern w:val="2"/>
          <w:vertAlign w:val="superscript"/>
        </w:rPr>
        <w:t>2</w:t>
      </w:r>
      <w:r>
        <w:rPr>
          <w:rFonts w:ascii="Times New Roman" w:cs="Times New Roman"/>
          <w:kern w:val="2"/>
        </w:rPr>
        <w:t>，占所有拼块总面积的</w:t>
      </w:r>
      <w:r>
        <w:rPr>
          <w:rFonts w:hint="eastAsia" w:ascii="Times New Roman" w:cs="Times New Roman"/>
          <w:kern w:val="2"/>
        </w:rPr>
        <w:t>75.77</w:t>
      </w:r>
      <w:r>
        <w:rPr>
          <w:rFonts w:ascii="Times New Roman" w:cs="Times New Roman"/>
          <w:kern w:val="2"/>
        </w:rPr>
        <w:t>%；人为活动影响产生的拼块总面积为</w:t>
      </w:r>
      <w:r>
        <w:rPr>
          <w:rFonts w:hint="eastAsia" w:ascii="Times New Roman" w:cs="Times New Roman"/>
          <w:kern w:val="2"/>
        </w:rPr>
        <w:t>304.65hm</w:t>
      </w:r>
      <w:r>
        <w:rPr>
          <w:rFonts w:ascii="Times New Roman" w:cs="Times New Roman"/>
          <w:kern w:val="2"/>
          <w:vertAlign w:val="superscript"/>
        </w:rPr>
        <w:t>2</w:t>
      </w:r>
      <w:r>
        <w:rPr>
          <w:rFonts w:ascii="Times New Roman" w:cs="Times New Roman"/>
          <w:kern w:val="2"/>
        </w:rPr>
        <w:t>，占所有拼块总面积的</w:t>
      </w:r>
      <w:r>
        <w:rPr>
          <w:rFonts w:hint="eastAsia" w:ascii="Times New Roman" w:cs="Times New Roman"/>
          <w:kern w:val="2"/>
        </w:rPr>
        <w:t>24.23</w:t>
      </w:r>
      <w:r>
        <w:rPr>
          <w:rFonts w:ascii="Times New Roman" w:cs="Times New Roman"/>
          <w:kern w:val="2"/>
        </w:rPr>
        <w:t>%。</w:t>
      </w:r>
    </w:p>
    <w:p>
      <w:pPr>
        <w:pStyle w:val="112"/>
        <w:ind w:firstLine="480"/>
        <w:rPr>
          <w:b/>
          <w:bCs/>
        </w:rPr>
      </w:pPr>
      <w:r>
        <w:rPr>
          <w:kern w:val="2"/>
          <w:szCs w:val="24"/>
        </w:rPr>
        <w:t>评价范围内以上各景观拼块相应特征见表</w:t>
      </w:r>
      <w:r>
        <w:rPr>
          <w:rFonts w:hint="eastAsia"/>
          <w:kern w:val="2"/>
          <w:szCs w:val="24"/>
        </w:rPr>
        <w:t>5.2</w:t>
      </w:r>
      <w:r>
        <w:rPr>
          <w:kern w:val="2"/>
          <w:szCs w:val="24"/>
        </w:rPr>
        <w:t>-</w:t>
      </w:r>
      <w:r>
        <w:rPr>
          <w:rFonts w:hint="eastAsia"/>
          <w:kern w:val="2"/>
          <w:szCs w:val="24"/>
        </w:rPr>
        <w:t>14</w:t>
      </w:r>
      <w:r>
        <w:rPr>
          <w:kern w:val="2"/>
          <w:szCs w:val="24"/>
        </w:rPr>
        <w:t>。</w:t>
      </w:r>
    </w:p>
    <w:p>
      <w:pPr>
        <w:topLinePunct w:val="0"/>
        <w:autoSpaceDE w:val="0"/>
        <w:autoSpaceDN w:val="0"/>
        <w:spacing w:beforeLines="50" w:line="240" w:lineRule="auto"/>
        <w:ind w:firstLine="0" w:firstLineChars="0"/>
        <w:jc w:val="center"/>
        <w:rPr>
          <w:rFonts w:ascii="Times New Roman" w:cs="Times New Roman"/>
          <w:b/>
          <w:sz w:val="21"/>
        </w:rPr>
      </w:pPr>
      <w:r>
        <w:rPr>
          <w:rFonts w:ascii="Times New Roman" w:cs="Times New Roman"/>
          <w:b/>
          <w:sz w:val="21"/>
        </w:rPr>
        <w:t>表</w:t>
      </w:r>
      <w:r>
        <w:rPr>
          <w:rFonts w:hint="eastAsia" w:ascii="Times New Roman" w:cs="Times New Roman"/>
          <w:b/>
          <w:sz w:val="21"/>
        </w:rPr>
        <w:t>5.2</w:t>
      </w:r>
      <w:r>
        <w:rPr>
          <w:rFonts w:ascii="Times New Roman" w:cs="Times New Roman"/>
          <w:b/>
          <w:sz w:val="21"/>
        </w:rPr>
        <w:t>-</w:t>
      </w:r>
      <w:r>
        <w:rPr>
          <w:rFonts w:hint="eastAsia" w:ascii="Times New Roman" w:cs="Times New Roman"/>
          <w:b/>
          <w:sz w:val="21"/>
        </w:rPr>
        <w:t>14</w:t>
      </w:r>
      <w:r>
        <w:rPr>
          <w:rFonts w:ascii="Times New Roman" w:cs="Times New Roman"/>
          <w:b/>
          <w:sz w:val="21"/>
        </w:rPr>
        <w:t xml:space="preserve"> 评价区域拼块类型、数量及面积表</w:t>
      </w:r>
    </w:p>
    <w:tbl>
      <w:tblPr>
        <w:tblStyle w:val="57"/>
        <w:tblW w:w="460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2874"/>
        <w:gridCol w:w="2564"/>
        <w:gridCol w:w="224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15" w:hRule="atLeast"/>
          <w:jc w:val="center"/>
        </w:trPr>
        <w:tc>
          <w:tcPr>
            <w:tcW w:w="1871" w:type="pct"/>
            <w:vAlign w:val="center"/>
          </w:tcPr>
          <w:p>
            <w:pPr>
              <w:widowControl/>
              <w:topLinePunct w:val="0"/>
              <w:adjustRightInd/>
              <w:spacing w:line="240" w:lineRule="auto"/>
              <w:ind w:firstLine="0" w:firstLineChars="0"/>
              <w:jc w:val="center"/>
              <w:textAlignment w:val="center"/>
              <w:rPr>
                <w:rFonts w:ascii="Times New Roman" w:cs="Times New Roman"/>
                <w:sz w:val="21"/>
                <w:szCs w:val="21"/>
              </w:rPr>
            </w:pPr>
            <w:r>
              <w:rPr>
                <w:rFonts w:ascii="Times New Roman" w:cs="Times New Roman"/>
                <w:sz w:val="21"/>
                <w:szCs w:val="21"/>
              </w:rPr>
              <w:t>拼块类型</w:t>
            </w:r>
          </w:p>
        </w:tc>
        <w:tc>
          <w:tcPr>
            <w:tcW w:w="1669" w:type="pct"/>
            <w:vAlign w:val="center"/>
          </w:tcPr>
          <w:p>
            <w:pPr>
              <w:widowControl/>
              <w:topLinePunct w:val="0"/>
              <w:adjustRightInd/>
              <w:spacing w:line="240" w:lineRule="auto"/>
              <w:ind w:firstLine="0" w:firstLineChars="0"/>
              <w:jc w:val="center"/>
              <w:textAlignment w:val="center"/>
              <w:rPr>
                <w:rFonts w:ascii="Times New Roman" w:cs="Times New Roman"/>
                <w:sz w:val="21"/>
                <w:szCs w:val="21"/>
              </w:rPr>
            </w:pPr>
            <w:r>
              <w:rPr>
                <w:rFonts w:ascii="Times New Roman" w:cs="Times New Roman"/>
                <w:sz w:val="21"/>
                <w:szCs w:val="21"/>
              </w:rPr>
              <w:t>面积（</w:t>
            </w:r>
            <w:r>
              <w:rPr>
                <w:rFonts w:hint="eastAsia" w:ascii="Times New Roman" w:cs="Times New Roman"/>
                <w:sz w:val="21"/>
                <w:szCs w:val="21"/>
              </w:rPr>
              <w:t>hm</w:t>
            </w:r>
            <w:r>
              <w:rPr>
                <w:rFonts w:ascii="Times New Roman" w:cs="Times New Roman"/>
                <w:sz w:val="21"/>
                <w:szCs w:val="21"/>
                <w:vertAlign w:val="superscript"/>
              </w:rPr>
              <w:t>2</w:t>
            </w:r>
            <w:r>
              <w:rPr>
                <w:rFonts w:ascii="Times New Roman" w:cs="Times New Roman"/>
                <w:sz w:val="21"/>
                <w:szCs w:val="21"/>
              </w:rPr>
              <w:t>）</w:t>
            </w:r>
          </w:p>
        </w:tc>
        <w:tc>
          <w:tcPr>
            <w:tcW w:w="1459" w:type="pct"/>
            <w:vAlign w:val="center"/>
          </w:tcPr>
          <w:p>
            <w:pPr>
              <w:widowControl/>
              <w:topLinePunct w:val="0"/>
              <w:adjustRightInd/>
              <w:spacing w:line="240" w:lineRule="auto"/>
              <w:ind w:firstLine="0" w:firstLineChars="0"/>
              <w:jc w:val="center"/>
              <w:textAlignment w:val="center"/>
              <w:rPr>
                <w:rFonts w:ascii="Times New Roman" w:cs="Times New Roman"/>
                <w:sz w:val="21"/>
                <w:szCs w:val="21"/>
              </w:rPr>
            </w:pPr>
            <w:r>
              <w:rPr>
                <w:rFonts w:ascii="Times New Roman" w:cs="Times New Roman"/>
                <w:sz w:val="21"/>
                <w:szCs w:val="21"/>
              </w:rPr>
              <w:t>百分比（%）</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15" w:hRule="atLeast"/>
          <w:jc w:val="center"/>
        </w:trPr>
        <w:tc>
          <w:tcPr>
            <w:tcW w:w="1871" w:type="pct"/>
            <w:vAlign w:val="center"/>
          </w:tcPr>
          <w:p>
            <w:pPr>
              <w:widowControl/>
              <w:topLinePunct w:val="0"/>
              <w:adjustRightInd/>
              <w:spacing w:line="240" w:lineRule="auto"/>
              <w:ind w:firstLine="0" w:firstLineChars="0"/>
              <w:jc w:val="center"/>
              <w:textAlignment w:val="center"/>
              <w:rPr>
                <w:rFonts w:ascii="Times New Roman" w:cs="Times New Roman"/>
                <w:sz w:val="21"/>
                <w:szCs w:val="21"/>
              </w:rPr>
            </w:pPr>
            <w:r>
              <w:rPr>
                <w:rFonts w:ascii="Times New Roman" w:cs="Times New Roman"/>
                <w:sz w:val="21"/>
                <w:szCs w:val="21"/>
              </w:rPr>
              <w:t>森林拼块</w:t>
            </w:r>
          </w:p>
        </w:tc>
        <w:tc>
          <w:tcPr>
            <w:tcW w:w="1669" w:type="pct"/>
            <w:vAlign w:val="center"/>
          </w:tcPr>
          <w:p>
            <w:pPr>
              <w:widowControl/>
              <w:topLinePunct w:val="0"/>
              <w:adjustRightInd/>
              <w:spacing w:line="240" w:lineRule="auto"/>
              <w:ind w:firstLine="0" w:firstLineChars="0"/>
              <w:jc w:val="center"/>
              <w:textAlignment w:val="center"/>
              <w:rPr>
                <w:rFonts w:ascii="Times New Roman" w:cs="Times New Roman"/>
                <w:sz w:val="21"/>
                <w:szCs w:val="21"/>
              </w:rPr>
            </w:pPr>
            <w:r>
              <w:rPr>
                <w:rFonts w:hint="eastAsia" w:ascii="Times New Roman" w:cs="Times New Roman"/>
                <w:sz w:val="21"/>
                <w:szCs w:val="21"/>
              </w:rPr>
              <w:t xml:space="preserve">862.69 </w:t>
            </w:r>
          </w:p>
        </w:tc>
        <w:tc>
          <w:tcPr>
            <w:tcW w:w="1459" w:type="pct"/>
            <w:vAlign w:val="center"/>
          </w:tcPr>
          <w:p>
            <w:pPr>
              <w:widowControl/>
              <w:topLinePunct w:val="0"/>
              <w:adjustRightInd/>
              <w:spacing w:line="240" w:lineRule="auto"/>
              <w:ind w:firstLine="0" w:firstLineChars="0"/>
              <w:jc w:val="center"/>
              <w:textAlignment w:val="center"/>
              <w:rPr>
                <w:rFonts w:ascii="Times New Roman" w:cs="Times New Roman"/>
                <w:sz w:val="21"/>
                <w:szCs w:val="21"/>
              </w:rPr>
            </w:pPr>
            <w:r>
              <w:rPr>
                <w:rFonts w:hint="eastAsia" w:ascii="Times New Roman" w:cs="Times New Roman"/>
                <w:sz w:val="21"/>
                <w:szCs w:val="21"/>
              </w:rPr>
              <w:t>68.63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05" w:hRule="atLeast"/>
          <w:jc w:val="center"/>
        </w:trPr>
        <w:tc>
          <w:tcPr>
            <w:tcW w:w="1871" w:type="pct"/>
            <w:vAlign w:val="center"/>
          </w:tcPr>
          <w:p>
            <w:pPr>
              <w:widowControl/>
              <w:topLinePunct w:val="0"/>
              <w:adjustRightInd/>
              <w:spacing w:line="240" w:lineRule="auto"/>
              <w:ind w:firstLine="0" w:firstLineChars="0"/>
              <w:jc w:val="center"/>
              <w:textAlignment w:val="center"/>
              <w:rPr>
                <w:rFonts w:ascii="Times New Roman" w:cs="Times New Roman"/>
                <w:sz w:val="21"/>
                <w:szCs w:val="21"/>
              </w:rPr>
            </w:pPr>
            <w:r>
              <w:rPr>
                <w:rFonts w:ascii="Times New Roman" w:cs="Times New Roman"/>
                <w:sz w:val="21"/>
                <w:szCs w:val="21"/>
              </w:rPr>
              <w:t>灌丛拼块</w:t>
            </w:r>
          </w:p>
        </w:tc>
        <w:tc>
          <w:tcPr>
            <w:tcW w:w="1669" w:type="pct"/>
            <w:vAlign w:val="center"/>
          </w:tcPr>
          <w:p>
            <w:pPr>
              <w:widowControl/>
              <w:topLinePunct w:val="0"/>
              <w:adjustRightInd/>
              <w:spacing w:line="240" w:lineRule="auto"/>
              <w:ind w:firstLine="0" w:firstLineChars="0"/>
              <w:jc w:val="center"/>
              <w:textAlignment w:val="center"/>
              <w:rPr>
                <w:rFonts w:ascii="Times New Roman" w:cs="Times New Roman"/>
                <w:sz w:val="21"/>
                <w:szCs w:val="21"/>
              </w:rPr>
            </w:pPr>
            <w:r>
              <w:rPr>
                <w:rFonts w:hint="eastAsia" w:ascii="Times New Roman" w:cs="Times New Roman"/>
                <w:sz w:val="21"/>
                <w:szCs w:val="21"/>
              </w:rPr>
              <w:t xml:space="preserve">69.83 </w:t>
            </w:r>
          </w:p>
        </w:tc>
        <w:tc>
          <w:tcPr>
            <w:tcW w:w="1459" w:type="pct"/>
            <w:vAlign w:val="center"/>
          </w:tcPr>
          <w:p>
            <w:pPr>
              <w:widowControl/>
              <w:topLinePunct w:val="0"/>
              <w:adjustRightInd/>
              <w:spacing w:line="240" w:lineRule="auto"/>
              <w:ind w:firstLine="0" w:firstLineChars="0"/>
              <w:jc w:val="center"/>
              <w:textAlignment w:val="center"/>
              <w:rPr>
                <w:rFonts w:ascii="Times New Roman" w:cs="Times New Roman"/>
                <w:sz w:val="21"/>
                <w:szCs w:val="21"/>
              </w:rPr>
            </w:pPr>
            <w:r>
              <w:rPr>
                <w:rFonts w:hint="eastAsia" w:ascii="Times New Roman" w:cs="Times New Roman"/>
                <w:sz w:val="21"/>
                <w:szCs w:val="21"/>
              </w:rPr>
              <w:t xml:space="preserve">5.56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85" w:hRule="atLeast"/>
          <w:jc w:val="center"/>
        </w:trPr>
        <w:tc>
          <w:tcPr>
            <w:tcW w:w="1871" w:type="pct"/>
            <w:vAlign w:val="center"/>
          </w:tcPr>
          <w:p>
            <w:pPr>
              <w:widowControl/>
              <w:topLinePunct w:val="0"/>
              <w:adjustRightInd/>
              <w:spacing w:line="240" w:lineRule="auto"/>
              <w:ind w:firstLine="0" w:firstLineChars="0"/>
              <w:jc w:val="center"/>
              <w:textAlignment w:val="center"/>
              <w:rPr>
                <w:rFonts w:ascii="Times New Roman" w:cs="Times New Roman"/>
                <w:sz w:val="21"/>
                <w:szCs w:val="21"/>
              </w:rPr>
            </w:pPr>
            <w:r>
              <w:rPr>
                <w:rFonts w:ascii="Times New Roman" w:cs="Times New Roman"/>
                <w:sz w:val="21"/>
                <w:szCs w:val="21"/>
              </w:rPr>
              <w:t>灌草丛拼块</w:t>
            </w:r>
          </w:p>
        </w:tc>
        <w:tc>
          <w:tcPr>
            <w:tcW w:w="1669" w:type="pct"/>
            <w:vAlign w:val="center"/>
          </w:tcPr>
          <w:p>
            <w:pPr>
              <w:widowControl/>
              <w:topLinePunct w:val="0"/>
              <w:adjustRightInd/>
              <w:spacing w:line="240" w:lineRule="auto"/>
              <w:ind w:firstLine="0" w:firstLineChars="0"/>
              <w:jc w:val="center"/>
              <w:textAlignment w:val="center"/>
              <w:rPr>
                <w:rFonts w:ascii="Times New Roman" w:cs="Times New Roman"/>
                <w:sz w:val="21"/>
                <w:szCs w:val="21"/>
              </w:rPr>
            </w:pPr>
            <w:r>
              <w:rPr>
                <w:rFonts w:hint="eastAsia" w:ascii="Times New Roman" w:cs="Times New Roman"/>
                <w:sz w:val="21"/>
                <w:szCs w:val="21"/>
              </w:rPr>
              <w:t>0.95</w:t>
            </w:r>
          </w:p>
        </w:tc>
        <w:tc>
          <w:tcPr>
            <w:tcW w:w="1459" w:type="pct"/>
            <w:vAlign w:val="center"/>
          </w:tcPr>
          <w:p>
            <w:pPr>
              <w:widowControl/>
              <w:topLinePunct w:val="0"/>
              <w:adjustRightInd/>
              <w:spacing w:line="240" w:lineRule="auto"/>
              <w:ind w:firstLine="0" w:firstLineChars="0"/>
              <w:jc w:val="center"/>
              <w:textAlignment w:val="center"/>
              <w:rPr>
                <w:rFonts w:ascii="Times New Roman" w:cs="Times New Roman"/>
                <w:sz w:val="21"/>
                <w:szCs w:val="21"/>
              </w:rPr>
            </w:pPr>
            <w:r>
              <w:rPr>
                <w:rFonts w:hint="eastAsia" w:ascii="Times New Roman" w:cs="Times New Roman"/>
                <w:sz w:val="21"/>
                <w:szCs w:val="21"/>
              </w:rPr>
              <w:t>0.08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30" w:hRule="atLeast"/>
          <w:jc w:val="center"/>
        </w:trPr>
        <w:tc>
          <w:tcPr>
            <w:tcW w:w="1871" w:type="pct"/>
            <w:vAlign w:val="center"/>
          </w:tcPr>
          <w:p>
            <w:pPr>
              <w:widowControl/>
              <w:topLinePunct w:val="0"/>
              <w:adjustRightInd/>
              <w:spacing w:line="240" w:lineRule="auto"/>
              <w:ind w:firstLine="0" w:firstLineChars="0"/>
              <w:jc w:val="center"/>
              <w:textAlignment w:val="center"/>
              <w:rPr>
                <w:rFonts w:ascii="Times New Roman" w:cs="Times New Roman"/>
                <w:sz w:val="21"/>
                <w:szCs w:val="21"/>
              </w:rPr>
            </w:pPr>
            <w:r>
              <w:rPr>
                <w:rFonts w:ascii="Times New Roman" w:cs="Times New Roman"/>
                <w:sz w:val="21"/>
                <w:szCs w:val="21"/>
              </w:rPr>
              <w:t>耕地植被拼块</w:t>
            </w:r>
          </w:p>
        </w:tc>
        <w:tc>
          <w:tcPr>
            <w:tcW w:w="1669" w:type="pct"/>
            <w:vAlign w:val="center"/>
          </w:tcPr>
          <w:p>
            <w:pPr>
              <w:widowControl/>
              <w:topLinePunct w:val="0"/>
              <w:adjustRightInd/>
              <w:spacing w:line="240" w:lineRule="auto"/>
              <w:ind w:firstLine="0" w:firstLineChars="0"/>
              <w:jc w:val="center"/>
              <w:textAlignment w:val="center"/>
              <w:rPr>
                <w:rFonts w:ascii="Times New Roman" w:cs="Times New Roman"/>
                <w:sz w:val="21"/>
                <w:szCs w:val="21"/>
              </w:rPr>
            </w:pPr>
            <w:r>
              <w:rPr>
                <w:rFonts w:hint="eastAsia" w:ascii="Times New Roman" w:cs="Times New Roman"/>
                <w:sz w:val="21"/>
                <w:szCs w:val="21"/>
              </w:rPr>
              <w:t>249.71</w:t>
            </w:r>
          </w:p>
        </w:tc>
        <w:tc>
          <w:tcPr>
            <w:tcW w:w="1459" w:type="pct"/>
            <w:vAlign w:val="bottom"/>
          </w:tcPr>
          <w:p>
            <w:pPr>
              <w:widowControl/>
              <w:topLinePunct w:val="0"/>
              <w:adjustRightInd/>
              <w:spacing w:line="240" w:lineRule="auto"/>
              <w:ind w:firstLine="0" w:firstLineChars="0"/>
              <w:jc w:val="center"/>
              <w:textAlignment w:val="center"/>
              <w:rPr>
                <w:rFonts w:ascii="Times New Roman" w:cs="Times New Roman"/>
                <w:sz w:val="21"/>
                <w:szCs w:val="21"/>
              </w:rPr>
            </w:pPr>
            <w:r>
              <w:rPr>
                <w:rFonts w:hint="eastAsia" w:ascii="Times New Roman" w:cs="Times New Roman"/>
                <w:sz w:val="21"/>
                <w:szCs w:val="21"/>
              </w:rPr>
              <w:t>19.86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30" w:hRule="atLeast"/>
          <w:jc w:val="center"/>
        </w:trPr>
        <w:tc>
          <w:tcPr>
            <w:tcW w:w="1871" w:type="pct"/>
            <w:vAlign w:val="center"/>
          </w:tcPr>
          <w:p>
            <w:pPr>
              <w:widowControl/>
              <w:topLinePunct w:val="0"/>
              <w:adjustRightInd/>
              <w:spacing w:line="240" w:lineRule="auto"/>
              <w:ind w:firstLine="0" w:firstLineChars="0"/>
              <w:jc w:val="center"/>
              <w:textAlignment w:val="center"/>
              <w:rPr>
                <w:rFonts w:ascii="Times New Roman" w:cs="Times New Roman"/>
                <w:sz w:val="21"/>
                <w:szCs w:val="21"/>
              </w:rPr>
            </w:pPr>
            <w:r>
              <w:rPr>
                <w:rFonts w:ascii="Times New Roman" w:cs="Times New Roman"/>
                <w:sz w:val="21"/>
                <w:szCs w:val="21"/>
              </w:rPr>
              <w:t>河流水面拼块</w:t>
            </w:r>
          </w:p>
        </w:tc>
        <w:tc>
          <w:tcPr>
            <w:tcW w:w="1669" w:type="pct"/>
            <w:vAlign w:val="center"/>
          </w:tcPr>
          <w:p>
            <w:pPr>
              <w:widowControl/>
              <w:topLinePunct w:val="0"/>
              <w:adjustRightInd/>
              <w:spacing w:line="240" w:lineRule="auto"/>
              <w:ind w:firstLine="0" w:firstLineChars="0"/>
              <w:jc w:val="center"/>
              <w:textAlignment w:val="center"/>
              <w:rPr>
                <w:rFonts w:ascii="Times New Roman" w:cs="Times New Roman"/>
                <w:sz w:val="21"/>
                <w:szCs w:val="21"/>
              </w:rPr>
            </w:pPr>
            <w:r>
              <w:rPr>
                <w:rFonts w:hint="eastAsia" w:ascii="Times New Roman" w:cs="Times New Roman"/>
                <w:sz w:val="21"/>
                <w:szCs w:val="21"/>
              </w:rPr>
              <w:t>18.90</w:t>
            </w:r>
          </w:p>
        </w:tc>
        <w:tc>
          <w:tcPr>
            <w:tcW w:w="1459" w:type="pct"/>
            <w:vAlign w:val="bottom"/>
          </w:tcPr>
          <w:p>
            <w:pPr>
              <w:widowControl/>
              <w:topLinePunct w:val="0"/>
              <w:adjustRightInd/>
              <w:spacing w:line="240" w:lineRule="auto"/>
              <w:ind w:firstLine="0" w:firstLineChars="0"/>
              <w:jc w:val="center"/>
              <w:textAlignment w:val="center"/>
              <w:rPr>
                <w:rFonts w:ascii="Times New Roman" w:cs="Times New Roman"/>
                <w:sz w:val="21"/>
                <w:szCs w:val="21"/>
              </w:rPr>
            </w:pPr>
            <w:r>
              <w:rPr>
                <w:rFonts w:hint="eastAsia" w:ascii="Times New Roman" w:cs="Times New Roman"/>
                <w:sz w:val="21"/>
                <w:szCs w:val="21"/>
              </w:rPr>
              <w:t>1.50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30" w:hRule="atLeast"/>
          <w:jc w:val="center"/>
        </w:trPr>
        <w:tc>
          <w:tcPr>
            <w:tcW w:w="1871" w:type="pct"/>
            <w:vAlign w:val="center"/>
          </w:tcPr>
          <w:p>
            <w:pPr>
              <w:widowControl/>
              <w:topLinePunct w:val="0"/>
              <w:adjustRightInd/>
              <w:spacing w:line="240" w:lineRule="auto"/>
              <w:ind w:firstLine="0" w:firstLineChars="0"/>
              <w:jc w:val="center"/>
              <w:textAlignment w:val="center"/>
              <w:rPr>
                <w:rFonts w:ascii="Times New Roman" w:cs="Times New Roman"/>
                <w:sz w:val="21"/>
                <w:szCs w:val="21"/>
              </w:rPr>
            </w:pPr>
            <w:r>
              <w:rPr>
                <w:rFonts w:ascii="Times New Roman" w:cs="Times New Roman"/>
                <w:sz w:val="21"/>
                <w:szCs w:val="21"/>
              </w:rPr>
              <w:t>人工生态系统拼块</w:t>
            </w:r>
          </w:p>
        </w:tc>
        <w:tc>
          <w:tcPr>
            <w:tcW w:w="1669" w:type="pct"/>
            <w:vAlign w:val="center"/>
          </w:tcPr>
          <w:p>
            <w:pPr>
              <w:widowControl/>
              <w:topLinePunct w:val="0"/>
              <w:adjustRightInd/>
              <w:spacing w:line="240" w:lineRule="auto"/>
              <w:ind w:firstLine="0" w:firstLineChars="0"/>
              <w:jc w:val="center"/>
              <w:textAlignment w:val="center"/>
              <w:rPr>
                <w:rFonts w:ascii="Times New Roman" w:cs="Times New Roman"/>
                <w:sz w:val="21"/>
                <w:szCs w:val="21"/>
              </w:rPr>
            </w:pPr>
            <w:r>
              <w:rPr>
                <w:rFonts w:hint="eastAsia" w:ascii="Times New Roman" w:cs="Times New Roman"/>
                <w:sz w:val="21"/>
                <w:szCs w:val="21"/>
              </w:rPr>
              <w:t>54.94</w:t>
            </w:r>
          </w:p>
        </w:tc>
        <w:tc>
          <w:tcPr>
            <w:tcW w:w="1459" w:type="pct"/>
            <w:vAlign w:val="bottom"/>
          </w:tcPr>
          <w:p>
            <w:pPr>
              <w:widowControl/>
              <w:topLinePunct w:val="0"/>
              <w:adjustRightInd/>
              <w:spacing w:line="240" w:lineRule="auto"/>
              <w:ind w:firstLine="0" w:firstLineChars="0"/>
              <w:jc w:val="center"/>
              <w:textAlignment w:val="center"/>
              <w:rPr>
                <w:rFonts w:ascii="Times New Roman" w:cs="Times New Roman"/>
                <w:sz w:val="21"/>
                <w:szCs w:val="21"/>
              </w:rPr>
            </w:pPr>
            <w:r>
              <w:rPr>
                <w:rFonts w:hint="eastAsia" w:ascii="Times New Roman" w:cs="Times New Roman"/>
                <w:sz w:val="21"/>
                <w:szCs w:val="21"/>
              </w:rPr>
              <w:t>4.37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30" w:hRule="atLeast"/>
          <w:jc w:val="center"/>
        </w:trPr>
        <w:tc>
          <w:tcPr>
            <w:tcW w:w="1871" w:type="pct"/>
            <w:vAlign w:val="center"/>
          </w:tcPr>
          <w:p>
            <w:pPr>
              <w:widowControl/>
              <w:topLinePunct w:val="0"/>
              <w:adjustRightInd/>
              <w:spacing w:line="240" w:lineRule="auto"/>
              <w:ind w:firstLine="0" w:firstLineChars="0"/>
              <w:jc w:val="center"/>
              <w:textAlignment w:val="center"/>
              <w:rPr>
                <w:rFonts w:ascii="Times New Roman" w:cs="Times New Roman"/>
                <w:sz w:val="21"/>
                <w:szCs w:val="21"/>
              </w:rPr>
            </w:pPr>
            <w:r>
              <w:rPr>
                <w:rFonts w:ascii="Times New Roman" w:cs="Times New Roman"/>
                <w:sz w:val="21"/>
                <w:szCs w:val="21"/>
              </w:rPr>
              <w:t>总计</w:t>
            </w:r>
          </w:p>
        </w:tc>
        <w:tc>
          <w:tcPr>
            <w:tcW w:w="1669" w:type="pct"/>
            <w:vAlign w:val="center"/>
          </w:tcPr>
          <w:p>
            <w:pPr>
              <w:widowControl/>
              <w:topLinePunct w:val="0"/>
              <w:adjustRightInd/>
              <w:spacing w:line="240" w:lineRule="auto"/>
              <w:ind w:firstLine="0" w:firstLineChars="0"/>
              <w:jc w:val="center"/>
              <w:textAlignment w:val="center"/>
              <w:rPr>
                <w:rFonts w:ascii="Times New Roman" w:cs="Times New Roman"/>
                <w:sz w:val="21"/>
                <w:szCs w:val="21"/>
              </w:rPr>
            </w:pPr>
            <w:r>
              <w:rPr>
                <w:rFonts w:hint="eastAsia" w:ascii="Times New Roman" w:cs="Times New Roman"/>
                <w:sz w:val="21"/>
                <w:szCs w:val="21"/>
              </w:rPr>
              <w:t>1257.02</w:t>
            </w:r>
          </w:p>
        </w:tc>
        <w:tc>
          <w:tcPr>
            <w:tcW w:w="1459" w:type="pct"/>
            <w:vAlign w:val="center"/>
          </w:tcPr>
          <w:p>
            <w:pPr>
              <w:widowControl/>
              <w:topLinePunct w:val="0"/>
              <w:adjustRightInd/>
              <w:spacing w:line="240" w:lineRule="auto"/>
              <w:ind w:firstLine="0" w:firstLineChars="0"/>
              <w:jc w:val="center"/>
              <w:textAlignment w:val="center"/>
              <w:rPr>
                <w:rFonts w:ascii="Times New Roman" w:cs="Times New Roman"/>
                <w:sz w:val="21"/>
                <w:szCs w:val="21"/>
              </w:rPr>
            </w:pPr>
            <w:r>
              <w:rPr>
                <w:rFonts w:hint="eastAsia" w:ascii="Times New Roman" w:cs="Times New Roman"/>
                <w:sz w:val="21"/>
                <w:szCs w:val="21"/>
              </w:rPr>
              <w:t>100.00</w:t>
            </w:r>
          </w:p>
        </w:tc>
      </w:tr>
    </w:tbl>
    <w:p>
      <w:pPr>
        <w:topLinePunct w:val="0"/>
        <w:adjustRightInd/>
        <w:spacing w:line="480" w:lineRule="exact"/>
        <w:ind w:firstLine="482"/>
        <w:rPr>
          <w:rFonts w:ascii="Times New Roman" w:cs="Times New Roman"/>
          <w:b/>
          <w:bCs/>
          <w:kern w:val="2"/>
        </w:rPr>
      </w:pPr>
      <w:r>
        <w:rPr>
          <w:rFonts w:ascii="Times New Roman" w:cs="Times New Roman"/>
          <w:b/>
          <w:bCs/>
          <w:kern w:val="2"/>
        </w:rPr>
        <w:t>2、景观生态体系现状质量评价</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景观稳定性是景观的各种参数的长期变化呈水平状态，或是在水平线上下摆动的幅度和周期性具有统计特征（Format，1990），它的稳定性本质上是景观各组分，即气候、地貌、岩石、土壤、植被、水文等稳定性的综合体现，它们之间既有一定联系，又有一定区别。因此，在评价景观的稳定性时应考虑到景观组分间的相互联系与相互作用，在实际中评价景观的稳定性时，主要考虑的是植被组分的变化。</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评价区域环境是一个以自然环境为主、受人类活动干扰强烈的区域环境，其环境质量状况是由区内自然环境各个因子与人类社会之间的相互作用来决定的。根据景观生态学中景观生态结构与功能相匹配的原理，景观结构的合理性将决定区域净功能状况的优劣，即决定景观生态体系的质量状况。因此，采取区内景观生态体系空间结构合理程度的方法，来判断区内景观生态体系的稳定性。具体方法采用优势度计算法，各参数计算公式如下：</w:t>
      </w:r>
    </w:p>
    <w:p>
      <w:pPr>
        <w:topLinePunct w:val="0"/>
        <w:adjustRightInd/>
        <w:spacing w:line="500" w:lineRule="exact"/>
        <w:ind w:right="100" w:firstLine="0" w:firstLineChars="0"/>
        <w:rPr>
          <w:rFonts w:ascii="Times New Roman" w:cs="Times New Roman"/>
          <w:kern w:val="2"/>
        </w:rPr>
      </w:pPr>
      <w:r>
        <w:rPr>
          <w:rFonts w:ascii="Times New Roman" w:cs="Times New Roman"/>
          <w:kern w:val="2"/>
        </w:rPr>
        <w:t xml:space="preserve">    密度Rd=I拼块的数目/拼块的总数×100﹪；</w:t>
      </w:r>
    </w:p>
    <w:p>
      <w:pPr>
        <w:topLinePunct w:val="0"/>
        <w:adjustRightInd/>
        <w:spacing w:line="500" w:lineRule="exact"/>
        <w:ind w:right="100" w:firstLine="480"/>
        <w:rPr>
          <w:rFonts w:ascii="Times New Roman" w:cs="Times New Roman"/>
          <w:kern w:val="2"/>
        </w:rPr>
      </w:pPr>
      <w:r>
        <w:rPr>
          <w:rFonts w:ascii="Times New Roman" w:cs="Times New Roman"/>
          <w:kern w:val="2"/>
        </w:rPr>
        <w:t>频率Rf=拼块I出现的小样方数/小样方总数×100﹪；</w:t>
      </w:r>
    </w:p>
    <w:p>
      <w:pPr>
        <w:topLinePunct w:val="0"/>
        <w:adjustRightInd/>
        <w:spacing w:line="500" w:lineRule="exact"/>
        <w:ind w:right="100" w:firstLine="480"/>
        <w:rPr>
          <w:rFonts w:ascii="Times New Roman" w:cs="Times New Roman"/>
          <w:kern w:val="2"/>
        </w:rPr>
      </w:pPr>
      <w:r>
        <w:rPr>
          <w:rFonts w:ascii="Times New Roman" w:cs="Times New Roman"/>
          <w:kern w:val="2"/>
        </w:rPr>
        <w:t>景观比例Lp＝拼块I的面积/样地总面积×100﹪；</w:t>
      </w:r>
    </w:p>
    <w:p>
      <w:pPr>
        <w:topLinePunct w:val="0"/>
        <w:adjustRightInd/>
        <w:spacing w:line="500" w:lineRule="exact"/>
        <w:ind w:right="100" w:firstLine="480"/>
        <w:rPr>
          <w:rFonts w:ascii="Times New Roman" w:cs="Times New Roman"/>
          <w:kern w:val="2"/>
        </w:rPr>
      </w:pPr>
      <w:r>
        <w:rPr>
          <w:rFonts w:ascii="Times New Roman" w:cs="Times New Roman"/>
          <w:kern w:val="2"/>
        </w:rPr>
        <w:t>景观优势度Do＝12[（Rd+Rf）/2＋Lp]×100﹪。</w:t>
      </w:r>
    </w:p>
    <w:p>
      <w:pPr>
        <w:pStyle w:val="112"/>
        <w:ind w:firstLine="480"/>
        <w:rPr>
          <w:kern w:val="2"/>
          <w:szCs w:val="24"/>
        </w:rPr>
      </w:pPr>
      <w:r>
        <w:rPr>
          <w:kern w:val="2"/>
          <w:szCs w:val="24"/>
        </w:rPr>
        <w:t>在景观频率的评判中，采取在微机上的土地利用图上取样的方法，共选取200个小样方。统计各类拼块出现的小样方数，得出各个拼块的频度，计算出主要拼块的优势度，结果见表</w:t>
      </w:r>
      <w:r>
        <w:rPr>
          <w:rFonts w:hint="eastAsia"/>
          <w:kern w:val="2"/>
          <w:szCs w:val="24"/>
        </w:rPr>
        <w:t>5.2</w:t>
      </w:r>
      <w:r>
        <w:rPr>
          <w:kern w:val="2"/>
          <w:szCs w:val="24"/>
        </w:rPr>
        <w:t>-</w:t>
      </w:r>
      <w:r>
        <w:rPr>
          <w:rFonts w:hint="eastAsia"/>
          <w:kern w:val="2"/>
          <w:szCs w:val="24"/>
        </w:rPr>
        <w:t>15</w:t>
      </w:r>
      <w:r>
        <w:rPr>
          <w:kern w:val="2"/>
          <w:szCs w:val="24"/>
        </w:rPr>
        <w:t>。</w:t>
      </w:r>
    </w:p>
    <w:p>
      <w:pPr>
        <w:topLinePunct w:val="0"/>
        <w:autoSpaceDE w:val="0"/>
        <w:autoSpaceDN w:val="0"/>
        <w:spacing w:beforeLines="50" w:line="240" w:lineRule="auto"/>
        <w:ind w:firstLine="0" w:firstLineChars="0"/>
        <w:jc w:val="center"/>
        <w:rPr>
          <w:rFonts w:ascii="Times New Roman" w:cs="Times New Roman"/>
          <w:b/>
          <w:sz w:val="21"/>
        </w:rPr>
      </w:pPr>
      <w:r>
        <w:rPr>
          <w:rFonts w:ascii="Times New Roman" w:cs="Times New Roman"/>
          <w:b/>
          <w:sz w:val="21"/>
        </w:rPr>
        <w:t>表</w:t>
      </w:r>
      <w:r>
        <w:rPr>
          <w:rFonts w:hint="eastAsia" w:ascii="Times New Roman" w:cs="Times New Roman"/>
          <w:b/>
          <w:sz w:val="21"/>
        </w:rPr>
        <w:t>5.2</w:t>
      </w:r>
      <w:r>
        <w:rPr>
          <w:rFonts w:ascii="Times New Roman" w:cs="Times New Roman"/>
          <w:b/>
          <w:sz w:val="21"/>
        </w:rPr>
        <w:t>-</w:t>
      </w:r>
      <w:r>
        <w:rPr>
          <w:rFonts w:hint="eastAsia" w:ascii="Times New Roman" w:cs="Times New Roman"/>
          <w:b/>
          <w:sz w:val="21"/>
        </w:rPr>
        <w:t>15</w:t>
      </w:r>
      <w:r>
        <w:rPr>
          <w:rFonts w:ascii="Times New Roman" w:cs="Times New Roman"/>
          <w:b/>
          <w:sz w:val="21"/>
        </w:rPr>
        <w:t xml:space="preserve"> 评价范围各拼块优势度值</w:t>
      </w:r>
    </w:p>
    <w:tbl>
      <w:tblPr>
        <w:tblStyle w:val="57"/>
        <w:tblW w:w="4743"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1555"/>
        <w:gridCol w:w="1456"/>
        <w:gridCol w:w="1527"/>
        <w:gridCol w:w="1859"/>
        <w:gridCol w:w="151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983" w:type="pct"/>
            <w:vAlign w:val="bottom"/>
          </w:tcPr>
          <w:p>
            <w:pPr>
              <w:widowControl/>
              <w:topLinePunct w:val="0"/>
              <w:adjustRightInd/>
              <w:spacing w:line="240" w:lineRule="auto"/>
              <w:ind w:firstLine="480" w:firstLineChars="0"/>
              <w:jc w:val="center"/>
              <w:textAlignment w:val="bottom"/>
              <w:rPr>
                <w:rFonts w:ascii="Times New Roman" w:cs="Times New Roman"/>
                <w:kern w:val="2"/>
                <w:sz w:val="21"/>
                <w:szCs w:val="21"/>
              </w:rPr>
            </w:pPr>
            <w:r>
              <w:rPr>
                <w:rFonts w:ascii="Times New Roman" w:cs="Times New Roman"/>
                <w:sz w:val="21"/>
                <w:szCs w:val="21"/>
              </w:rPr>
              <w:t>拼块类型</w:t>
            </w:r>
          </w:p>
        </w:tc>
        <w:tc>
          <w:tcPr>
            <w:tcW w:w="920" w:type="pct"/>
            <w:vAlign w:val="bottom"/>
          </w:tcPr>
          <w:p>
            <w:pPr>
              <w:widowControl/>
              <w:topLinePunct w:val="0"/>
              <w:adjustRightInd/>
              <w:spacing w:line="240" w:lineRule="auto"/>
              <w:ind w:firstLine="480" w:firstLineChars="0"/>
              <w:jc w:val="center"/>
              <w:textAlignment w:val="bottom"/>
              <w:rPr>
                <w:rFonts w:ascii="Times New Roman" w:cs="Times New Roman"/>
                <w:kern w:val="2"/>
                <w:sz w:val="21"/>
                <w:szCs w:val="21"/>
              </w:rPr>
            </w:pPr>
            <w:r>
              <w:rPr>
                <w:rFonts w:ascii="Times New Roman" w:cs="Times New Roman"/>
                <w:sz w:val="21"/>
                <w:szCs w:val="21"/>
              </w:rPr>
              <w:t>密度Rd（%）</w:t>
            </w:r>
          </w:p>
        </w:tc>
        <w:tc>
          <w:tcPr>
            <w:tcW w:w="965" w:type="pct"/>
            <w:vAlign w:val="bottom"/>
          </w:tcPr>
          <w:p>
            <w:pPr>
              <w:widowControl/>
              <w:topLinePunct w:val="0"/>
              <w:adjustRightInd/>
              <w:spacing w:line="240" w:lineRule="auto"/>
              <w:ind w:firstLine="480" w:firstLineChars="0"/>
              <w:jc w:val="center"/>
              <w:textAlignment w:val="bottom"/>
              <w:rPr>
                <w:rFonts w:ascii="Times New Roman" w:cs="Times New Roman"/>
                <w:kern w:val="2"/>
                <w:sz w:val="21"/>
                <w:szCs w:val="21"/>
              </w:rPr>
            </w:pPr>
            <w:r>
              <w:rPr>
                <w:rFonts w:ascii="Times New Roman" w:cs="Times New Roman"/>
                <w:sz w:val="21"/>
                <w:szCs w:val="21"/>
              </w:rPr>
              <w:t>频率Rf（%）</w:t>
            </w:r>
          </w:p>
        </w:tc>
        <w:tc>
          <w:tcPr>
            <w:tcW w:w="1175" w:type="pct"/>
            <w:vAlign w:val="bottom"/>
          </w:tcPr>
          <w:p>
            <w:pPr>
              <w:widowControl/>
              <w:topLinePunct w:val="0"/>
              <w:adjustRightInd/>
              <w:spacing w:line="240" w:lineRule="auto"/>
              <w:ind w:firstLine="480" w:firstLineChars="0"/>
              <w:jc w:val="center"/>
              <w:textAlignment w:val="bottom"/>
              <w:rPr>
                <w:rFonts w:ascii="Times New Roman" w:cs="Times New Roman"/>
                <w:kern w:val="2"/>
                <w:sz w:val="21"/>
                <w:szCs w:val="21"/>
              </w:rPr>
            </w:pPr>
            <w:r>
              <w:rPr>
                <w:rFonts w:ascii="Times New Roman" w:cs="Times New Roman"/>
                <w:sz w:val="21"/>
                <w:szCs w:val="21"/>
              </w:rPr>
              <w:t>景观比例Lp（%）</w:t>
            </w:r>
          </w:p>
        </w:tc>
        <w:tc>
          <w:tcPr>
            <w:tcW w:w="955" w:type="pct"/>
            <w:vAlign w:val="bottom"/>
          </w:tcPr>
          <w:p>
            <w:pPr>
              <w:widowControl/>
              <w:topLinePunct w:val="0"/>
              <w:adjustRightInd/>
              <w:spacing w:line="240" w:lineRule="auto"/>
              <w:ind w:firstLine="480" w:firstLineChars="0"/>
              <w:jc w:val="center"/>
              <w:textAlignment w:val="bottom"/>
              <w:rPr>
                <w:rFonts w:ascii="Times New Roman" w:cs="Times New Roman"/>
                <w:kern w:val="2"/>
                <w:sz w:val="21"/>
                <w:szCs w:val="21"/>
              </w:rPr>
            </w:pPr>
            <w:r>
              <w:rPr>
                <w:rFonts w:ascii="Times New Roman" w:cs="Times New Roman"/>
                <w:sz w:val="21"/>
                <w:szCs w:val="21"/>
              </w:rPr>
              <w:t>优势度Do（%）</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983" w:type="pct"/>
            <w:vAlign w:val="bottom"/>
          </w:tcPr>
          <w:p>
            <w:pPr>
              <w:widowControl/>
              <w:topLinePunct w:val="0"/>
              <w:adjustRightInd/>
              <w:spacing w:line="240" w:lineRule="auto"/>
              <w:ind w:firstLine="480" w:firstLineChars="0"/>
              <w:jc w:val="center"/>
              <w:textAlignment w:val="bottom"/>
              <w:rPr>
                <w:rFonts w:ascii="Times New Roman" w:cs="Times New Roman"/>
                <w:kern w:val="2"/>
                <w:sz w:val="21"/>
                <w:szCs w:val="21"/>
              </w:rPr>
            </w:pPr>
            <w:r>
              <w:rPr>
                <w:rFonts w:ascii="Times New Roman" w:cs="Times New Roman"/>
                <w:sz w:val="21"/>
                <w:szCs w:val="21"/>
              </w:rPr>
              <w:t>森林</w:t>
            </w:r>
          </w:p>
        </w:tc>
        <w:tc>
          <w:tcPr>
            <w:tcW w:w="1530" w:type="dxa"/>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55.37</w:t>
            </w:r>
          </w:p>
        </w:tc>
        <w:tc>
          <w:tcPr>
            <w:tcW w:w="1605" w:type="dxa"/>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72.03</w:t>
            </w:r>
          </w:p>
        </w:tc>
        <w:tc>
          <w:tcPr>
            <w:tcW w:w="1954" w:type="dxa"/>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62.04</w:t>
            </w:r>
          </w:p>
        </w:tc>
        <w:tc>
          <w:tcPr>
            <w:tcW w:w="1588" w:type="dxa"/>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 xml:space="preserve">62.87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983" w:type="pct"/>
            <w:vAlign w:val="bottom"/>
          </w:tcPr>
          <w:p>
            <w:pPr>
              <w:widowControl/>
              <w:topLinePunct w:val="0"/>
              <w:adjustRightInd/>
              <w:spacing w:line="240" w:lineRule="auto"/>
              <w:ind w:firstLine="480" w:firstLineChars="0"/>
              <w:jc w:val="center"/>
              <w:textAlignment w:val="bottom"/>
              <w:rPr>
                <w:rFonts w:ascii="Times New Roman" w:cs="Times New Roman"/>
                <w:kern w:val="2"/>
                <w:sz w:val="21"/>
                <w:szCs w:val="21"/>
              </w:rPr>
            </w:pPr>
            <w:r>
              <w:rPr>
                <w:rFonts w:ascii="Times New Roman" w:cs="Times New Roman"/>
                <w:sz w:val="21"/>
                <w:szCs w:val="21"/>
              </w:rPr>
              <w:t>灌丛</w:t>
            </w:r>
          </w:p>
        </w:tc>
        <w:tc>
          <w:tcPr>
            <w:tcW w:w="1530" w:type="dxa"/>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5.03</w:t>
            </w:r>
          </w:p>
        </w:tc>
        <w:tc>
          <w:tcPr>
            <w:tcW w:w="1605" w:type="dxa"/>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2.69</w:t>
            </w:r>
          </w:p>
        </w:tc>
        <w:tc>
          <w:tcPr>
            <w:tcW w:w="1954" w:type="dxa"/>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2.67</w:t>
            </w:r>
          </w:p>
        </w:tc>
        <w:tc>
          <w:tcPr>
            <w:tcW w:w="1588" w:type="dxa"/>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 xml:space="preserve">3.27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983" w:type="pct"/>
            <w:vAlign w:val="bottom"/>
          </w:tcPr>
          <w:p>
            <w:pPr>
              <w:widowControl/>
              <w:topLinePunct w:val="0"/>
              <w:adjustRightInd/>
              <w:spacing w:line="240" w:lineRule="auto"/>
              <w:ind w:firstLine="480" w:firstLineChars="0"/>
              <w:jc w:val="center"/>
              <w:textAlignment w:val="bottom"/>
              <w:rPr>
                <w:rFonts w:ascii="Times New Roman" w:cs="Times New Roman"/>
                <w:kern w:val="2"/>
                <w:sz w:val="21"/>
                <w:szCs w:val="21"/>
              </w:rPr>
            </w:pPr>
            <w:r>
              <w:rPr>
                <w:rFonts w:ascii="Times New Roman" w:cs="Times New Roman"/>
                <w:sz w:val="21"/>
                <w:szCs w:val="21"/>
              </w:rPr>
              <w:t>灌草丛</w:t>
            </w:r>
          </w:p>
        </w:tc>
        <w:tc>
          <w:tcPr>
            <w:tcW w:w="1530" w:type="dxa"/>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2.93</w:t>
            </w:r>
          </w:p>
        </w:tc>
        <w:tc>
          <w:tcPr>
            <w:tcW w:w="1605" w:type="dxa"/>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1.19</w:t>
            </w:r>
          </w:p>
        </w:tc>
        <w:tc>
          <w:tcPr>
            <w:tcW w:w="1954" w:type="dxa"/>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1.12</w:t>
            </w:r>
          </w:p>
        </w:tc>
        <w:tc>
          <w:tcPr>
            <w:tcW w:w="1588" w:type="dxa"/>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 xml:space="preserve">1.59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983" w:type="pct"/>
            <w:vAlign w:val="bottom"/>
          </w:tcPr>
          <w:p>
            <w:pPr>
              <w:widowControl/>
              <w:topLinePunct w:val="0"/>
              <w:adjustRightInd/>
              <w:spacing w:line="240" w:lineRule="auto"/>
              <w:ind w:firstLine="480" w:firstLineChars="0"/>
              <w:jc w:val="center"/>
              <w:textAlignment w:val="bottom"/>
              <w:rPr>
                <w:rFonts w:ascii="Times New Roman" w:cs="Times New Roman"/>
                <w:kern w:val="2"/>
                <w:sz w:val="21"/>
                <w:szCs w:val="21"/>
              </w:rPr>
            </w:pPr>
            <w:r>
              <w:rPr>
                <w:rFonts w:ascii="Times New Roman" w:cs="Times New Roman"/>
                <w:sz w:val="21"/>
                <w:szCs w:val="21"/>
              </w:rPr>
              <w:t>耕地</w:t>
            </w:r>
          </w:p>
        </w:tc>
        <w:tc>
          <w:tcPr>
            <w:tcW w:w="1530" w:type="dxa"/>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23.37</w:t>
            </w:r>
          </w:p>
        </w:tc>
        <w:tc>
          <w:tcPr>
            <w:tcW w:w="1605" w:type="dxa"/>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29.91</w:t>
            </w:r>
          </w:p>
        </w:tc>
        <w:tc>
          <w:tcPr>
            <w:tcW w:w="1954" w:type="dxa"/>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29.37</w:t>
            </w:r>
          </w:p>
        </w:tc>
        <w:tc>
          <w:tcPr>
            <w:tcW w:w="1588" w:type="dxa"/>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 xml:space="preserve">28.01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983" w:type="pct"/>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河流水面</w:t>
            </w:r>
          </w:p>
        </w:tc>
        <w:tc>
          <w:tcPr>
            <w:tcW w:w="1530" w:type="dxa"/>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2.11</w:t>
            </w:r>
          </w:p>
        </w:tc>
        <w:tc>
          <w:tcPr>
            <w:tcW w:w="1605" w:type="dxa"/>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0.37</w:t>
            </w:r>
          </w:p>
        </w:tc>
        <w:tc>
          <w:tcPr>
            <w:tcW w:w="1954" w:type="dxa"/>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0.36</w:t>
            </w:r>
          </w:p>
        </w:tc>
        <w:tc>
          <w:tcPr>
            <w:tcW w:w="1588" w:type="dxa"/>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 xml:space="preserve">0.80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983" w:type="pct"/>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人工生态系统</w:t>
            </w:r>
          </w:p>
        </w:tc>
        <w:tc>
          <w:tcPr>
            <w:tcW w:w="1530" w:type="dxa"/>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11.19</w:t>
            </w:r>
          </w:p>
        </w:tc>
        <w:tc>
          <w:tcPr>
            <w:tcW w:w="1605" w:type="dxa"/>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4.24</w:t>
            </w:r>
          </w:p>
        </w:tc>
        <w:tc>
          <w:tcPr>
            <w:tcW w:w="1954" w:type="dxa"/>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4.44</w:t>
            </w:r>
          </w:p>
        </w:tc>
        <w:tc>
          <w:tcPr>
            <w:tcW w:w="1588" w:type="dxa"/>
            <w:vAlign w:val="bottom"/>
          </w:tcPr>
          <w:p>
            <w:pPr>
              <w:widowControl/>
              <w:topLinePunct w:val="0"/>
              <w:adjustRightInd/>
              <w:spacing w:line="240" w:lineRule="auto"/>
              <w:ind w:firstLine="480" w:firstLineChars="0"/>
              <w:jc w:val="center"/>
              <w:textAlignment w:val="bottom"/>
              <w:rPr>
                <w:rFonts w:ascii="Times New Roman" w:cs="Times New Roman"/>
                <w:sz w:val="21"/>
                <w:szCs w:val="21"/>
              </w:rPr>
            </w:pPr>
            <w:r>
              <w:rPr>
                <w:rFonts w:ascii="Times New Roman" w:cs="Times New Roman"/>
                <w:sz w:val="21"/>
                <w:szCs w:val="21"/>
              </w:rPr>
              <w:t xml:space="preserve">6.08 </w:t>
            </w:r>
          </w:p>
        </w:tc>
      </w:tr>
    </w:tbl>
    <w:p>
      <w:pPr>
        <w:topLinePunct w:val="0"/>
        <w:autoSpaceDE w:val="0"/>
        <w:autoSpaceDN w:val="0"/>
        <w:spacing w:beforeLines="50"/>
        <w:ind w:firstLine="0" w:firstLineChars="0"/>
        <w:rPr>
          <w:rFonts w:ascii="Times New Roman" w:cs="Times New Roman"/>
        </w:rPr>
      </w:pPr>
      <w:r>
        <w:rPr>
          <w:rFonts w:hint="eastAsia" w:ascii="Times New Roman" w:cs="Times New Roman"/>
          <w:b/>
          <w:sz w:val="21"/>
        </w:rPr>
        <w:t xml:space="preserve">    </w:t>
      </w:r>
      <w:r>
        <w:rPr>
          <w:rFonts w:ascii="Times New Roman" w:cs="Times New Roman"/>
        </w:rPr>
        <w:t>从</w:t>
      </w:r>
      <w:r>
        <w:rPr>
          <w:rFonts w:hint="eastAsia" w:ascii="Times New Roman" w:cs="Times New Roman"/>
        </w:rPr>
        <w:t>5.2</w:t>
      </w:r>
      <w:r>
        <w:rPr>
          <w:rFonts w:ascii="Times New Roman" w:cs="Times New Roman"/>
        </w:rPr>
        <w:t>-</w:t>
      </w:r>
      <w:r>
        <w:rPr>
          <w:rFonts w:hint="eastAsia" w:ascii="Times New Roman" w:cs="Times New Roman"/>
        </w:rPr>
        <w:t>15</w:t>
      </w:r>
      <w:r>
        <w:rPr>
          <w:rFonts w:ascii="Times New Roman" w:cs="Times New Roman"/>
        </w:rPr>
        <w:t>可以看出，在本次评价区域，各类拼块的优势度值差异较大，具有一定连通度，但它们之间都存在一定差异。其中森林拼块的优势度Do值最高，为</w:t>
      </w:r>
      <w:r>
        <w:rPr>
          <w:rFonts w:hint="eastAsia" w:ascii="Times New Roman" w:cs="Times New Roman"/>
        </w:rPr>
        <w:t>62.87</w:t>
      </w:r>
      <w:r>
        <w:rPr>
          <w:rFonts w:ascii="Times New Roman" w:cs="Times New Roman"/>
        </w:rPr>
        <w:t>%，景观比例Lp为</w:t>
      </w:r>
      <w:r>
        <w:rPr>
          <w:rFonts w:hint="eastAsia" w:ascii="Times New Roman" w:cs="Times New Roman"/>
        </w:rPr>
        <w:t>62.04</w:t>
      </w:r>
      <w:r>
        <w:rPr>
          <w:rFonts w:ascii="Times New Roman" w:cs="Times New Roman"/>
        </w:rPr>
        <w:t>%，出现的频率为</w:t>
      </w:r>
      <w:r>
        <w:rPr>
          <w:rFonts w:hint="eastAsia" w:ascii="Times New Roman" w:cs="Times New Roman"/>
        </w:rPr>
        <w:t>72.03</w:t>
      </w:r>
      <w:r>
        <w:rPr>
          <w:rFonts w:ascii="Times New Roman" w:cs="Times New Roman"/>
        </w:rPr>
        <w:t>%；其次是耕地拼块，优势度Do值</w:t>
      </w:r>
      <w:r>
        <w:rPr>
          <w:rFonts w:hint="eastAsia" w:ascii="Times New Roman" w:cs="Times New Roman"/>
        </w:rPr>
        <w:t>28.01</w:t>
      </w:r>
      <w:r>
        <w:rPr>
          <w:rFonts w:ascii="Times New Roman" w:cs="Times New Roman"/>
        </w:rPr>
        <w:t>%，景观比例Lp为</w:t>
      </w:r>
      <w:r>
        <w:rPr>
          <w:rFonts w:hint="eastAsia" w:ascii="Times New Roman" w:cs="Times New Roman"/>
        </w:rPr>
        <w:t>29.37</w:t>
      </w:r>
      <w:r>
        <w:rPr>
          <w:rFonts w:ascii="Times New Roman" w:cs="Times New Roman"/>
        </w:rPr>
        <w:t>%，出现的频率Rf为</w:t>
      </w:r>
      <w:r>
        <w:rPr>
          <w:rFonts w:hint="eastAsia" w:ascii="Times New Roman" w:cs="Times New Roman"/>
        </w:rPr>
        <w:t>29.91</w:t>
      </w:r>
      <w:r>
        <w:rPr>
          <w:rFonts w:ascii="Times New Roman" w:cs="Times New Roman"/>
        </w:rPr>
        <w:t>%</w:t>
      </w:r>
      <w:r>
        <w:rPr>
          <w:rFonts w:hint="eastAsia" w:ascii="Times New Roman" w:cs="Times New Roman"/>
        </w:rPr>
        <w:t>，其他拼块所占比较均低于5%</w:t>
      </w:r>
      <w:r>
        <w:rPr>
          <w:rFonts w:ascii="Times New Roman" w:cs="Times New Roman"/>
        </w:rPr>
        <w:t>。</w:t>
      </w:r>
    </w:p>
    <w:p>
      <w:pPr>
        <w:pStyle w:val="4"/>
        <w:rPr>
          <w:rFonts w:eastAsia="宋体"/>
        </w:rPr>
      </w:pPr>
      <w:r>
        <w:rPr>
          <w:rFonts w:eastAsia="宋体"/>
        </w:rPr>
        <w:t>5.2.7</w:t>
      </w:r>
      <w:r>
        <w:rPr>
          <w:rFonts w:eastAsia="宋体"/>
          <w:bCs/>
        </w:rPr>
        <w:t>生态系统类型调查与评价</w:t>
      </w:r>
    </w:p>
    <w:p>
      <w:pPr>
        <w:snapToGrid w:val="0"/>
        <w:ind w:firstLine="480"/>
        <w:rPr>
          <w:bCs/>
        </w:rPr>
      </w:pPr>
      <w:r>
        <w:rPr>
          <w:bCs/>
        </w:rPr>
        <w:t>根据地形地貌、土地利用类型以及植被类型的不同，将评价范围内生态系统划分为不同的类型。调查显示，评价范围内生态系统类型主要包括森林生态系统</w:t>
      </w:r>
      <w:r>
        <w:rPr>
          <w:rFonts w:hint="eastAsia"/>
          <w:bCs/>
        </w:rPr>
        <w:t>、灌丛</w:t>
      </w:r>
      <w:r>
        <w:rPr>
          <w:bCs/>
        </w:rPr>
        <w:t>生态系统</w:t>
      </w:r>
      <w:r>
        <w:rPr>
          <w:rFonts w:hint="eastAsia"/>
          <w:bCs/>
        </w:rPr>
        <w:t>、灌草丛</w:t>
      </w:r>
      <w:r>
        <w:rPr>
          <w:bCs/>
        </w:rPr>
        <w:t>生态系统</w:t>
      </w:r>
      <w:r>
        <w:rPr>
          <w:rFonts w:hint="eastAsia"/>
          <w:bCs/>
        </w:rPr>
        <w:t>、耕地</w:t>
      </w:r>
      <w:r>
        <w:rPr>
          <w:bCs/>
        </w:rPr>
        <w:t>生态系统</w:t>
      </w:r>
      <w:r>
        <w:rPr>
          <w:rFonts w:hint="eastAsia"/>
          <w:bCs/>
        </w:rPr>
        <w:t>、</w:t>
      </w:r>
      <w:r>
        <w:rPr>
          <w:bCs/>
        </w:rPr>
        <w:t>河流</w:t>
      </w:r>
      <w:r>
        <w:rPr>
          <w:rFonts w:hint="eastAsia"/>
          <w:bCs/>
        </w:rPr>
        <w:t>水面</w:t>
      </w:r>
      <w:r>
        <w:rPr>
          <w:bCs/>
        </w:rPr>
        <w:t>生态系统</w:t>
      </w:r>
      <w:r>
        <w:rPr>
          <w:rFonts w:hint="eastAsia"/>
          <w:bCs/>
        </w:rPr>
        <w:t>、人工生态系统</w:t>
      </w:r>
      <w:r>
        <w:rPr>
          <w:bCs/>
        </w:rPr>
        <w:t>。生态系统整体开发强度大，区域内森林多为人工林，少量为次生林。</w:t>
      </w:r>
    </w:p>
    <w:p>
      <w:pPr>
        <w:topLinePunct w:val="0"/>
        <w:snapToGrid w:val="0"/>
        <w:ind w:firstLine="480"/>
        <w:rPr>
          <w:rFonts w:ascii="Times New Roman" w:cs="Times New Roman"/>
          <w:bCs/>
          <w:kern w:val="2"/>
        </w:rPr>
      </w:pPr>
      <w:r>
        <w:rPr>
          <w:bCs/>
        </w:rPr>
        <w:t>根据现场调查，评价范围内的森林生态</w:t>
      </w:r>
      <w:r>
        <w:rPr>
          <w:rFonts w:hint="eastAsia"/>
          <w:bCs/>
        </w:rPr>
        <w:t>系统占绝对优势，面</w:t>
      </w:r>
      <w:r>
        <w:rPr>
          <w:rFonts w:ascii="Times New Roman" w:cs="Times New Roman"/>
          <w:bCs/>
        </w:rPr>
        <w:t>积862.69hm</w:t>
      </w:r>
      <w:r>
        <w:rPr>
          <w:rFonts w:ascii="Times New Roman" w:cs="Times New Roman"/>
          <w:bCs/>
          <w:vertAlign w:val="superscript"/>
        </w:rPr>
        <w:t>2</w:t>
      </w:r>
      <w:r>
        <w:rPr>
          <w:rFonts w:ascii="Times New Roman" w:cs="Times New Roman"/>
          <w:bCs/>
        </w:rPr>
        <w:t>，占比68.63%。森林生态系统是以乔木为主的生物群落以</w:t>
      </w:r>
      <w:r>
        <w:rPr>
          <w:bCs/>
        </w:rPr>
        <w:t>及其非生物环境综合组成的陆地生态系统</w:t>
      </w:r>
      <w:r>
        <w:rPr>
          <w:rFonts w:hint="eastAsia"/>
          <w:bCs/>
        </w:rPr>
        <w:t>，</w:t>
      </w:r>
      <w:r>
        <w:rPr>
          <w:bCs/>
        </w:rPr>
        <w:t>生态系统中的植物以乔木为主，也有少量灌木和草本植物，还有不同种类的动物</w:t>
      </w:r>
      <w:r>
        <w:rPr>
          <w:rFonts w:hint="eastAsia"/>
          <w:bCs/>
        </w:rPr>
        <w:t>资源</w:t>
      </w:r>
      <w:r>
        <w:rPr>
          <w:bCs/>
        </w:rPr>
        <w:t>。森林生态系统</w:t>
      </w:r>
      <w:r>
        <w:rPr>
          <w:rFonts w:hint="eastAsia"/>
          <w:bCs/>
        </w:rPr>
        <w:t>生态</w:t>
      </w:r>
      <w:r>
        <w:rPr>
          <w:bCs/>
        </w:rPr>
        <w:t>服务功能高，在涵养水源、净化空气、保持水土、吸烟滞尘、改变区域水热状况等方面有着突出的作用</w:t>
      </w:r>
      <w:r>
        <w:rPr>
          <w:rFonts w:ascii="Times New Roman" w:cs="Times New Roman"/>
          <w:bCs/>
          <w:kern w:val="2"/>
        </w:rPr>
        <w:t>。</w:t>
      </w:r>
    </w:p>
    <w:p>
      <w:pPr>
        <w:pStyle w:val="112"/>
        <w:ind w:firstLine="480"/>
      </w:pPr>
      <w:r>
        <w:rPr>
          <w:rFonts w:hint="eastAsia"/>
          <w:kern w:val="2"/>
          <w:szCs w:val="24"/>
        </w:rPr>
        <w:t>评价区</w:t>
      </w:r>
      <w:r>
        <w:rPr>
          <w:kern w:val="2"/>
          <w:szCs w:val="24"/>
        </w:rPr>
        <w:t>生态系统类型分布特征及解译结果</w:t>
      </w:r>
      <w:r>
        <w:rPr>
          <w:rFonts w:hint="eastAsia"/>
          <w:kern w:val="2"/>
          <w:szCs w:val="24"/>
        </w:rPr>
        <w:t>见下表。</w:t>
      </w:r>
    </w:p>
    <w:p>
      <w:pPr>
        <w:topLinePunct w:val="0"/>
        <w:autoSpaceDE w:val="0"/>
        <w:autoSpaceDN w:val="0"/>
        <w:spacing w:beforeLines="50" w:line="240" w:lineRule="auto"/>
        <w:ind w:firstLine="0" w:firstLineChars="0"/>
        <w:jc w:val="center"/>
        <w:rPr>
          <w:rFonts w:ascii="Times New Roman" w:cs="Times New Roman"/>
          <w:b/>
          <w:sz w:val="21"/>
        </w:rPr>
      </w:pPr>
      <w:r>
        <w:rPr>
          <w:rFonts w:ascii="Times New Roman" w:cs="Times New Roman"/>
          <w:b/>
          <w:sz w:val="21"/>
        </w:rPr>
        <w:t>表</w:t>
      </w:r>
      <w:r>
        <w:rPr>
          <w:rFonts w:hint="eastAsia" w:ascii="Times New Roman" w:cs="Times New Roman"/>
          <w:b/>
          <w:sz w:val="21"/>
        </w:rPr>
        <w:t>5.2</w:t>
      </w:r>
      <w:r>
        <w:rPr>
          <w:rFonts w:ascii="Times New Roman" w:cs="Times New Roman"/>
          <w:b/>
          <w:sz w:val="21"/>
        </w:rPr>
        <w:t>-</w:t>
      </w:r>
      <w:r>
        <w:rPr>
          <w:rFonts w:hint="eastAsia" w:ascii="Times New Roman" w:cs="Times New Roman"/>
          <w:b/>
          <w:sz w:val="21"/>
        </w:rPr>
        <w:t>16</w:t>
      </w:r>
      <w:r>
        <w:rPr>
          <w:rFonts w:ascii="Times New Roman" w:cs="Times New Roman"/>
          <w:b/>
          <w:sz w:val="21"/>
        </w:rPr>
        <w:t xml:space="preserve"> 生态系统类型面积统计表</w:t>
      </w:r>
    </w:p>
    <w:tbl>
      <w:tblPr>
        <w:tblStyle w:val="5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5"/>
        <w:gridCol w:w="3199"/>
        <w:gridCol w:w="2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0" w:type="pct"/>
            <w:vMerge w:val="restart"/>
            <w:tcBorders>
              <w:top w:val="single" w:color="auto" w:sz="12"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生态系统类型分类</w:t>
            </w:r>
          </w:p>
        </w:tc>
        <w:tc>
          <w:tcPr>
            <w:tcW w:w="3090" w:type="pct"/>
            <w:gridSpan w:val="2"/>
            <w:tcBorders>
              <w:top w:val="single" w:color="auto" w:sz="12" w:space="0"/>
              <w:left w:val="single" w:color="auto" w:sz="4" w:space="0"/>
              <w:bottom w:val="single" w:color="auto" w:sz="4" w:space="0"/>
              <w:right w:val="nil"/>
            </w:tcBorders>
            <w:vAlign w:val="center"/>
          </w:tcPr>
          <w:p>
            <w:pPr>
              <w:widowControl/>
              <w:topLinePunct w:val="0"/>
              <w:adjustRightInd/>
              <w:spacing w:line="240" w:lineRule="auto"/>
              <w:ind w:firstLine="0" w:firstLineChars="0"/>
              <w:jc w:val="center"/>
              <w:rPr>
                <w:rFonts w:ascii="Times New Roman" w:cs="Times New Roman"/>
                <w:b/>
                <w:bCs/>
                <w:kern w:val="2"/>
                <w:sz w:val="21"/>
                <w:szCs w:val="21"/>
              </w:rPr>
            </w:pPr>
            <w:r>
              <w:rPr>
                <w:rFonts w:ascii="Times New Roman" w:cs="Times New Roman"/>
                <w:b/>
                <w:bCs/>
                <w:kern w:val="2"/>
                <w:sz w:val="21"/>
                <w:szCs w:val="21"/>
              </w:rPr>
              <w:t>评价区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910" w:type="pct"/>
            <w:vMerge w:val="continue"/>
            <w:tcBorders>
              <w:top w:val="single" w:color="auto" w:sz="4" w:space="0"/>
              <w:left w:val="nil"/>
              <w:bottom w:val="single" w:color="auto" w:sz="4" w:space="0"/>
              <w:right w:val="single" w:color="auto" w:sz="4" w:space="0"/>
            </w:tcBorders>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877" w:type="pct"/>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面积（hm</w:t>
            </w:r>
            <w:r>
              <w:rPr>
                <w:rFonts w:ascii="Times New Roman" w:cs="Times New Roman"/>
                <w:color w:val="000000"/>
                <w:kern w:val="2"/>
                <w:sz w:val="21"/>
                <w:szCs w:val="21"/>
                <w:vertAlign w:val="superscript"/>
              </w:rPr>
              <w:t>2</w:t>
            </w:r>
            <w:r>
              <w:rPr>
                <w:rFonts w:ascii="Times New Roman" w:cs="Times New Roman"/>
                <w:color w:val="000000"/>
                <w:kern w:val="2"/>
                <w:sz w:val="21"/>
                <w:szCs w:val="21"/>
              </w:rPr>
              <w:t>）</w:t>
            </w:r>
          </w:p>
        </w:tc>
        <w:tc>
          <w:tcPr>
            <w:tcW w:w="1213" w:type="pct"/>
            <w:tcBorders>
              <w:top w:val="single" w:color="auto" w:sz="4" w:space="0"/>
              <w:left w:val="single" w:color="auto" w:sz="4" w:space="0"/>
              <w:bottom w:val="single" w:color="auto" w:sz="4" w:space="0"/>
              <w:right w:val="nil"/>
            </w:tcBorders>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910" w:type="pct"/>
            <w:tcBorders>
              <w:top w:val="single" w:color="auto" w:sz="4" w:space="0"/>
              <w:left w:val="nil"/>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森林生态系统</w:t>
            </w:r>
          </w:p>
        </w:tc>
        <w:tc>
          <w:tcPr>
            <w:tcW w:w="18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 xml:space="preserve">862.69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 xml:space="preserve">68.63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0" w:type="pct"/>
            <w:tcBorders>
              <w:top w:val="single" w:color="auto" w:sz="4" w:space="0"/>
              <w:left w:val="nil"/>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灌丛生态系统</w:t>
            </w:r>
          </w:p>
        </w:tc>
        <w:tc>
          <w:tcPr>
            <w:tcW w:w="18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 xml:space="preserve">69.83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 xml:space="preserve">5.56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0" w:type="pct"/>
            <w:tcBorders>
              <w:top w:val="single" w:color="auto" w:sz="4" w:space="0"/>
              <w:left w:val="nil"/>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草地生态系统</w:t>
            </w:r>
          </w:p>
        </w:tc>
        <w:tc>
          <w:tcPr>
            <w:tcW w:w="18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 xml:space="preserve">0.95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 xml:space="preserve">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0" w:type="pct"/>
            <w:tcBorders>
              <w:top w:val="single" w:color="auto" w:sz="4" w:space="0"/>
              <w:left w:val="nil"/>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湿地生态系统</w:t>
            </w:r>
          </w:p>
        </w:tc>
        <w:tc>
          <w:tcPr>
            <w:tcW w:w="18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 xml:space="preserve">18.90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 xml:space="preserve">1.50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910" w:type="pct"/>
            <w:tcBorders>
              <w:top w:val="single" w:color="auto" w:sz="4" w:space="0"/>
              <w:left w:val="nil"/>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农田生态系统</w:t>
            </w:r>
          </w:p>
        </w:tc>
        <w:tc>
          <w:tcPr>
            <w:tcW w:w="18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 xml:space="preserve">249.71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 xml:space="preserve">19.87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0" w:type="pct"/>
            <w:tcBorders>
              <w:top w:val="single" w:color="auto" w:sz="4" w:space="0"/>
              <w:left w:val="nil"/>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城镇生态系统</w:t>
            </w:r>
          </w:p>
        </w:tc>
        <w:tc>
          <w:tcPr>
            <w:tcW w:w="18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 xml:space="preserve">54.51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 xml:space="preserve">4.34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0" w:type="pct"/>
            <w:tcBorders>
              <w:top w:val="single" w:color="auto" w:sz="4" w:space="0"/>
              <w:left w:val="nil"/>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其他</w:t>
            </w:r>
          </w:p>
        </w:tc>
        <w:tc>
          <w:tcPr>
            <w:tcW w:w="187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 xml:space="preserve">0.43 </w:t>
            </w:r>
          </w:p>
        </w:tc>
        <w:tc>
          <w:tcPr>
            <w:tcW w:w="1213" w:type="pct"/>
            <w:tcBorders>
              <w:top w:val="single" w:color="auto" w:sz="4" w:space="0"/>
              <w:left w:val="single" w:color="auto" w:sz="4" w:space="0"/>
              <w:bottom w:val="single" w:color="auto" w:sz="4"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 xml:space="preserve">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0" w:type="pct"/>
            <w:tcBorders>
              <w:top w:val="single" w:color="auto" w:sz="4" w:space="0"/>
              <w:left w:val="nil"/>
              <w:bottom w:val="single" w:color="auto" w:sz="12"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合计</w:t>
            </w:r>
          </w:p>
        </w:tc>
        <w:tc>
          <w:tcPr>
            <w:tcW w:w="1877" w:type="pct"/>
            <w:tcBorders>
              <w:top w:val="single" w:color="auto" w:sz="4" w:space="0"/>
              <w:left w:val="single" w:color="auto" w:sz="4" w:space="0"/>
              <w:bottom w:val="single" w:color="auto" w:sz="12" w:space="0"/>
              <w:right w:val="single" w:color="auto" w:sz="4" w:space="0"/>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 xml:space="preserve">1257.02 </w:t>
            </w:r>
          </w:p>
        </w:tc>
        <w:tc>
          <w:tcPr>
            <w:tcW w:w="1213" w:type="pct"/>
            <w:tcBorders>
              <w:top w:val="single" w:color="auto" w:sz="4" w:space="0"/>
              <w:left w:val="single" w:color="auto" w:sz="4" w:space="0"/>
              <w:bottom w:val="single" w:color="auto" w:sz="12" w:space="0"/>
              <w:right w:val="nil"/>
            </w:tcBorders>
            <w:shd w:val="clear" w:color="auto" w:fill="auto"/>
            <w:vAlign w:val="center"/>
          </w:tcPr>
          <w:p>
            <w:pPr>
              <w:widowControl/>
              <w:topLinePunct w:val="0"/>
              <w:adjustRightInd/>
              <w:spacing w:line="240" w:lineRule="auto"/>
              <w:ind w:firstLine="0" w:firstLineChars="0"/>
              <w:jc w:val="center"/>
              <w:textAlignment w:val="center"/>
              <w:rPr>
                <w:rFonts w:ascii="Times New Roman" w:cs="Times New Roman"/>
                <w:color w:val="000000"/>
                <w:kern w:val="2"/>
                <w:sz w:val="21"/>
                <w:szCs w:val="21"/>
              </w:rPr>
            </w:pPr>
            <w:r>
              <w:rPr>
                <w:rFonts w:ascii="Times New Roman" w:cs="Times New Roman"/>
                <w:color w:val="000000"/>
                <w:kern w:val="2"/>
                <w:sz w:val="21"/>
                <w:szCs w:val="21"/>
              </w:rPr>
              <w:t xml:space="preserve">100.00 </w:t>
            </w:r>
          </w:p>
        </w:tc>
      </w:tr>
    </w:tbl>
    <w:p>
      <w:pPr>
        <w:pStyle w:val="4"/>
        <w:rPr>
          <w:rFonts w:eastAsia="宋体"/>
        </w:rPr>
      </w:pPr>
      <w:bookmarkStart w:id="423" w:name="_Toc12288590"/>
      <w:r>
        <w:rPr>
          <w:rFonts w:eastAsia="宋体"/>
        </w:rPr>
        <w:t>5.2.</w:t>
      </w:r>
      <w:r>
        <w:rPr>
          <w:rFonts w:hint="eastAsia" w:eastAsia="宋体"/>
        </w:rPr>
        <w:t>8</w:t>
      </w:r>
      <w:r>
        <w:rPr>
          <w:rFonts w:eastAsia="宋体"/>
          <w:bCs/>
        </w:rPr>
        <w:t>生态系统服务功能评价</w:t>
      </w:r>
      <w:bookmarkEnd w:id="423"/>
    </w:p>
    <w:p>
      <w:pPr>
        <w:topLinePunct w:val="0"/>
        <w:snapToGrid w:val="0"/>
        <w:ind w:firstLine="482" w:firstLineChars="0"/>
        <w:rPr>
          <w:rFonts w:ascii="Times New Roman" w:cs="Times New Roman"/>
          <w:kern w:val="2"/>
        </w:rPr>
      </w:pPr>
      <w:r>
        <w:rPr>
          <w:rFonts w:ascii="Times New Roman" w:cs="Times New Roman"/>
          <w:kern w:val="2"/>
        </w:rPr>
        <w:t>（1）生物多样性保护功能</w:t>
      </w:r>
    </w:p>
    <w:p>
      <w:pPr>
        <w:topLinePunct w:val="0"/>
        <w:snapToGrid w:val="0"/>
        <w:ind w:firstLine="482" w:firstLineChars="0"/>
        <w:rPr>
          <w:rFonts w:ascii="Times New Roman" w:cs="Times New Roman"/>
          <w:kern w:val="2"/>
        </w:rPr>
      </w:pPr>
      <w:r>
        <w:rPr>
          <w:rFonts w:hint="eastAsia" w:ascii="Times New Roman" w:cs="Times New Roman"/>
          <w:kern w:val="2"/>
        </w:rPr>
        <w:t>森林、灌丛、灌草丛</w:t>
      </w:r>
      <w:r>
        <w:rPr>
          <w:rFonts w:ascii="Times New Roman" w:cs="Times New Roman"/>
          <w:kern w:val="2"/>
        </w:rPr>
        <w:t>生态系统，为周边野生动物提供了一定的生存繁衍空间，对野生动物物种多样性保护发挥着重要作用。</w:t>
      </w:r>
    </w:p>
    <w:p>
      <w:pPr>
        <w:topLinePunct w:val="0"/>
        <w:snapToGrid w:val="0"/>
        <w:ind w:firstLine="482" w:firstLineChars="0"/>
        <w:rPr>
          <w:rFonts w:ascii="Times New Roman" w:cs="Times New Roman"/>
          <w:kern w:val="2"/>
        </w:rPr>
      </w:pPr>
      <w:r>
        <w:rPr>
          <w:rFonts w:ascii="Times New Roman" w:cs="Times New Roman"/>
          <w:kern w:val="2"/>
        </w:rPr>
        <w:t>（2）维持区域生态平衡功能</w:t>
      </w:r>
    </w:p>
    <w:p>
      <w:pPr>
        <w:topLinePunct w:val="0"/>
        <w:snapToGrid w:val="0"/>
        <w:ind w:firstLine="482" w:firstLineChars="0"/>
        <w:rPr>
          <w:rFonts w:ascii="Times New Roman" w:cs="Times New Roman"/>
          <w:kern w:val="2"/>
        </w:rPr>
      </w:pPr>
      <w:r>
        <w:rPr>
          <w:rFonts w:hint="eastAsia" w:ascii="Times New Roman" w:cs="Times New Roman"/>
          <w:kern w:val="2"/>
        </w:rPr>
        <w:t>森林、灌丛、灌草丛</w:t>
      </w:r>
      <w:r>
        <w:rPr>
          <w:rFonts w:ascii="Times New Roman" w:cs="Times New Roman"/>
          <w:kern w:val="2"/>
        </w:rPr>
        <w:t>生态系统在维持区域生态平衡中也具有良好的作用，有助于保持区域水平衡的稳定性。</w:t>
      </w:r>
    </w:p>
    <w:p>
      <w:pPr>
        <w:topLinePunct w:val="0"/>
        <w:snapToGrid w:val="0"/>
        <w:ind w:firstLine="482" w:firstLineChars="0"/>
        <w:rPr>
          <w:rFonts w:ascii="Times New Roman" w:cs="Times New Roman"/>
          <w:kern w:val="2"/>
        </w:rPr>
      </w:pPr>
      <w:r>
        <w:rPr>
          <w:rFonts w:ascii="Times New Roman" w:cs="Times New Roman"/>
          <w:kern w:val="2"/>
        </w:rPr>
        <w:t>（3）生态安全保障功能</w:t>
      </w:r>
    </w:p>
    <w:p>
      <w:pPr>
        <w:pStyle w:val="112"/>
        <w:ind w:firstLine="480"/>
      </w:pPr>
      <w:r>
        <w:rPr>
          <w:rFonts w:hint="eastAsia"/>
          <w:kern w:val="2"/>
          <w:szCs w:val="24"/>
        </w:rPr>
        <w:t>森林、灌丛、灌草丛</w:t>
      </w:r>
      <w:r>
        <w:rPr>
          <w:kern w:val="2"/>
          <w:szCs w:val="24"/>
        </w:rPr>
        <w:t>生态系统是野生动物必要的栖息地，也是维护评价区生态安全的重要屏障。</w:t>
      </w:r>
    </w:p>
    <w:p>
      <w:pPr>
        <w:pStyle w:val="4"/>
        <w:rPr>
          <w:rFonts w:eastAsia="宋体"/>
        </w:rPr>
      </w:pPr>
      <w:r>
        <w:rPr>
          <w:rFonts w:eastAsia="宋体"/>
        </w:rPr>
        <w:t>5.2.</w:t>
      </w:r>
      <w:r>
        <w:rPr>
          <w:rFonts w:hint="eastAsia" w:eastAsia="宋体"/>
        </w:rPr>
        <w:t>9</w:t>
      </w:r>
      <w:r>
        <w:rPr>
          <w:rFonts w:eastAsia="宋体"/>
          <w:bCs/>
        </w:rPr>
        <w:t>陆生野生动物现状调查</w:t>
      </w:r>
    </w:p>
    <w:p>
      <w:pPr>
        <w:topLinePunct w:val="0"/>
        <w:snapToGrid w:val="0"/>
        <w:ind w:firstLine="482"/>
        <w:rPr>
          <w:rFonts w:ascii="Times New Roman" w:cs="Times New Roman"/>
          <w:b/>
          <w:bCs/>
          <w:kern w:val="2"/>
        </w:rPr>
      </w:pPr>
      <w:r>
        <w:rPr>
          <w:rFonts w:hint="eastAsia" w:ascii="Times New Roman" w:cs="Times New Roman"/>
          <w:b/>
          <w:bCs/>
          <w:kern w:val="2"/>
        </w:rPr>
        <w:t>1</w:t>
      </w:r>
      <w:r>
        <w:rPr>
          <w:rFonts w:ascii="Times New Roman" w:cs="Times New Roman"/>
          <w:b/>
          <w:bCs/>
          <w:kern w:val="2"/>
        </w:rPr>
        <w:t>、项目评价范围内陆生野生脊椎动物现状和特点</w:t>
      </w:r>
    </w:p>
    <w:p>
      <w:pPr>
        <w:topLinePunct w:val="0"/>
        <w:snapToGrid w:val="0"/>
        <w:ind w:firstLine="480"/>
        <w:rPr>
          <w:rFonts w:ascii="Times New Roman" w:cs="Times New Roman"/>
          <w:kern w:val="2"/>
        </w:rPr>
      </w:pPr>
      <w:r>
        <w:rPr>
          <w:rFonts w:ascii="Times New Roman" w:cs="Times New Roman"/>
          <w:kern w:val="2"/>
        </w:rPr>
        <w:t>动物调查采用样线调查法，设置调查样线</w:t>
      </w:r>
      <w:r>
        <w:rPr>
          <w:rFonts w:hint="eastAsia" w:ascii="Times New Roman" w:cs="Times New Roman"/>
          <w:kern w:val="2"/>
        </w:rPr>
        <w:t>4</w:t>
      </w:r>
      <w:r>
        <w:rPr>
          <w:rFonts w:ascii="Times New Roman" w:cs="Times New Roman"/>
          <w:kern w:val="2"/>
        </w:rPr>
        <w:t>条，样线长为1-3km，单侧观察宽度为50m，样线分别设置在</w:t>
      </w:r>
      <w:r>
        <w:rPr>
          <w:rFonts w:hint="eastAsia" w:ascii="Times New Roman" w:cs="Times New Roman"/>
          <w:kern w:val="2"/>
        </w:rPr>
        <w:t>乔木林</w:t>
      </w:r>
      <w:r>
        <w:rPr>
          <w:rFonts w:ascii="Times New Roman" w:cs="Times New Roman"/>
          <w:kern w:val="2"/>
        </w:rPr>
        <w:t>、灌草丛</w:t>
      </w:r>
      <w:r>
        <w:rPr>
          <w:rFonts w:hint="eastAsia" w:ascii="Times New Roman" w:cs="Times New Roman"/>
          <w:kern w:val="2"/>
        </w:rPr>
        <w:t>、耕地、居民点</w:t>
      </w:r>
      <w:r>
        <w:rPr>
          <w:rFonts w:ascii="Times New Roman" w:cs="Times New Roman"/>
          <w:kern w:val="2"/>
        </w:rPr>
        <w:t>等地，涵盖了不同的生境条件，尽量在评价区内均匀分布。由于项目评价范围现有土地开发利用程度较高，人类活动对当地野生动物影响较大，野生动物组成比较简单，种类较少，多为鸟类和小型啮齿类动物，鸟类繁殖期多在食物资源丰富的春夏季，啮齿类动物多无固定繁殖期，蛇类越冬期主要在11-次年4月，本次评价以项目所在区域</w:t>
      </w:r>
      <w:r>
        <w:rPr>
          <w:rFonts w:hint="eastAsia" w:ascii="Times New Roman" w:cs="Times New Roman"/>
          <w:kern w:val="2"/>
        </w:rPr>
        <w:t>宣汉县</w:t>
      </w:r>
      <w:r>
        <w:rPr>
          <w:rFonts w:ascii="Times New Roman" w:cs="Times New Roman"/>
          <w:kern w:val="2"/>
        </w:rPr>
        <w:t>陆生野生动物分布情况为准。</w:t>
      </w:r>
    </w:p>
    <w:p>
      <w:pPr>
        <w:topLinePunct w:val="0"/>
        <w:autoSpaceDE w:val="0"/>
        <w:autoSpaceDN w:val="0"/>
        <w:spacing w:beforeLines="50" w:line="240" w:lineRule="auto"/>
        <w:ind w:firstLine="0" w:firstLineChars="0"/>
        <w:jc w:val="center"/>
        <w:rPr>
          <w:rFonts w:ascii="Times New Roman" w:cs="Times New Roman"/>
          <w:b/>
          <w:sz w:val="21"/>
        </w:rPr>
      </w:pPr>
      <w:r>
        <w:rPr>
          <w:rFonts w:ascii="Times New Roman" w:cs="Times New Roman"/>
          <w:b/>
          <w:sz w:val="21"/>
        </w:rPr>
        <w:t>表</w:t>
      </w:r>
      <w:r>
        <w:rPr>
          <w:rFonts w:hint="eastAsia" w:ascii="Times New Roman" w:cs="Times New Roman"/>
          <w:b/>
          <w:sz w:val="21"/>
        </w:rPr>
        <w:t>5.2</w:t>
      </w:r>
      <w:r>
        <w:rPr>
          <w:rFonts w:ascii="Times New Roman" w:cs="Times New Roman"/>
          <w:b/>
          <w:sz w:val="21"/>
        </w:rPr>
        <w:t>-</w:t>
      </w:r>
      <w:r>
        <w:rPr>
          <w:rFonts w:hint="eastAsia" w:ascii="Times New Roman" w:cs="Times New Roman"/>
          <w:b/>
          <w:sz w:val="21"/>
        </w:rPr>
        <w:t>17</w:t>
      </w:r>
      <w:r>
        <w:rPr>
          <w:rFonts w:ascii="Times New Roman" w:cs="Times New Roman"/>
          <w:b/>
          <w:sz w:val="21"/>
        </w:rPr>
        <w:t xml:space="preserve"> 野生动物野外调查样线分布表</w:t>
      </w:r>
    </w:p>
    <w:p>
      <w:pPr>
        <w:topLinePunct w:val="0"/>
        <w:adjustRightInd/>
        <w:spacing w:line="99" w:lineRule="exact"/>
        <w:ind w:firstLine="0" w:firstLineChars="0"/>
        <w:rPr>
          <w:rFonts w:ascii="Times New Roman" w:cs="Times New Roman"/>
          <w:kern w:val="2"/>
          <w:sz w:val="21"/>
        </w:rPr>
      </w:pPr>
    </w:p>
    <w:tbl>
      <w:tblPr>
        <w:tblStyle w:val="577"/>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622"/>
        <w:gridCol w:w="3338"/>
        <w:gridCol w:w="334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4" w:hRule="atLeast"/>
          <w:jc w:val="center"/>
        </w:trPr>
        <w:tc>
          <w:tcPr>
            <w:tcW w:w="1622"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样带编号</w:t>
            </w:r>
          </w:p>
        </w:tc>
        <w:tc>
          <w:tcPr>
            <w:tcW w:w="3338"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生态环境</w:t>
            </w:r>
          </w:p>
        </w:tc>
        <w:tc>
          <w:tcPr>
            <w:tcW w:w="334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主要野生动物类型</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622"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01</w:t>
            </w:r>
          </w:p>
        </w:tc>
        <w:tc>
          <w:tcPr>
            <w:tcW w:w="3338"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乔木林</w:t>
            </w:r>
          </w:p>
        </w:tc>
        <w:tc>
          <w:tcPr>
            <w:tcW w:w="334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鸟类、两栖类、爬行类</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622"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02</w:t>
            </w:r>
          </w:p>
        </w:tc>
        <w:tc>
          <w:tcPr>
            <w:tcW w:w="3338"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灌丛</w:t>
            </w:r>
          </w:p>
        </w:tc>
        <w:tc>
          <w:tcPr>
            <w:tcW w:w="334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鸟类、两栖类、爬行类</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622"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03</w:t>
            </w:r>
          </w:p>
        </w:tc>
        <w:tc>
          <w:tcPr>
            <w:tcW w:w="3338"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耕地</w:t>
            </w:r>
          </w:p>
        </w:tc>
        <w:tc>
          <w:tcPr>
            <w:tcW w:w="334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鸟类、两栖类、爬行类</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622"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04</w:t>
            </w:r>
          </w:p>
        </w:tc>
        <w:tc>
          <w:tcPr>
            <w:tcW w:w="3338"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居民</w:t>
            </w:r>
            <w:r>
              <w:rPr>
                <w:rFonts w:hint="eastAsia" w:ascii="Times New Roman" w:cs="Times New Roman"/>
                <w:sz w:val="21"/>
                <w:szCs w:val="21"/>
              </w:rPr>
              <w:t>点</w:t>
            </w:r>
          </w:p>
        </w:tc>
        <w:tc>
          <w:tcPr>
            <w:tcW w:w="334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鸟类、兽类、爬行类</w:t>
            </w:r>
          </w:p>
        </w:tc>
      </w:tr>
    </w:tbl>
    <w:p>
      <w:pPr>
        <w:topLinePunct w:val="0"/>
        <w:snapToGrid w:val="0"/>
        <w:ind w:firstLine="482"/>
        <w:rPr>
          <w:rFonts w:ascii="Times New Roman" w:cs="Times New Roman"/>
          <w:b/>
          <w:bCs/>
          <w:kern w:val="2"/>
        </w:rPr>
      </w:pPr>
      <w:r>
        <w:rPr>
          <w:rFonts w:hint="eastAsia" w:ascii="Times New Roman" w:cs="Times New Roman"/>
          <w:b/>
          <w:bCs/>
          <w:kern w:val="2"/>
        </w:rPr>
        <w:t>2</w:t>
      </w:r>
      <w:r>
        <w:rPr>
          <w:rFonts w:ascii="Times New Roman" w:cs="Times New Roman"/>
          <w:b/>
          <w:bCs/>
          <w:kern w:val="2"/>
        </w:rPr>
        <w:t>、物种组成</w:t>
      </w:r>
    </w:p>
    <w:p>
      <w:pPr>
        <w:topLinePunct w:val="0"/>
        <w:snapToGrid w:val="0"/>
        <w:ind w:firstLine="480"/>
        <w:rPr>
          <w:rFonts w:ascii="Times New Roman" w:cs="Times New Roman"/>
          <w:kern w:val="2"/>
        </w:rPr>
      </w:pPr>
      <w:r>
        <w:rPr>
          <w:rFonts w:ascii="Times New Roman" w:cs="Times New Roman"/>
          <w:kern w:val="2"/>
        </w:rPr>
        <w:t>根据现场调查、访问，参考保护区科考报告资料，评价区及周边不完全统计有野生脊椎动物</w:t>
      </w:r>
      <w:r>
        <w:rPr>
          <w:rFonts w:hint="eastAsia" w:ascii="Times New Roman" w:cs="Times New Roman"/>
          <w:kern w:val="2"/>
        </w:rPr>
        <w:t>19</w:t>
      </w:r>
      <w:r>
        <w:rPr>
          <w:rFonts w:ascii="Times New Roman" w:cs="Times New Roman"/>
          <w:kern w:val="2"/>
        </w:rPr>
        <w:t>目</w:t>
      </w:r>
      <w:r>
        <w:rPr>
          <w:rFonts w:hint="eastAsia" w:ascii="Times New Roman" w:cs="Times New Roman"/>
          <w:kern w:val="2"/>
        </w:rPr>
        <w:t>35</w:t>
      </w:r>
      <w:r>
        <w:rPr>
          <w:rFonts w:ascii="Times New Roman" w:cs="Times New Roman"/>
          <w:kern w:val="2"/>
        </w:rPr>
        <w:t>科</w:t>
      </w:r>
      <w:r>
        <w:rPr>
          <w:rFonts w:hint="eastAsia" w:ascii="Times New Roman" w:cs="Times New Roman"/>
          <w:kern w:val="2"/>
        </w:rPr>
        <w:t>65</w:t>
      </w:r>
      <w:r>
        <w:rPr>
          <w:rFonts w:ascii="Times New Roman" w:cs="Times New Roman"/>
          <w:kern w:val="2"/>
        </w:rPr>
        <w:t>种，其中两栖类1目</w:t>
      </w:r>
      <w:r>
        <w:rPr>
          <w:rFonts w:hint="eastAsia" w:ascii="Times New Roman" w:cs="Times New Roman"/>
          <w:kern w:val="2"/>
        </w:rPr>
        <w:t>3</w:t>
      </w:r>
      <w:r>
        <w:rPr>
          <w:rFonts w:ascii="Times New Roman" w:cs="Times New Roman"/>
          <w:kern w:val="2"/>
        </w:rPr>
        <w:t>科</w:t>
      </w:r>
      <w:r>
        <w:rPr>
          <w:rFonts w:hint="eastAsia" w:ascii="Times New Roman" w:cs="Times New Roman"/>
          <w:kern w:val="2"/>
        </w:rPr>
        <w:t>5</w:t>
      </w:r>
      <w:r>
        <w:rPr>
          <w:rFonts w:ascii="Times New Roman" w:cs="Times New Roman"/>
          <w:kern w:val="2"/>
        </w:rPr>
        <w:t>种，爬行类1目</w:t>
      </w:r>
      <w:r>
        <w:rPr>
          <w:rFonts w:hint="eastAsia" w:ascii="Times New Roman" w:cs="Times New Roman"/>
          <w:kern w:val="2"/>
        </w:rPr>
        <w:t>2</w:t>
      </w:r>
      <w:r>
        <w:rPr>
          <w:rFonts w:ascii="Times New Roman" w:cs="Times New Roman"/>
          <w:kern w:val="2"/>
        </w:rPr>
        <w:t>科</w:t>
      </w:r>
      <w:r>
        <w:rPr>
          <w:rFonts w:hint="eastAsia" w:ascii="Times New Roman" w:cs="Times New Roman"/>
          <w:kern w:val="2"/>
        </w:rPr>
        <w:t>6</w:t>
      </w:r>
      <w:r>
        <w:rPr>
          <w:rFonts w:ascii="Times New Roman" w:cs="Times New Roman"/>
          <w:kern w:val="2"/>
        </w:rPr>
        <w:t>种，哺乳类</w:t>
      </w:r>
      <w:r>
        <w:rPr>
          <w:rFonts w:hint="eastAsia" w:ascii="Times New Roman" w:cs="Times New Roman"/>
          <w:kern w:val="2"/>
        </w:rPr>
        <w:t>6</w:t>
      </w:r>
      <w:r>
        <w:rPr>
          <w:rFonts w:ascii="Times New Roman" w:cs="Times New Roman"/>
          <w:kern w:val="2"/>
        </w:rPr>
        <w:t>目</w:t>
      </w:r>
      <w:r>
        <w:rPr>
          <w:rFonts w:hint="eastAsia" w:ascii="Times New Roman" w:cs="Times New Roman"/>
          <w:kern w:val="2"/>
        </w:rPr>
        <w:t>9</w:t>
      </w:r>
      <w:r>
        <w:rPr>
          <w:rFonts w:ascii="Times New Roman" w:cs="Times New Roman"/>
          <w:kern w:val="2"/>
        </w:rPr>
        <w:t>科</w:t>
      </w:r>
      <w:r>
        <w:rPr>
          <w:rFonts w:hint="eastAsia" w:ascii="Times New Roman" w:cs="Times New Roman"/>
          <w:kern w:val="2"/>
        </w:rPr>
        <w:t>15</w:t>
      </w:r>
      <w:r>
        <w:rPr>
          <w:rFonts w:ascii="Times New Roman" w:cs="Times New Roman"/>
          <w:kern w:val="2"/>
        </w:rPr>
        <w:t>种，鸟类</w:t>
      </w:r>
      <w:r>
        <w:rPr>
          <w:rFonts w:hint="eastAsia" w:ascii="Times New Roman" w:cs="Times New Roman"/>
          <w:kern w:val="2"/>
        </w:rPr>
        <w:t>11</w:t>
      </w:r>
      <w:r>
        <w:rPr>
          <w:rFonts w:ascii="Times New Roman" w:cs="Times New Roman"/>
          <w:kern w:val="2"/>
        </w:rPr>
        <w:t>目</w:t>
      </w:r>
      <w:r>
        <w:rPr>
          <w:rFonts w:hint="eastAsia" w:ascii="Times New Roman" w:cs="Times New Roman"/>
          <w:kern w:val="2"/>
        </w:rPr>
        <w:t>21</w:t>
      </w:r>
      <w:r>
        <w:rPr>
          <w:rFonts w:ascii="Times New Roman" w:cs="Times New Roman"/>
          <w:kern w:val="2"/>
        </w:rPr>
        <w:t>科</w:t>
      </w:r>
      <w:r>
        <w:rPr>
          <w:rFonts w:hint="eastAsia" w:ascii="Times New Roman" w:cs="Times New Roman"/>
          <w:kern w:val="2"/>
        </w:rPr>
        <w:t>39</w:t>
      </w:r>
      <w:r>
        <w:rPr>
          <w:rFonts w:ascii="Times New Roman" w:cs="Times New Roman"/>
          <w:kern w:val="2"/>
        </w:rPr>
        <w:t>种。</w:t>
      </w:r>
    </w:p>
    <w:p>
      <w:pPr>
        <w:topLinePunct w:val="0"/>
        <w:autoSpaceDE w:val="0"/>
        <w:autoSpaceDN w:val="0"/>
        <w:spacing w:beforeLines="50" w:line="240" w:lineRule="auto"/>
        <w:ind w:firstLine="0" w:firstLineChars="0"/>
        <w:jc w:val="center"/>
        <w:rPr>
          <w:rFonts w:ascii="Times New Roman" w:cs="Times New Roman"/>
          <w:b/>
          <w:sz w:val="21"/>
        </w:rPr>
      </w:pPr>
      <w:r>
        <w:rPr>
          <w:rFonts w:ascii="Times New Roman" w:cs="Times New Roman"/>
          <w:b/>
          <w:sz w:val="21"/>
        </w:rPr>
        <w:t>表</w:t>
      </w:r>
      <w:r>
        <w:rPr>
          <w:rFonts w:hint="eastAsia" w:ascii="Times New Roman" w:cs="Times New Roman"/>
          <w:b/>
          <w:sz w:val="21"/>
        </w:rPr>
        <w:t>5.2</w:t>
      </w:r>
      <w:r>
        <w:rPr>
          <w:rFonts w:ascii="Times New Roman" w:cs="Times New Roman"/>
          <w:b/>
          <w:sz w:val="21"/>
        </w:rPr>
        <w:t>-</w:t>
      </w:r>
      <w:r>
        <w:rPr>
          <w:rFonts w:hint="eastAsia" w:ascii="Times New Roman" w:cs="Times New Roman"/>
          <w:b/>
          <w:sz w:val="21"/>
        </w:rPr>
        <w:t>18</w:t>
      </w:r>
      <w:r>
        <w:rPr>
          <w:rFonts w:ascii="Times New Roman" w:cs="Times New Roman"/>
          <w:b/>
          <w:sz w:val="21"/>
        </w:rPr>
        <w:t xml:space="preserve"> 评价区野生脊椎动物物种组成</w:t>
      </w:r>
    </w:p>
    <w:tbl>
      <w:tblPr>
        <w:tblStyle w:val="577"/>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316"/>
        <w:gridCol w:w="1141"/>
        <w:gridCol w:w="1141"/>
        <w:gridCol w:w="1301"/>
        <w:gridCol w:w="1356"/>
        <w:gridCol w:w="1231"/>
        <w:gridCol w:w="820"/>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131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类别</w:t>
            </w:r>
          </w:p>
        </w:tc>
        <w:tc>
          <w:tcPr>
            <w:tcW w:w="114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目数</w:t>
            </w:r>
          </w:p>
        </w:tc>
        <w:tc>
          <w:tcPr>
            <w:tcW w:w="114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科数</w:t>
            </w:r>
          </w:p>
        </w:tc>
        <w:tc>
          <w:tcPr>
            <w:tcW w:w="130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物种数</w:t>
            </w:r>
          </w:p>
        </w:tc>
        <w:tc>
          <w:tcPr>
            <w:tcW w:w="135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国家Ⅰ级</w:t>
            </w:r>
          </w:p>
        </w:tc>
        <w:tc>
          <w:tcPr>
            <w:tcW w:w="123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国家Ⅱ级</w:t>
            </w:r>
          </w:p>
        </w:tc>
        <w:tc>
          <w:tcPr>
            <w:tcW w:w="820"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省级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6" w:hRule="atLeast"/>
          <w:jc w:val="center"/>
        </w:trPr>
        <w:tc>
          <w:tcPr>
            <w:tcW w:w="131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两栖类</w:t>
            </w:r>
          </w:p>
        </w:tc>
        <w:tc>
          <w:tcPr>
            <w:tcW w:w="114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1</w:t>
            </w:r>
          </w:p>
        </w:tc>
        <w:tc>
          <w:tcPr>
            <w:tcW w:w="114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3</w:t>
            </w:r>
          </w:p>
        </w:tc>
        <w:tc>
          <w:tcPr>
            <w:tcW w:w="130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5</w:t>
            </w:r>
          </w:p>
        </w:tc>
        <w:tc>
          <w:tcPr>
            <w:tcW w:w="135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c>
          <w:tcPr>
            <w:tcW w:w="123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c>
          <w:tcPr>
            <w:tcW w:w="820"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6" w:hRule="atLeast"/>
          <w:jc w:val="center"/>
        </w:trPr>
        <w:tc>
          <w:tcPr>
            <w:tcW w:w="131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爬行类</w:t>
            </w:r>
          </w:p>
        </w:tc>
        <w:tc>
          <w:tcPr>
            <w:tcW w:w="114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1</w:t>
            </w:r>
          </w:p>
        </w:tc>
        <w:tc>
          <w:tcPr>
            <w:tcW w:w="114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2</w:t>
            </w:r>
          </w:p>
        </w:tc>
        <w:tc>
          <w:tcPr>
            <w:tcW w:w="130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6</w:t>
            </w:r>
          </w:p>
        </w:tc>
        <w:tc>
          <w:tcPr>
            <w:tcW w:w="135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c>
          <w:tcPr>
            <w:tcW w:w="123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c>
          <w:tcPr>
            <w:tcW w:w="820"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6" w:hRule="atLeast"/>
          <w:jc w:val="center"/>
        </w:trPr>
        <w:tc>
          <w:tcPr>
            <w:tcW w:w="131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鸟类</w:t>
            </w:r>
          </w:p>
        </w:tc>
        <w:tc>
          <w:tcPr>
            <w:tcW w:w="114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11</w:t>
            </w:r>
          </w:p>
        </w:tc>
        <w:tc>
          <w:tcPr>
            <w:tcW w:w="114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21</w:t>
            </w:r>
          </w:p>
        </w:tc>
        <w:tc>
          <w:tcPr>
            <w:tcW w:w="130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39</w:t>
            </w:r>
          </w:p>
        </w:tc>
        <w:tc>
          <w:tcPr>
            <w:tcW w:w="135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c>
          <w:tcPr>
            <w:tcW w:w="123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c>
          <w:tcPr>
            <w:tcW w:w="820"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47" w:hRule="atLeast"/>
          <w:jc w:val="center"/>
        </w:trPr>
        <w:tc>
          <w:tcPr>
            <w:tcW w:w="131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兽类</w:t>
            </w:r>
          </w:p>
        </w:tc>
        <w:tc>
          <w:tcPr>
            <w:tcW w:w="114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6</w:t>
            </w:r>
          </w:p>
        </w:tc>
        <w:tc>
          <w:tcPr>
            <w:tcW w:w="114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9</w:t>
            </w:r>
          </w:p>
        </w:tc>
        <w:tc>
          <w:tcPr>
            <w:tcW w:w="130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15</w:t>
            </w:r>
          </w:p>
        </w:tc>
        <w:tc>
          <w:tcPr>
            <w:tcW w:w="135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c>
          <w:tcPr>
            <w:tcW w:w="123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c>
          <w:tcPr>
            <w:tcW w:w="820"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33" w:hRule="atLeast"/>
          <w:jc w:val="center"/>
        </w:trPr>
        <w:tc>
          <w:tcPr>
            <w:tcW w:w="131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合计</w:t>
            </w:r>
          </w:p>
        </w:tc>
        <w:tc>
          <w:tcPr>
            <w:tcW w:w="114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19</w:t>
            </w:r>
          </w:p>
        </w:tc>
        <w:tc>
          <w:tcPr>
            <w:tcW w:w="114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35</w:t>
            </w:r>
          </w:p>
        </w:tc>
        <w:tc>
          <w:tcPr>
            <w:tcW w:w="130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65</w:t>
            </w:r>
          </w:p>
        </w:tc>
        <w:tc>
          <w:tcPr>
            <w:tcW w:w="135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c>
          <w:tcPr>
            <w:tcW w:w="1231"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c>
          <w:tcPr>
            <w:tcW w:w="820"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w:t>
            </w:r>
          </w:p>
        </w:tc>
      </w:tr>
    </w:tbl>
    <w:p>
      <w:pPr>
        <w:topLinePunct w:val="0"/>
        <w:adjustRightInd/>
        <w:spacing w:line="480" w:lineRule="exact"/>
        <w:ind w:firstLine="482"/>
        <w:rPr>
          <w:rFonts w:ascii="Times New Roman" w:cs="Times New Roman"/>
          <w:b/>
          <w:bCs/>
          <w:kern w:val="2"/>
        </w:rPr>
      </w:pPr>
      <w:r>
        <w:rPr>
          <w:rFonts w:ascii="Times New Roman" w:cs="Times New Roman"/>
          <w:b/>
          <w:bCs/>
          <w:kern w:val="2"/>
        </w:rPr>
        <w:t>A、兽类的组成及分布</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根据野外调查和文献资料核实，评价区共有兽类6目9科12属15种，即食虫目2科2属2种、翼手目1科1属1种、食肉目1科1属1种、啮齿目5科7属10种、兔形目1科1属1种</w:t>
      </w:r>
      <w:r>
        <w:rPr>
          <w:rFonts w:hint="eastAsia" w:ascii="Times New Roman" w:cs="Times New Roman"/>
          <w:kern w:val="2"/>
        </w:rPr>
        <w:t>。</w:t>
      </w:r>
      <w:r>
        <w:rPr>
          <w:rFonts w:ascii="Times New Roman" w:cs="Times New Roman"/>
          <w:kern w:val="2"/>
        </w:rPr>
        <w:t>从目一级水平看，啮齿目优势明显。由于人类活动影响，评价区的兽类主要以常见的小型兽类为主，基本难以寻觅大、中型兽类的痕迹，本次调查未发现保护兽类动物的踪迹。</w:t>
      </w:r>
    </w:p>
    <w:p>
      <w:pPr>
        <w:topLinePunct w:val="0"/>
        <w:adjustRightInd/>
        <w:spacing w:line="500" w:lineRule="exact"/>
        <w:ind w:left="60" w:right="100" w:firstLine="482" w:firstLineChars="0"/>
        <w:rPr>
          <w:rFonts w:ascii="Times New Roman" w:cs="Times New Roman"/>
          <w:kern w:val="2"/>
        </w:rPr>
      </w:pPr>
      <w:r>
        <w:rPr>
          <w:rFonts w:hint="eastAsia" w:ascii="Times New Roman" w:cs="Times New Roman"/>
          <w:kern w:val="2"/>
        </w:rPr>
        <w:t>（1）</w:t>
      </w:r>
      <w:r>
        <w:rPr>
          <w:rFonts w:ascii="Times New Roman" w:cs="Times New Roman"/>
          <w:kern w:val="2"/>
        </w:rPr>
        <w:t>区系分析</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区内有分布的15种兽类中，东洋界种类有5种，占该区域实际调查到有分布的兽类总种数的33.33%；古北界种类有3种，占20.00%，广布种有7种，占46.67%。</w:t>
      </w:r>
    </w:p>
    <w:p>
      <w:pPr>
        <w:topLinePunct w:val="0"/>
        <w:adjustRightInd/>
        <w:spacing w:line="500" w:lineRule="exact"/>
        <w:ind w:left="60" w:right="100" w:firstLine="482" w:firstLineChars="0"/>
        <w:rPr>
          <w:rFonts w:ascii="Times New Roman" w:cs="Times New Roman"/>
          <w:kern w:val="2"/>
        </w:rPr>
      </w:pPr>
      <w:r>
        <w:rPr>
          <w:rFonts w:hint="eastAsia" w:ascii="Times New Roman" w:cs="Times New Roman"/>
          <w:kern w:val="2"/>
        </w:rPr>
        <w:t>（2）</w:t>
      </w:r>
      <w:r>
        <w:rPr>
          <w:rFonts w:ascii="Times New Roman" w:cs="Times New Roman"/>
          <w:kern w:val="2"/>
        </w:rPr>
        <w:t>生态分布</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根据该区域的环境特征和兽类的生活特性，该区域兽类主要分为如下几种生态类型：</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溪流区兽类：指生活在评价区内溪流和沿岸的物种，主要包括：黄鼬、草兔、社鼠等。</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林区兽类：主要是指生活在森林环境的物种，森林环境在该区域主要分布于坡地中上部。为该区最广的生境类型，主要分布的兽类有隐纹花松鼠、社鼠等。</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灌草丛区兽类：该区域的生境类型主要包括灌丛、草丛和农耕地等，分布海拔相对较低，生活于其中的兽类主要包括：黄鼬、草兔、社鼠等，其中的优势种类为草兔、社鼠等。</w:t>
      </w:r>
    </w:p>
    <w:p>
      <w:pPr>
        <w:topLinePunct w:val="0"/>
        <w:adjustRightInd/>
        <w:spacing w:line="500" w:lineRule="exact"/>
        <w:ind w:left="60" w:right="100" w:firstLine="482" w:firstLineChars="0"/>
        <w:rPr>
          <w:rFonts w:ascii="Times New Roman" w:cs="Times New Roman"/>
          <w:kern w:val="2"/>
        </w:rPr>
      </w:pPr>
      <w:r>
        <w:rPr>
          <w:rFonts w:hint="eastAsia" w:ascii="Times New Roman" w:cs="Times New Roman"/>
          <w:kern w:val="2"/>
        </w:rPr>
        <w:t>（3）</w:t>
      </w:r>
      <w:r>
        <w:rPr>
          <w:rFonts w:ascii="Times New Roman" w:cs="Times New Roman"/>
          <w:kern w:val="2"/>
        </w:rPr>
        <w:t>保护物种</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评价区内未发现国家级重点保护动物，同时评价区的相关资料也未记载相关国家级重点保护动物。</w:t>
      </w:r>
    </w:p>
    <w:p>
      <w:pPr>
        <w:topLinePunct w:val="0"/>
        <w:adjustRightInd/>
        <w:spacing w:line="480" w:lineRule="exact"/>
        <w:ind w:firstLine="482"/>
        <w:rPr>
          <w:rFonts w:ascii="Times New Roman" w:cs="Times New Roman"/>
          <w:b/>
          <w:bCs/>
          <w:kern w:val="2"/>
        </w:rPr>
      </w:pPr>
      <w:r>
        <w:rPr>
          <w:rFonts w:hint="eastAsia" w:ascii="Times New Roman" w:cs="Times New Roman"/>
          <w:b/>
          <w:bCs/>
          <w:kern w:val="2"/>
        </w:rPr>
        <w:t>B、</w:t>
      </w:r>
      <w:r>
        <w:rPr>
          <w:rFonts w:ascii="Times New Roman" w:cs="Times New Roman"/>
          <w:b/>
          <w:bCs/>
          <w:kern w:val="2"/>
        </w:rPr>
        <w:t>鸟类的组成及分布</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根据文献查阅及现场调研，评价范围内共有鸟类39种，隶11目21科34属。其中，从类群构成看，雀形目鸟类17种，占评价区鸟类总种数的43.59%。</w:t>
      </w:r>
    </w:p>
    <w:p>
      <w:pPr>
        <w:topLinePunct w:val="0"/>
        <w:adjustRightInd/>
        <w:spacing w:line="500" w:lineRule="exact"/>
        <w:ind w:left="60" w:right="100" w:firstLine="482" w:firstLineChars="0"/>
        <w:rPr>
          <w:rFonts w:ascii="Times New Roman" w:cs="Times New Roman"/>
          <w:kern w:val="2"/>
        </w:rPr>
      </w:pPr>
      <w:r>
        <w:rPr>
          <w:rFonts w:hint="eastAsia" w:ascii="Times New Roman" w:cs="Times New Roman"/>
          <w:kern w:val="2"/>
        </w:rPr>
        <w:t>（1）</w:t>
      </w:r>
      <w:r>
        <w:rPr>
          <w:rFonts w:ascii="Times New Roman" w:cs="Times New Roman"/>
          <w:kern w:val="2"/>
        </w:rPr>
        <w:t>区系分析</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评价区内鸟类中属古北界的有11种，占评价区内鸟类总数的28.21%；属东洋</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界的有9种，占评价区内鸟类总数的23.08%；属广布种的有19种，占评价区内鸟类总数的48.72%。调查评价区内鸟类以广布种占优势。</w:t>
      </w:r>
    </w:p>
    <w:p>
      <w:pPr>
        <w:topLinePunct w:val="0"/>
        <w:adjustRightInd/>
        <w:spacing w:line="500" w:lineRule="exact"/>
        <w:ind w:left="60" w:right="100" w:firstLine="482" w:firstLineChars="0"/>
        <w:rPr>
          <w:rFonts w:ascii="Times New Roman" w:cs="Times New Roman"/>
          <w:kern w:val="2"/>
        </w:rPr>
      </w:pPr>
      <w:r>
        <w:rPr>
          <w:rFonts w:hint="eastAsia" w:ascii="Times New Roman" w:cs="Times New Roman"/>
          <w:kern w:val="2"/>
        </w:rPr>
        <w:t>（2）</w:t>
      </w:r>
      <w:r>
        <w:rPr>
          <w:rFonts w:ascii="Times New Roman" w:cs="Times New Roman"/>
          <w:kern w:val="2"/>
        </w:rPr>
        <w:t>居留类型</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评价区内有留鸟24种，占鸟类总数的61.54%；夏候鸟13种，约占33.33%；冬候鸟1种，各占2.56%。调查评价区内鸟类以留鸟为主。</w:t>
      </w:r>
    </w:p>
    <w:p>
      <w:pPr>
        <w:topLinePunct w:val="0"/>
        <w:adjustRightInd/>
        <w:spacing w:line="500" w:lineRule="exact"/>
        <w:ind w:left="60" w:right="100" w:firstLine="482" w:firstLineChars="0"/>
        <w:rPr>
          <w:rFonts w:ascii="Times New Roman" w:cs="Times New Roman"/>
          <w:kern w:val="2"/>
        </w:rPr>
      </w:pPr>
      <w:r>
        <w:rPr>
          <w:rFonts w:hint="eastAsia" w:ascii="Times New Roman" w:cs="Times New Roman"/>
          <w:kern w:val="2"/>
        </w:rPr>
        <w:t>（3）</w:t>
      </w:r>
      <w:r>
        <w:rPr>
          <w:rFonts w:ascii="Times New Roman" w:cs="Times New Roman"/>
          <w:kern w:val="2"/>
        </w:rPr>
        <w:t>生态分布</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根据评价区植被分布的特点，将评价区鸟类分布的生境划分为以下几种类型：</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溪流区鸟类：该区域的生境类型主要包括水域、草丛、灌丛等基本类型，分布海拔相对较低，活动于其中的鸟类主要包括：鹳形目的种类。该区的优势种类是：白鹭、赤麻鸭等。</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森林区鸟类：森林环境在该区域较广泛。生活于该区的鸟类较多，主要为雉科、鸦科、雀科等。优势种类有雉鸡、山斑鸠、大杜鹃、树麻雀、噪鹃等。</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草灌丛、农区鸟类：该类生境在评价区内分布较狭窄。该区段生活的鸟类主要是鸡形目及雀形目的部分鸟类。其中的优势种类主要有家燕、毛脚燕、普通翠鸟等。</w:t>
      </w:r>
    </w:p>
    <w:p>
      <w:pPr>
        <w:topLinePunct w:val="0"/>
        <w:adjustRightInd/>
        <w:spacing w:line="500" w:lineRule="exact"/>
        <w:ind w:left="60" w:right="100" w:firstLine="482" w:firstLineChars="0"/>
        <w:rPr>
          <w:rFonts w:ascii="Times New Roman" w:cs="Times New Roman"/>
          <w:kern w:val="2"/>
        </w:rPr>
      </w:pPr>
      <w:r>
        <w:rPr>
          <w:rFonts w:hint="eastAsia" w:ascii="Times New Roman" w:cs="Times New Roman"/>
          <w:kern w:val="2"/>
        </w:rPr>
        <w:t>（4）</w:t>
      </w:r>
      <w:r>
        <w:rPr>
          <w:rFonts w:ascii="Times New Roman" w:cs="Times New Roman"/>
          <w:kern w:val="2"/>
        </w:rPr>
        <w:t>保护物种</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据调查和访问，评价区内有2种国家Ⅱ级重点保护鸟类，为雀鹰、画眉，偶见于评价区内的针叶林、阔叶林林。由于评价区人类活动较为频繁，适宜的栖息地相对比较少，因此主要为过境取食及活动</w:t>
      </w:r>
      <w:r>
        <w:rPr>
          <w:rFonts w:hint="eastAsia" w:ascii="Times New Roman" w:cs="Times New Roman"/>
          <w:kern w:val="2"/>
        </w:rPr>
        <w:t>，并无栖息地</w:t>
      </w:r>
      <w:r>
        <w:rPr>
          <w:rFonts w:ascii="Times New Roman" w:cs="Times New Roman"/>
          <w:kern w:val="2"/>
        </w:rPr>
        <w:t>。</w:t>
      </w:r>
    </w:p>
    <w:p>
      <w:pPr>
        <w:topLinePunct w:val="0"/>
        <w:adjustRightInd/>
        <w:spacing w:line="480" w:lineRule="exact"/>
        <w:ind w:firstLine="482"/>
        <w:rPr>
          <w:rFonts w:ascii="Times New Roman" w:cs="Times New Roman"/>
          <w:b/>
          <w:bCs/>
          <w:kern w:val="2"/>
        </w:rPr>
      </w:pPr>
      <w:r>
        <w:rPr>
          <w:rFonts w:hint="eastAsia" w:ascii="Times New Roman" w:cs="Times New Roman"/>
          <w:b/>
          <w:bCs/>
          <w:kern w:val="2"/>
        </w:rPr>
        <w:t>C、</w:t>
      </w:r>
      <w:r>
        <w:rPr>
          <w:rFonts w:ascii="Times New Roman" w:cs="Times New Roman"/>
          <w:b/>
          <w:bCs/>
          <w:kern w:val="2"/>
        </w:rPr>
        <w:t>爬行动物的组成及分布</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根据野外调查和相关资料，确认评价区域内共分布有爬行动物6种，分属1目2科，分别为游蛇科5属5种，蝰蛇科1属1种。评价范围内生境较广泛，主要有翠青蛇、赤链蛇、乌梢蛇、王锦蛇等种类。从物种的目级组成看，评价区的爬行类均为有鳞目蛇亚目的种类。从科级组成看，评价区爬行类以游蛇科种类占优势。</w:t>
      </w:r>
    </w:p>
    <w:p>
      <w:pPr>
        <w:topLinePunct w:val="0"/>
        <w:adjustRightInd/>
        <w:spacing w:line="500" w:lineRule="exact"/>
        <w:ind w:left="60" w:right="100" w:firstLine="482" w:firstLineChars="0"/>
        <w:rPr>
          <w:rFonts w:ascii="Times New Roman" w:cs="Times New Roman"/>
          <w:kern w:val="2"/>
        </w:rPr>
      </w:pPr>
      <w:r>
        <w:rPr>
          <w:rFonts w:hint="eastAsia" w:ascii="Times New Roman" w:cs="Times New Roman"/>
          <w:kern w:val="2"/>
        </w:rPr>
        <w:t>（1）</w:t>
      </w:r>
      <w:r>
        <w:rPr>
          <w:rFonts w:ascii="Times New Roman" w:cs="Times New Roman"/>
          <w:kern w:val="2"/>
        </w:rPr>
        <w:t>区系分布</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评价范围分布的6种爬行动物东洋界物种有3种，古北种1种，广布种2种。</w:t>
      </w:r>
    </w:p>
    <w:p>
      <w:pPr>
        <w:topLinePunct w:val="0"/>
        <w:adjustRightInd/>
        <w:spacing w:line="500" w:lineRule="exact"/>
        <w:ind w:left="60" w:right="100" w:firstLine="482" w:firstLineChars="0"/>
        <w:rPr>
          <w:rFonts w:ascii="Times New Roman" w:cs="Times New Roman"/>
          <w:kern w:val="2"/>
        </w:rPr>
      </w:pPr>
      <w:r>
        <w:rPr>
          <w:rFonts w:hint="eastAsia" w:ascii="Times New Roman" w:cs="Times New Roman"/>
          <w:kern w:val="2"/>
        </w:rPr>
        <w:t>（2）</w:t>
      </w:r>
      <w:r>
        <w:rPr>
          <w:rFonts w:ascii="Times New Roman" w:cs="Times New Roman"/>
          <w:kern w:val="2"/>
        </w:rPr>
        <w:t>生态分布</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评价区的爬行动物大多栖息在灌草丛中。</w:t>
      </w:r>
    </w:p>
    <w:p>
      <w:pPr>
        <w:topLinePunct w:val="0"/>
        <w:adjustRightInd/>
        <w:spacing w:line="500" w:lineRule="exact"/>
        <w:ind w:left="60" w:right="100" w:firstLine="482" w:firstLineChars="0"/>
        <w:rPr>
          <w:rFonts w:ascii="Times New Roman" w:cs="Times New Roman"/>
          <w:kern w:val="2"/>
        </w:rPr>
      </w:pPr>
      <w:r>
        <w:rPr>
          <w:rFonts w:hint="eastAsia" w:ascii="Times New Roman" w:cs="Times New Roman"/>
          <w:kern w:val="2"/>
        </w:rPr>
        <w:t>（3）</w:t>
      </w:r>
      <w:r>
        <w:rPr>
          <w:rFonts w:ascii="Times New Roman" w:cs="Times New Roman"/>
          <w:kern w:val="2"/>
        </w:rPr>
        <w:t>保护物种</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调查中未发现属于国家级保护和四川省级保护的爬行类物种。</w:t>
      </w:r>
    </w:p>
    <w:p>
      <w:pPr>
        <w:topLinePunct w:val="0"/>
        <w:adjustRightInd/>
        <w:spacing w:line="480" w:lineRule="exact"/>
        <w:ind w:firstLine="482"/>
        <w:rPr>
          <w:rFonts w:ascii="Times New Roman" w:cs="Times New Roman"/>
          <w:b/>
          <w:bCs/>
          <w:kern w:val="2"/>
        </w:rPr>
      </w:pPr>
      <w:r>
        <w:rPr>
          <w:rFonts w:hint="eastAsia" w:ascii="Times New Roman" w:cs="Times New Roman"/>
          <w:b/>
          <w:bCs/>
          <w:kern w:val="2"/>
        </w:rPr>
        <w:t>D、</w:t>
      </w:r>
      <w:r>
        <w:rPr>
          <w:rFonts w:ascii="Times New Roman" w:cs="Times New Roman"/>
          <w:b/>
          <w:bCs/>
          <w:kern w:val="2"/>
        </w:rPr>
        <w:t>两栖动物的组成及分布</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据不完全统计，评价区域内分布有两栖动物5种，隶属于1目3科，分别为蟾蜍科1属2种，蛙科2属2种，叉舌蛙科1属1种。</w:t>
      </w:r>
    </w:p>
    <w:p>
      <w:pPr>
        <w:topLinePunct w:val="0"/>
        <w:adjustRightInd/>
        <w:spacing w:line="500" w:lineRule="exact"/>
        <w:ind w:left="60" w:right="100" w:firstLine="482" w:firstLineChars="0"/>
        <w:rPr>
          <w:rFonts w:ascii="Times New Roman" w:cs="Times New Roman"/>
          <w:kern w:val="2"/>
        </w:rPr>
      </w:pPr>
      <w:r>
        <w:rPr>
          <w:rFonts w:hint="eastAsia" w:ascii="Times New Roman" w:cs="Times New Roman"/>
          <w:kern w:val="2"/>
        </w:rPr>
        <w:t>（1）</w:t>
      </w:r>
      <w:r>
        <w:rPr>
          <w:rFonts w:ascii="Times New Roman" w:cs="Times New Roman"/>
          <w:kern w:val="2"/>
        </w:rPr>
        <w:t>区系分析</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评价区内的两栖类以东洋界为主，仅有1个古北种和1个广布种。</w:t>
      </w:r>
    </w:p>
    <w:p>
      <w:pPr>
        <w:topLinePunct w:val="0"/>
        <w:adjustRightInd/>
        <w:spacing w:line="500" w:lineRule="exact"/>
        <w:ind w:left="60" w:right="100" w:firstLine="482" w:firstLineChars="0"/>
        <w:rPr>
          <w:rFonts w:ascii="Times New Roman" w:cs="Times New Roman"/>
          <w:kern w:val="2"/>
        </w:rPr>
      </w:pPr>
      <w:r>
        <w:rPr>
          <w:rFonts w:hint="eastAsia" w:ascii="Times New Roman" w:cs="Times New Roman"/>
          <w:kern w:val="2"/>
        </w:rPr>
        <w:t>（2）</w:t>
      </w:r>
      <w:r>
        <w:rPr>
          <w:rFonts w:ascii="Times New Roman" w:cs="Times New Roman"/>
          <w:kern w:val="2"/>
        </w:rPr>
        <w:t>生态分布</w:t>
      </w:r>
    </w:p>
    <w:p>
      <w:pPr>
        <w:topLinePunct w:val="0"/>
        <w:snapToGrid w:val="0"/>
        <w:ind w:firstLine="482" w:firstLineChars="0"/>
        <w:rPr>
          <w:rFonts w:ascii="Times New Roman" w:cs="Times New Roman"/>
          <w:kern w:val="2"/>
        </w:rPr>
      </w:pPr>
      <w:r>
        <w:rPr>
          <w:rFonts w:ascii="Times New Roman" w:cs="Times New Roman"/>
          <w:kern w:val="2"/>
        </w:rPr>
        <w:t>中华蟾蜍、黑眶蟾蜍、黑斑侧褶蛙等生活在河沟两侧或其附近环境植被较为茂密、阴湿的灌草丛区域；花臭蛙主要生活在大小溪两岸潮湿的岩石上；泽陆蛙主要在水域地区。</w:t>
      </w:r>
    </w:p>
    <w:p>
      <w:pPr>
        <w:topLinePunct w:val="0"/>
        <w:snapToGrid w:val="0"/>
        <w:ind w:firstLine="482" w:firstLineChars="0"/>
        <w:rPr>
          <w:rFonts w:ascii="Times New Roman" w:cs="Times New Roman"/>
          <w:kern w:val="2"/>
        </w:rPr>
      </w:pPr>
      <w:r>
        <w:rPr>
          <w:rFonts w:hint="eastAsia" w:ascii="Times New Roman" w:cs="Times New Roman"/>
          <w:kern w:val="2"/>
        </w:rPr>
        <w:t>（3）</w:t>
      </w:r>
      <w:r>
        <w:rPr>
          <w:rFonts w:ascii="Times New Roman" w:cs="Times New Roman"/>
          <w:kern w:val="2"/>
        </w:rPr>
        <w:t>保护物种</w:t>
      </w:r>
    </w:p>
    <w:p>
      <w:pPr>
        <w:topLinePunct w:val="0"/>
        <w:snapToGrid w:val="0"/>
        <w:ind w:firstLine="480"/>
        <w:rPr>
          <w:rFonts w:ascii="Times New Roman" w:cs="Times New Roman"/>
          <w:kern w:val="2"/>
        </w:rPr>
      </w:pPr>
      <w:r>
        <w:rPr>
          <w:rFonts w:ascii="Times New Roman" w:cs="Times New Roman"/>
          <w:kern w:val="2"/>
        </w:rPr>
        <w:t>调查中未发现属于国家级保护和省级保护的两栖类物种。</w:t>
      </w:r>
    </w:p>
    <w:p>
      <w:pPr>
        <w:pStyle w:val="4"/>
        <w:rPr>
          <w:rFonts w:eastAsia="宋体"/>
        </w:rPr>
      </w:pPr>
      <w:r>
        <w:rPr>
          <w:rFonts w:eastAsia="宋体"/>
        </w:rPr>
        <w:t>5.2.</w:t>
      </w:r>
      <w:r>
        <w:rPr>
          <w:rFonts w:hint="eastAsia" w:eastAsia="宋体"/>
        </w:rPr>
        <w:t>10</w:t>
      </w:r>
      <w:r>
        <w:rPr>
          <w:rFonts w:hint="eastAsia" w:eastAsia="宋体"/>
          <w:bCs/>
        </w:rPr>
        <w:t>重要物种、迁徙物种、重要生境调查</w:t>
      </w:r>
    </w:p>
    <w:p>
      <w:pPr>
        <w:spacing w:line="480" w:lineRule="exact"/>
        <w:ind w:firstLine="482"/>
        <w:rPr>
          <w:rFonts w:ascii="Times New Roman" w:cs="Times New Roman"/>
          <w:b/>
          <w:bCs/>
          <w:kern w:val="2"/>
        </w:rPr>
      </w:pPr>
      <w:r>
        <w:rPr>
          <w:rFonts w:ascii="Times New Roman" w:cs="Times New Roman"/>
          <w:b/>
          <w:bCs/>
          <w:kern w:val="2"/>
        </w:rPr>
        <w:t>1、项目评价范围内重点保护野生植物和古树名木</w:t>
      </w:r>
    </w:p>
    <w:p>
      <w:pPr>
        <w:topLinePunct w:val="0"/>
        <w:adjustRightInd/>
        <w:spacing w:line="500" w:lineRule="exact"/>
        <w:ind w:left="60" w:right="100" w:firstLine="482" w:firstLineChars="0"/>
        <w:rPr>
          <w:rFonts w:hAnsi="宋体"/>
          <w:spacing w:val="-6"/>
          <w:kern w:val="2"/>
        </w:rPr>
      </w:pPr>
      <w:r>
        <w:rPr>
          <w:rFonts w:hAnsi="宋体"/>
          <w:spacing w:val="-6"/>
          <w:kern w:val="2"/>
        </w:rPr>
        <w:t>根据现场调查及相</w:t>
      </w:r>
      <w:r>
        <w:rPr>
          <w:rFonts w:ascii="Times New Roman" w:cs="Times New Roman"/>
          <w:spacing w:val="-6"/>
          <w:kern w:val="2"/>
        </w:rPr>
        <w:t>关文献资料查阅，本次评价范围内的林地主要为人工林，区域植物种类主要为杉木、柏木、马尾松、竹类及其他常见灌草植物和经济林木等。按照现行的《中华人民共和国野生植物保护条例（1999）》、《国家重点保护野生植物名录》(国家林业和草原局农业农村部公告2021年第15号)、《四川省重点保护野生植物名录》、《全国古树名木普查建档技术规定（2001）》以及相关科考资料，评价区无重点保护野生植物和古树名木等重要物种分布。后续</w:t>
      </w:r>
      <w:r>
        <w:rPr>
          <w:rFonts w:hAnsi="宋体"/>
          <w:spacing w:val="-6"/>
          <w:kern w:val="2"/>
        </w:rPr>
        <w:t>应加强</w:t>
      </w:r>
      <w:r>
        <w:rPr>
          <w:rFonts w:hint="eastAsia" w:hAnsi="宋体"/>
          <w:spacing w:val="-6"/>
          <w:kern w:val="2"/>
        </w:rPr>
        <w:t>评价</w:t>
      </w:r>
      <w:r>
        <w:rPr>
          <w:rFonts w:hAnsi="宋体"/>
          <w:spacing w:val="-6"/>
          <w:kern w:val="2"/>
        </w:rPr>
        <w:t>范围内保护植物的跟踪调查，对及时发现的</w:t>
      </w:r>
      <w:r>
        <w:rPr>
          <w:rFonts w:hint="eastAsia" w:hAnsi="宋体"/>
          <w:spacing w:val="-6"/>
          <w:kern w:val="2"/>
        </w:rPr>
        <w:t>重点</w:t>
      </w:r>
      <w:r>
        <w:rPr>
          <w:rFonts w:hAnsi="宋体"/>
          <w:spacing w:val="-6"/>
          <w:kern w:val="2"/>
        </w:rPr>
        <w:t>保护植物</w:t>
      </w:r>
      <w:r>
        <w:rPr>
          <w:rFonts w:hint="eastAsia" w:hAnsi="宋体"/>
          <w:spacing w:val="-6"/>
          <w:kern w:val="2"/>
        </w:rPr>
        <w:t>采取就地保护</w:t>
      </w:r>
      <w:r>
        <w:rPr>
          <w:rFonts w:hAnsi="宋体"/>
          <w:spacing w:val="-6"/>
          <w:kern w:val="2"/>
        </w:rPr>
        <w:t>措施</w:t>
      </w:r>
      <w:r>
        <w:rPr>
          <w:rFonts w:hint="eastAsia" w:hAnsi="宋体"/>
          <w:spacing w:val="-6"/>
          <w:kern w:val="2"/>
        </w:rPr>
        <w:t>，</w:t>
      </w:r>
      <w:r>
        <w:rPr>
          <w:rFonts w:hAnsi="宋体"/>
          <w:spacing w:val="-6"/>
          <w:kern w:val="2"/>
        </w:rPr>
        <w:t>对发现的名木古树采取挂牌保护。</w:t>
      </w:r>
    </w:p>
    <w:p>
      <w:pPr>
        <w:topLinePunct w:val="0"/>
        <w:adjustRightInd/>
        <w:spacing w:line="480" w:lineRule="exact"/>
        <w:ind w:firstLine="482"/>
        <w:rPr>
          <w:rFonts w:ascii="Times New Roman" w:cs="Times New Roman"/>
          <w:b/>
          <w:bCs/>
          <w:kern w:val="2"/>
        </w:rPr>
      </w:pPr>
      <w:r>
        <w:rPr>
          <w:rFonts w:ascii="Times New Roman" w:cs="Times New Roman"/>
          <w:b/>
          <w:bCs/>
          <w:kern w:val="2"/>
        </w:rPr>
        <w:t>2、项目评价范围内重点保护野生动物</w:t>
      </w:r>
    </w:p>
    <w:p>
      <w:pPr>
        <w:topLinePunct w:val="0"/>
        <w:snapToGrid w:val="0"/>
        <w:ind w:firstLine="482" w:firstLineChars="0"/>
        <w:rPr>
          <w:rFonts w:ascii="Times New Roman" w:cs="Times New Roman"/>
          <w:kern w:val="2"/>
        </w:rPr>
      </w:pPr>
      <w:r>
        <w:rPr>
          <w:rFonts w:ascii="Times New Roman" w:cs="Times New Roman"/>
          <w:kern w:val="2"/>
        </w:rPr>
        <w:t>根据实际调查及现场复核，参照《国家重点保护野生动物名录2021》、《</w:t>
      </w:r>
      <w:r>
        <w:rPr>
          <w:rFonts w:hint="eastAsia" w:ascii="Times New Roman" w:cs="Times New Roman"/>
          <w:kern w:val="2"/>
        </w:rPr>
        <w:t>四川省</w:t>
      </w:r>
      <w:r>
        <w:rPr>
          <w:rFonts w:ascii="Times New Roman" w:cs="Times New Roman"/>
          <w:kern w:val="2"/>
        </w:rPr>
        <w:t>重点保护野生动物名录》</w:t>
      </w:r>
      <w:r>
        <w:rPr>
          <w:rFonts w:hint="eastAsia" w:ascii="Times New Roman" w:cs="Times New Roman"/>
          <w:kern w:val="2"/>
        </w:rPr>
        <w:t>、</w:t>
      </w:r>
      <w:r>
        <w:rPr>
          <w:rFonts w:ascii="Times New Roman" w:cs="Times New Roman"/>
          <w:kern w:val="2"/>
        </w:rPr>
        <w:t>《四川省新增重点保护野生动物名录》及相关科考资料，在项目评价范围，无迁徙物种和重要生境分布，在评价区上空偶尔出现的保护动物有</w:t>
      </w:r>
      <w:r>
        <w:rPr>
          <w:rFonts w:hint="eastAsia" w:ascii="Times New Roman" w:cs="Times New Roman"/>
          <w:kern w:val="2"/>
        </w:rPr>
        <w:t>2</w:t>
      </w:r>
      <w:r>
        <w:rPr>
          <w:rFonts w:ascii="Times New Roman" w:cs="Times New Roman"/>
          <w:kern w:val="2"/>
        </w:rPr>
        <w:t>种，</w:t>
      </w:r>
      <w:r>
        <w:rPr>
          <w:rFonts w:hint="eastAsia" w:ascii="Times New Roman" w:cs="Times New Roman"/>
          <w:kern w:val="2"/>
        </w:rPr>
        <w:t>为</w:t>
      </w:r>
      <w:r>
        <w:rPr>
          <w:rFonts w:ascii="Times New Roman" w:cs="Times New Roman"/>
          <w:kern w:val="2"/>
        </w:rPr>
        <w:t>国家二级保护鸟类雀鹰、画眉，偶见于评价区内的针叶林、阔叶林林。由于评价区人类活动较为频繁，适宜的栖息地相对比较少，因此主要为过境取食及活动</w:t>
      </w:r>
      <w:r>
        <w:rPr>
          <w:rFonts w:hint="eastAsia" w:ascii="Times New Roman" w:cs="Times New Roman"/>
          <w:kern w:val="2"/>
        </w:rPr>
        <w:t>，评价区</w:t>
      </w:r>
      <w:r>
        <w:rPr>
          <w:rFonts w:ascii="Times New Roman" w:cs="Times New Roman"/>
          <w:kern w:val="2"/>
        </w:rPr>
        <w:t>未分布上述重点保护野生动物栖息地，无分布生境。</w:t>
      </w:r>
    </w:p>
    <w:p>
      <w:pPr>
        <w:topLinePunct w:val="0"/>
        <w:snapToGrid w:val="0"/>
        <w:ind w:firstLine="480"/>
        <w:rPr>
          <w:rFonts w:ascii="Times New Roman" w:cs="Times New Roman"/>
          <w:kern w:val="2"/>
        </w:rPr>
      </w:pPr>
      <w:r>
        <w:rPr>
          <w:rFonts w:hint="eastAsia" w:ascii="Times New Roman" w:cs="Times New Roman"/>
          <w:kern w:val="2"/>
        </w:rPr>
        <w:t>上述</w:t>
      </w:r>
      <w:r>
        <w:rPr>
          <w:rFonts w:ascii="Times New Roman" w:cs="Times New Roman"/>
          <w:kern w:val="2"/>
        </w:rPr>
        <w:t>国家重点保护动物的栖息地、居留型及数量情况见表</w:t>
      </w:r>
      <w:r>
        <w:rPr>
          <w:rFonts w:hint="eastAsia" w:ascii="Times New Roman" w:cs="Times New Roman"/>
          <w:kern w:val="2"/>
        </w:rPr>
        <w:t>5</w:t>
      </w:r>
      <w:r>
        <w:rPr>
          <w:rFonts w:ascii="Times New Roman" w:cs="Times New Roman"/>
          <w:kern w:val="2"/>
        </w:rPr>
        <w:t>.</w:t>
      </w:r>
      <w:r>
        <w:rPr>
          <w:rFonts w:hint="eastAsia" w:ascii="Times New Roman" w:cs="Times New Roman"/>
          <w:kern w:val="2"/>
        </w:rPr>
        <w:t>2</w:t>
      </w:r>
      <w:r>
        <w:rPr>
          <w:rFonts w:ascii="Times New Roman" w:cs="Times New Roman"/>
          <w:kern w:val="2"/>
        </w:rPr>
        <w:t>-</w:t>
      </w:r>
      <w:r>
        <w:rPr>
          <w:rFonts w:hint="eastAsia" w:ascii="Times New Roman" w:cs="Times New Roman"/>
          <w:kern w:val="2"/>
        </w:rPr>
        <w:t>19</w:t>
      </w:r>
      <w:r>
        <w:rPr>
          <w:rFonts w:ascii="Times New Roman" w:cs="Times New Roman"/>
          <w:kern w:val="2"/>
        </w:rPr>
        <w:t>。</w:t>
      </w:r>
    </w:p>
    <w:p>
      <w:pPr>
        <w:topLinePunct w:val="0"/>
        <w:autoSpaceDE w:val="0"/>
        <w:autoSpaceDN w:val="0"/>
        <w:spacing w:beforeLines="50" w:line="240" w:lineRule="auto"/>
        <w:ind w:firstLine="0" w:firstLineChars="0"/>
        <w:jc w:val="center"/>
        <w:rPr>
          <w:rFonts w:ascii="Times New Roman" w:cs="Times New Roman"/>
          <w:b/>
          <w:sz w:val="21"/>
        </w:rPr>
      </w:pPr>
      <w:r>
        <w:rPr>
          <w:rFonts w:ascii="Times New Roman" w:cs="Times New Roman"/>
          <w:b/>
          <w:sz w:val="21"/>
        </w:rPr>
        <w:t>表</w:t>
      </w:r>
      <w:r>
        <w:rPr>
          <w:rFonts w:hint="eastAsia" w:ascii="Times New Roman" w:cs="Times New Roman"/>
          <w:b/>
          <w:sz w:val="21"/>
        </w:rPr>
        <w:t>4.3</w:t>
      </w:r>
      <w:r>
        <w:rPr>
          <w:rFonts w:ascii="Times New Roman" w:cs="Times New Roman"/>
          <w:b/>
          <w:sz w:val="21"/>
        </w:rPr>
        <w:t>-</w:t>
      </w:r>
      <w:r>
        <w:rPr>
          <w:rFonts w:hint="eastAsia" w:ascii="Times New Roman" w:cs="Times New Roman"/>
          <w:b/>
          <w:sz w:val="21"/>
        </w:rPr>
        <w:t xml:space="preserve">19 </w:t>
      </w:r>
      <w:r>
        <w:rPr>
          <w:rFonts w:ascii="Times New Roman" w:cs="Times New Roman"/>
          <w:b/>
          <w:sz w:val="21"/>
        </w:rPr>
        <w:t>评价区重点保护鸟类分布、栖息情况一览表</w:t>
      </w:r>
    </w:p>
    <w:tbl>
      <w:tblPr>
        <w:tblStyle w:val="80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1611"/>
        <w:gridCol w:w="1105"/>
        <w:gridCol w:w="1093"/>
        <w:gridCol w:w="728"/>
        <w:gridCol w:w="1431"/>
        <w:gridCol w:w="1142"/>
        <w:gridCol w:w="9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序号</w:t>
            </w:r>
          </w:p>
        </w:tc>
        <w:tc>
          <w:tcPr>
            <w:tcW w:w="1560"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物种名称</w:t>
            </w:r>
          </w:p>
        </w:tc>
        <w:tc>
          <w:tcPr>
            <w:tcW w:w="1070"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保护级别</w:t>
            </w:r>
          </w:p>
        </w:tc>
        <w:tc>
          <w:tcPr>
            <w:tcW w:w="1058"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濒危等级</w:t>
            </w:r>
          </w:p>
        </w:tc>
        <w:tc>
          <w:tcPr>
            <w:tcW w:w="705"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特有种</w:t>
            </w:r>
          </w:p>
        </w:tc>
        <w:tc>
          <w:tcPr>
            <w:tcW w:w="1385"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分布区域</w:t>
            </w:r>
          </w:p>
        </w:tc>
        <w:tc>
          <w:tcPr>
            <w:tcW w:w="110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资料来源</w:t>
            </w:r>
          </w:p>
        </w:tc>
        <w:tc>
          <w:tcPr>
            <w:tcW w:w="940"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工程占用情况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1</w:t>
            </w:r>
          </w:p>
        </w:tc>
        <w:tc>
          <w:tcPr>
            <w:tcW w:w="1560"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雀鹰Accipiter nisus</w:t>
            </w:r>
          </w:p>
        </w:tc>
        <w:tc>
          <w:tcPr>
            <w:tcW w:w="1070"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hAnsi="宋体"/>
                <w:sz w:val="21"/>
                <w:szCs w:val="21"/>
              </w:rPr>
              <w:t>Ⅱ</w:t>
            </w:r>
          </w:p>
        </w:tc>
        <w:tc>
          <w:tcPr>
            <w:tcW w:w="1058"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无危</w:t>
            </w:r>
          </w:p>
        </w:tc>
        <w:tc>
          <w:tcPr>
            <w:tcW w:w="705"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否</w:t>
            </w:r>
          </w:p>
        </w:tc>
        <w:tc>
          <w:tcPr>
            <w:tcW w:w="1385" w:type="dxa"/>
            <w:vMerge w:val="restart"/>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过境取食及活动</w:t>
            </w:r>
            <w:r>
              <w:rPr>
                <w:rFonts w:hint="eastAsia" w:ascii="Times New Roman" w:cs="Times New Roman"/>
                <w:sz w:val="21"/>
                <w:szCs w:val="21"/>
              </w:rPr>
              <w:t>，</w:t>
            </w:r>
            <w:r>
              <w:rPr>
                <w:rFonts w:ascii="Times New Roman" w:cs="Times New Roman"/>
                <w:sz w:val="21"/>
                <w:szCs w:val="21"/>
              </w:rPr>
              <w:t>未分布栖息地，无分布生境</w:t>
            </w:r>
          </w:p>
        </w:tc>
        <w:tc>
          <w:tcPr>
            <w:tcW w:w="110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文献记录</w:t>
            </w:r>
          </w:p>
        </w:tc>
        <w:tc>
          <w:tcPr>
            <w:tcW w:w="940" w:type="dxa"/>
            <w:vMerge w:val="restart"/>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否，生境远离占地区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2</w:t>
            </w:r>
          </w:p>
        </w:tc>
        <w:tc>
          <w:tcPr>
            <w:tcW w:w="1560"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画眉Garrulax canorus</w:t>
            </w:r>
          </w:p>
        </w:tc>
        <w:tc>
          <w:tcPr>
            <w:tcW w:w="1070"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hAnsi="宋体"/>
                <w:sz w:val="21"/>
                <w:szCs w:val="21"/>
              </w:rPr>
              <w:t>Ⅱ</w:t>
            </w:r>
          </w:p>
        </w:tc>
        <w:tc>
          <w:tcPr>
            <w:tcW w:w="1058"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ascii="Times New Roman" w:cs="Times New Roman"/>
                <w:sz w:val="21"/>
                <w:szCs w:val="21"/>
              </w:rPr>
              <w:t>低危</w:t>
            </w:r>
          </w:p>
        </w:tc>
        <w:tc>
          <w:tcPr>
            <w:tcW w:w="705"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否</w:t>
            </w:r>
          </w:p>
        </w:tc>
        <w:tc>
          <w:tcPr>
            <w:tcW w:w="1385" w:type="dxa"/>
            <w:vMerge w:val="continue"/>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p>
        </w:tc>
        <w:tc>
          <w:tcPr>
            <w:tcW w:w="1106" w:type="dxa"/>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r>
              <w:rPr>
                <w:rFonts w:hint="eastAsia" w:ascii="Times New Roman" w:cs="Times New Roman"/>
                <w:sz w:val="21"/>
                <w:szCs w:val="21"/>
              </w:rPr>
              <w:t>文献记录</w:t>
            </w:r>
          </w:p>
        </w:tc>
        <w:tc>
          <w:tcPr>
            <w:tcW w:w="940" w:type="dxa"/>
            <w:vMerge w:val="continue"/>
            <w:vAlign w:val="center"/>
          </w:tcPr>
          <w:p>
            <w:pPr>
              <w:widowControl/>
              <w:topLinePunct w:val="0"/>
              <w:adjustRightInd/>
              <w:spacing w:line="240" w:lineRule="auto"/>
              <w:ind w:firstLine="0" w:firstLineChars="0"/>
              <w:jc w:val="center"/>
              <w:textAlignment w:val="bottom"/>
              <w:rPr>
                <w:rFonts w:ascii="Times New Roman" w:cs="Times New Roman"/>
                <w:sz w:val="21"/>
                <w:szCs w:val="21"/>
              </w:rPr>
            </w:pPr>
          </w:p>
        </w:tc>
      </w:tr>
    </w:tbl>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重点保护鸟类及其栖息地状况</w:t>
      </w:r>
    </w:p>
    <w:p>
      <w:pPr>
        <w:topLinePunct w:val="0"/>
        <w:adjustRightInd/>
        <w:spacing w:line="500" w:lineRule="exact"/>
        <w:ind w:left="60" w:right="100" w:firstLine="482" w:firstLineChars="0"/>
        <w:rPr>
          <w:rFonts w:ascii="Times New Roman" w:cs="Times New Roman"/>
          <w:kern w:val="2"/>
        </w:rPr>
      </w:pPr>
      <w:r>
        <w:rPr>
          <w:rFonts w:hint="eastAsia" w:hAnsi="宋体"/>
          <w:kern w:val="2"/>
        </w:rPr>
        <w:t>①</w:t>
      </w:r>
      <w:r>
        <w:rPr>
          <w:rFonts w:ascii="Times New Roman" w:cs="Times New Roman"/>
          <w:kern w:val="2"/>
        </w:rPr>
        <w:t>雀鹰</w:t>
      </w:r>
      <w:r>
        <w:rPr>
          <w:rFonts w:ascii="Times New Roman" w:cs="Times New Roman"/>
          <w:i/>
          <w:iCs/>
          <w:kern w:val="2"/>
        </w:rPr>
        <w:t>Accipiter nisus</w:t>
      </w:r>
    </w:p>
    <w:p>
      <w:pPr>
        <w:topLinePunct w:val="0"/>
        <w:adjustRightInd/>
        <w:spacing w:line="500" w:lineRule="exact"/>
        <w:ind w:left="60" w:right="100" w:firstLine="482" w:firstLineChars="0"/>
        <w:rPr>
          <w:rFonts w:ascii="Times New Roman" w:cs="Times New Roman"/>
          <w:kern w:val="2"/>
        </w:rPr>
      </w:pPr>
      <w:bookmarkStart w:id="424" w:name="OLE_LINK9"/>
      <w:r>
        <w:rPr>
          <w:rFonts w:ascii="Times New Roman" w:cs="Times New Roman"/>
          <w:kern w:val="2"/>
        </w:rPr>
        <w:t>雀鹰</w:t>
      </w:r>
      <w:bookmarkEnd w:id="424"/>
      <w:r>
        <w:rPr>
          <w:rFonts w:hint="eastAsia" w:ascii="Times New Roman" w:cs="Times New Roman"/>
          <w:kern w:val="2"/>
        </w:rPr>
        <w:t>（</w:t>
      </w:r>
      <w:r>
        <w:rPr>
          <w:rFonts w:ascii="Times New Roman" w:cs="Times New Roman"/>
          <w:kern w:val="2"/>
        </w:rPr>
        <w:t>学名：Accipiter nisus</w:t>
      </w:r>
      <w:r>
        <w:rPr>
          <w:rFonts w:hint="eastAsia" w:ascii="Times New Roman" w:cs="Times New Roman"/>
          <w:kern w:val="2"/>
        </w:rPr>
        <w:t>）</w:t>
      </w:r>
      <w:r>
        <w:rPr>
          <w:rFonts w:ascii="Times New Roman" w:cs="Times New Roman"/>
          <w:kern w:val="2"/>
        </w:rPr>
        <w:t>属小型猛禽，为中国国家二级保护动物，体长30-41厘米。雌较雄略大，翅阔而圆，尾较长。雄鸟上体暗灰色，雌鸟灰褐色，头后杂有少许白色。下体白色或淡灰白色，雄鸟具细密的红褐色横斑，雌鸟具褐色横斑。尾具4-5道黑褐色横斑，飞翔时翼后缘略为突出，翼下飞羽具数道黑褐色横带，通常快速鼓动两翅飞一阵后接着又滑翔一会。栖息于针叶林、混交林、阔叶林等山地森林和林缘地带。日出性。常单独生活。或飞翔于空中，或栖于树上和电柱上。以雀形目小鸟、昆虫和鼠类为食，也捕食鸽形目鸟类和榛鸡等小的鸡形目鸟类，有时亦捕食野兔、蛇、昆虫幼虫。</w:t>
      </w:r>
    </w:p>
    <w:p>
      <w:pPr>
        <w:topLinePunct w:val="0"/>
        <w:adjustRightInd/>
        <w:spacing w:line="500" w:lineRule="exact"/>
        <w:ind w:left="60" w:right="100" w:firstLine="482" w:firstLineChars="0"/>
        <w:rPr>
          <w:rFonts w:ascii="Times New Roman" w:cs="Times New Roman"/>
          <w:kern w:val="2"/>
        </w:rPr>
      </w:pPr>
      <w:r>
        <w:rPr>
          <w:rFonts w:ascii="Times New Roman" w:cs="Times New Roman"/>
          <w:kern w:val="2"/>
        </w:rPr>
        <w:t>雀鹰的分布广泛，数量较多，特别是捕食大量的鼠类和害虫，对于农业、林业和牧业均十分有益，对维持生态平衡也起到了积极的作用。</w:t>
      </w:r>
    </w:p>
    <w:p>
      <w:pPr>
        <w:topLinePunct w:val="0"/>
        <w:snapToGrid w:val="0"/>
        <w:spacing w:line="500" w:lineRule="exact"/>
        <w:ind w:firstLine="482" w:firstLineChars="0"/>
        <w:rPr>
          <w:rFonts w:ascii="Times New Roman" w:cs="Times New Roman"/>
          <w:kern w:val="2"/>
        </w:rPr>
      </w:pPr>
      <w:r>
        <w:rPr>
          <w:rFonts w:hint="eastAsia" w:hAnsi="宋体"/>
          <w:kern w:val="2"/>
        </w:rPr>
        <w:t>②</w:t>
      </w:r>
      <w:bookmarkStart w:id="425" w:name="OLE_LINK15"/>
      <w:bookmarkStart w:id="426" w:name="OLE_LINK17"/>
      <w:r>
        <w:rPr>
          <w:rFonts w:ascii="Times New Roman" w:cs="Times New Roman"/>
          <w:kern w:val="2"/>
        </w:rPr>
        <w:t>画眉</w:t>
      </w:r>
      <w:bookmarkEnd w:id="425"/>
      <w:bookmarkEnd w:id="426"/>
      <w:r>
        <w:rPr>
          <w:rFonts w:ascii="Times New Roman" w:cs="Times New Roman"/>
          <w:i/>
          <w:iCs/>
          <w:kern w:val="2"/>
        </w:rPr>
        <w:t>Garrulax canorus</w:t>
      </w:r>
    </w:p>
    <w:p>
      <w:pPr>
        <w:topLinePunct w:val="0"/>
        <w:snapToGrid w:val="0"/>
        <w:spacing w:line="500" w:lineRule="exact"/>
        <w:ind w:firstLine="482" w:firstLineChars="0"/>
        <w:rPr>
          <w:rFonts w:ascii="Times New Roman" w:cs="Times New Roman"/>
          <w:kern w:val="2"/>
        </w:rPr>
      </w:pPr>
      <w:r>
        <w:rPr>
          <w:rFonts w:ascii="Times New Roman" w:cs="Times New Roman"/>
          <w:kern w:val="2"/>
        </w:rPr>
        <w:t>画眉鸟：是鸟纲、画眉科的中型鸟类。体长约23厘米。上体橄榄色，头顶至上背棕褐色具黑色纵纹，眼圈白色，并沿上缘形成一窄纹向后延伸至枕侧，形成清晰的眉纹，极为醒目。下体棕黄色，喉至上胸杂有黑色纵纹，腹中部灰色。虹膜橙黄色或黄色，上嘴橘色，下嘴橄榄黄色，跗蹠和趾黄褐色或浅角色。</w:t>
      </w:r>
    </w:p>
    <w:p>
      <w:pPr>
        <w:topLinePunct w:val="0"/>
        <w:snapToGrid w:val="0"/>
        <w:spacing w:line="500" w:lineRule="exact"/>
        <w:ind w:firstLine="480"/>
        <w:rPr>
          <w:rFonts w:ascii="Times New Roman" w:cs="Times New Roman"/>
          <w:kern w:val="2"/>
        </w:rPr>
      </w:pPr>
      <w:r>
        <w:rPr>
          <w:rFonts w:ascii="Times New Roman" w:cs="Times New Roman"/>
          <w:kern w:val="2"/>
        </w:rPr>
        <w:t>栖息于山丘的灌丛和村落附近的灌丛或竹林中，机敏而胆怯，常在林下的草丛中觅食，不善作远距离飞翔。雄鸟在繁殖期常单独藏匿在杂草及树枝间极善鸣啭，声音十分洪亮，歌声悠扬婉转，非常动听。杂食性，主要取食昆虫，特别在繁殖季节嗜食昆虫；兼食草籽、野果。</w:t>
      </w:r>
    </w:p>
    <w:tbl>
      <w:tblPr>
        <w:tblStyle w:val="57"/>
        <w:tblW w:w="8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9"/>
        <w:gridCol w:w="4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19"/>
              <w:jc w:val="center"/>
              <w:rPr>
                <w:rFonts w:ascii="Times New Roman" w:hAnsi="Times New Roman" w:cs="Times New Roman"/>
                <w:color w:val="auto"/>
                <w:kern w:val="2"/>
              </w:rPr>
            </w:pPr>
            <w:r>
              <w:rPr>
                <w:rFonts w:ascii="Times New Roman" w:hAnsi="Times New Roman" w:cs="Times New Roman"/>
                <w:color w:val="auto"/>
                <w:kern w:val="2"/>
              </w:rPr>
              <w:drawing>
                <wp:inline distT="0" distB="0" distL="0" distR="0">
                  <wp:extent cx="1809750" cy="2694305"/>
                  <wp:effectExtent l="19050" t="0" r="0" b="0"/>
                  <wp:docPr id="36" name="图片 24" descr="C:\Users\HUANG\Documents\WeChat Files\wxid_f0asumrra2c221\FileStorage\Temp\165899143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descr="C:\Users\HUANG\Documents\WeChat Files\wxid_f0asumrra2c221\FileStorage\Temp\1658991435942.jpg"/>
                          <pic:cNvPicPr>
                            <a:picLocks noChangeAspect="1" noChangeArrowheads="1"/>
                          </pic:cNvPicPr>
                        </pic:nvPicPr>
                        <pic:blipFill>
                          <a:blip r:embed="rId80" cstate="print"/>
                          <a:srcRect/>
                          <a:stretch>
                            <a:fillRect/>
                          </a:stretch>
                        </pic:blipFill>
                        <pic:spPr>
                          <a:xfrm>
                            <a:off x="0" y="0"/>
                            <a:ext cx="1810727" cy="2696388"/>
                          </a:xfrm>
                          <a:prstGeom prst="rect">
                            <a:avLst/>
                          </a:prstGeom>
                          <a:noFill/>
                          <a:ln w="9525">
                            <a:noFill/>
                            <a:miter lim="800000"/>
                            <a:headEnd/>
                            <a:tailEnd/>
                          </a:ln>
                        </pic:spPr>
                      </pic:pic>
                    </a:graphicData>
                  </a:graphic>
                </wp:inline>
              </w:drawing>
            </w:r>
          </w:p>
        </w:tc>
        <w:tc>
          <w:tcPr>
            <w:tcW w:w="4412" w:type="dxa"/>
          </w:tcPr>
          <w:p>
            <w:pPr>
              <w:pStyle w:val="119"/>
              <w:jc w:val="center"/>
              <w:rPr>
                <w:rFonts w:ascii="Times New Roman" w:hAnsi="Times New Roman" w:cs="Times New Roman"/>
                <w:color w:val="auto"/>
                <w:kern w:val="2"/>
              </w:rPr>
            </w:pPr>
            <w:r>
              <w:rPr>
                <w:rFonts w:ascii="Times New Roman" w:hAnsi="Times New Roman" w:cs="Times New Roman"/>
                <w:color w:val="auto"/>
                <w:kern w:val="2"/>
              </w:rPr>
              <w:drawing>
                <wp:inline distT="0" distB="0" distL="0" distR="0">
                  <wp:extent cx="1828165" cy="2647315"/>
                  <wp:effectExtent l="19050" t="0" r="577" b="0"/>
                  <wp:docPr id="35" name="图片 23" descr="C:\Users\HUANG\Documents\WeChat Files\wxid_f0asumrra2c221\FileStorage\Temp\165899141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descr="C:\Users\HUANG\Documents\WeChat Files\wxid_f0asumrra2c221\FileStorage\Temp\1658991418943.jpg"/>
                          <pic:cNvPicPr>
                            <a:picLocks noChangeAspect="1" noChangeArrowheads="1"/>
                          </pic:cNvPicPr>
                        </pic:nvPicPr>
                        <pic:blipFill>
                          <a:blip r:embed="rId81" cstate="print"/>
                          <a:srcRect/>
                          <a:stretch>
                            <a:fillRect/>
                          </a:stretch>
                        </pic:blipFill>
                        <pic:spPr>
                          <a:xfrm>
                            <a:off x="0" y="0"/>
                            <a:ext cx="1831520" cy="2652724"/>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19"/>
              <w:jc w:val="center"/>
              <w:rPr>
                <w:rFonts w:ascii="Times New Roman" w:hAnsi="Times New Roman" w:cs="Times New Roman"/>
                <w:color w:val="auto"/>
                <w:kern w:val="2"/>
                <w:sz w:val="21"/>
                <w:szCs w:val="21"/>
              </w:rPr>
            </w:pPr>
            <w:r>
              <w:rPr>
                <w:rFonts w:hint="eastAsia" w:hAnsi="Times New Roman"/>
                <w:color w:val="auto"/>
                <w:kern w:val="2"/>
                <w:sz w:val="21"/>
                <w:szCs w:val="21"/>
              </w:rPr>
              <w:t>雀鹰</w:t>
            </w:r>
          </w:p>
        </w:tc>
        <w:tc>
          <w:tcPr>
            <w:tcW w:w="4412" w:type="dxa"/>
          </w:tcPr>
          <w:p>
            <w:pPr>
              <w:pStyle w:val="119"/>
              <w:jc w:val="center"/>
              <w:rPr>
                <w:rFonts w:ascii="Times New Roman" w:hAnsi="Times New Roman" w:cs="Times New Roman"/>
                <w:color w:val="auto"/>
                <w:kern w:val="2"/>
                <w:sz w:val="21"/>
                <w:szCs w:val="21"/>
              </w:rPr>
            </w:pPr>
            <w:r>
              <w:rPr>
                <w:rFonts w:hint="eastAsia" w:hAnsi="Times New Roman"/>
                <w:color w:val="auto"/>
                <w:kern w:val="2"/>
                <w:sz w:val="21"/>
                <w:szCs w:val="21"/>
              </w:rPr>
              <w:t>画眉</w:t>
            </w:r>
          </w:p>
        </w:tc>
      </w:tr>
    </w:tbl>
    <w:p>
      <w:pPr>
        <w:pStyle w:val="4"/>
        <w:rPr>
          <w:rFonts w:eastAsia="宋体"/>
        </w:rPr>
      </w:pPr>
      <w:r>
        <w:rPr>
          <w:rFonts w:eastAsia="宋体"/>
        </w:rPr>
        <w:t>5.2.</w:t>
      </w:r>
      <w:r>
        <w:rPr>
          <w:rFonts w:hint="eastAsia" w:eastAsia="宋体"/>
        </w:rPr>
        <w:t>11</w:t>
      </w:r>
      <w:r>
        <w:rPr>
          <w:rFonts w:eastAsia="宋体"/>
          <w:bCs/>
        </w:rPr>
        <w:t>物种多样性分析</w:t>
      </w:r>
    </w:p>
    <w:p>
      <w:pPr>
        <w:topLinePunct w:val="0"/>
        <w:snapToGrid w:val="0"/>
        <w:ind w:firstLine="480"/>
        <w:rPr>
          <w:rFonts w:ascii="Times New Roman" w:cs="Times New Roman"/>
          <w:kern w:val="2"/>
        </w:rPr>
      </w:pPr>
      <w:r>
        <w:rPr>
          <w:rFonts w:ascii="Times New Roman" w:cs="Times New Roman"/>
        </w:rPr>
        <w:t>项目用地范围植被类型主要有</w:t>
      </w:r>
      <w:r>
        <w:rPr>
          <w:rFonts w:hint="eastAsia" w:ascii="Times New Roman" w:cs="Times New Roman"/>
        </w:rPr>
        <w:t>马尾松、杉木、柏木</w:t>
      </w:r>
      <w:r>
        <w:rPr>
          <w:rFonts w:ascii="Times New Roman" w:cs="Times New Roman"/>
        </w:rPr>
        <w:t>等针叶林植被和</w:t>
      </w:r>
      <w:r>
        <w:rPr>
          <w:rFonts w:hint="eastAsia" w:ascii="Times New Roman" w:cs="Times New Roman"/>
        </w:rPr>
        <w:t>麻栎、青冈、枫香、响叶杨</w:t>
      </w:r>
      <w:r>
        <w:rPr>
          <w:rFonts w:ascii="Times New Roman" w:cs="Times New Roman"/>
        </w:rPr>
        <w:t>等阔叶林植被以及</w:t>
      </w:r>
      <w:r>
        <w:rPr>
          <w:rFonts w:hint="eastAsia" w:ascii="Times New Roman" w:cs="Times New Roman"/>
        </w:rPr>
        <w:t>槲栎、马桑、黄荆、火棘、荚蒾、盐肤木</w:t>
      </w:r>
      <w:r>
        <w:rPr>
          <w:rFonts w:ascii="Times New Roman" w:cs="Times New Roman"/>
        </w:rPr>
        <w:t>、</w:t>
      </w:r>
      <w:r>
        <w:rPr>
          <w:rFonts w:hint="eastAsia" w:ascii="Times New Roman" w:cs="Times New Roman"/>
        </w:rPr>
        <w:t>白茅、五节芒、芒、芒萁、斑茅、蕨</w:t>
      </w:r>
      <w:r>
        <w:rPr>
          <w:rFonts w:ascii="Times New Roman" w:cs="Times New Roman"/>
        </w:rPr>
        <w:t>等为主的灌草丛植被，群落结构和组成相对</w:t>
      </w:r>
      <w:r>
        <w:rPr>
          <w:rFonts w:hint="eastAsia" w:ascii="Times New Roman" w:cs="Times New Roman"/>
        </w:rPr>
        <w:t>复杂</w:t>
      </w:r>
      <w:r>
        <w:rPr>
          <w:rFonts w:ascii="Times New Roman" w:cs="Times New Roman"/>
        </w:rPr>
        <w:t>，且均为当地常见类型，分布较广。人类活动对当地野生动物影响较大，野生动物组成比较简单，种类较少，多为鸟类和小型啮齿类动物，物种多样性较简单。</w:t>
      </w:r>
    </w:p>
    <w:p>
      <w:pPr>
        <w:pStyle w:val="3"/>
        <w:spacing w:before="120"/>
        <w:rPr>
          <w:rFonts w:cs="Times New Roman"/>
        </w:rPr>
      </w:pPr>
      <w:bookmarkStart w:id="427" w:name="_Toc81515283"/>
      <w:r>
        <w:rPr>
          <w:rFonts w:cs="Times New Roman"/>
        </w:rPr>
        <w:t>5.3 环境空气质量现状与评价</w:t>
      </w:r>
      <w:bookmarkEnd w:id="416"/>
      <w:bookmarkEnd w:id="417"/>
      <w:bookmarkEnd w:id="427"/>
    </w:p>
    <w:p>
      <w:pPr>
        <w:pStyle w:val="112"/>
        <w:ind w:firstLine="480"/>
      </w:pPr>
      <w:r>
        <w:t>本次评价采用了现场实测和资料复用相结合的方法。</w:t>
      </w:r>
    </w:p>
    <w:p>
      <w:pPr>
        <w:pStyle w:val="112"/>
        <w:ind w:firstLine="480"/>
      </w:pPr>
      <w:r>
        <w:t>根据项目工程特点和各工艺站场的具体情况，以项目涉及区域作为本项目大气环境质量现状调查、评价的对象。本评价对普陆4集气平台所在地进行大气环境质量现状监测数据</w:t>
      </w:r>
      <w:r>
        <w:rPr>
          <w:rFonts w:hint="eastAsia"/>
        </w:rPr>
        <w:t>（项目名称原为：普陆 4 井台钻井及试采工程项目）</w:t>
      </w:r>
      <w:r>
        <w:t>以及《</w:t>
      </w:r>
      <w:r>
        <w:rPr>
          <w:shd w:val="clear" w:color="auto" w:fill="FFFFFF"/>
        </w:rPr>
        <w:t>202</w:t>
      </w:r>
      <w:r>
        <w:rPr>
          <w:rFonts w:hint="eastAsia"/>
          <w:shd w:val="clear" w:color="auto" w:fill="FFFFFF"/>
        </w:rPr>
        <w:t>2</w:t>
      </w:r>
      <w:r>
        <w:rPr>
          <w:shd w:val="clear" w:color="auto" w:fill="FFFFFF"/>
        </w:rPr>
        <w:t>年</w:t>
      </w:r>
      <w:r>
        <w:rPr>
          <w:rFonts w:hint="eastAsia"/>
          <w:shd w:val="clear" w:color="auto" w:fill="FFFFFF"/>
        </w:rPr>
        <w:t>1~12月</w:t>
      </w:r>
      <w:r>
        <w:rPr>
          <w:shd w:val="clear" w:color="auto" w:fill="FFFFFF"/>
        </w:rPr>
        <w:t>达州市</w:t>
      </w:r>
      <w:r>
        <w:rPr>
          <w:rFonts w:hint="eastAsia"/>
          <w:shd w:val="clear" w:color="auto" w:fill="FFFFFF"/>
        </w:rPr>
        <w:t>各县（市、区）环境空气质量月报</w:t>
      </w:r>
      <w:r>
        <w:t>》环境空气质量公报数据。</w:t>
      </w:r>
    </w:p>
    <w:p>
      <w:pPr>
        <w:pStyle w:val="6"/>
        <w:ind w:firstLine="482"/>
        <w:rPr>
          <w:rFonts w:ascii="Times New Roman" w:cs="Times New Roman"/>
          <w:b/>
          <w:bCs/>
        </w:rPr>
      </w:pPr>
      <w:r>
        <w:rPr>
          <w:rFonts w:ascii="Times New Roman" w:cs="Times New Roman"/>
          <w:b/>
          <w:bCs/>
        </w:rPr>
        <w:t>1、达标判断</w:t>
      </w:r>
    </w:p>
    <w:p>
      <w:pPr>
        <w:pStyle w:val="112"/>
        <w:ind w:firstLine="480"/>
      </w:pPr>
      <w:r>
        <w:t>本项目位于达州市宣汉县，项目所在区环境空气功能分区为二类区。根据《环境影响评价技术导则 总纲》（HJ2.1-2016）与《环境影响评价技术导则 大气环境》（HJ2.2-2018）的要求，评价采用达州市</w:t>
      </w:r>
      <w:r>
        <w:rPr>
          <w:rFonts w:hint="eastAsia"/>
        </w:rPr>
        <w:t>生态环境</w:t>
      </w:r>
      <w:r>
        <w:t>局</w:t>
      </w:r>
      <w:r>
        <w:rPr>
          <w:rFonts w:hint="eastAsia"/>
        </w:rPr>
        <w:t>（</w:t>
      </w:r>
      <w:r>
        <w:t>http://sthjj.dazhou.gov.cn/</w:t>
      </w:r>
      <w:r>
        <w:rPr>
          <w:rFonts w:hint="eastAsia"/>
        </w:rPr>
        <w:t>）</w:t>
      </w:r>
      <w:r>
        <w:t>发布《</w:t>
      </w:r>
      <w:r>
        <w:rPr>
          <w:shd w:val="clear" w:color="auto" w:fill="FFFFFF"/>
        </w:rPr>
        <w:t>202</w:t>
      </w:r>
      <w:r>
        <w:rPr>
          <w:rFonts w:hint="eastAsia"/>
          <w:shd w:val="clear" w:color="auto" w:fill="FFFFFF"/>
        </w:rPr>
        <w:t>2</w:t>
      </w:r>
      <w:r>
        <w:rPr>
          <w:shd w:val="clear" w:color="auto" w:fill="FFFFFF"/>
        </w:rPr>
        <w:t>年</w:t>
      </w:r>
      <w:r>
        <w:rPr>
          <w:rFonts w:hint="eastAsia"/>
          <w:shd w:val="clear" w:color="auto" w:fill="FFFFFF"/>
        </w:rPr>
        <w:t>1~12月</w:t>
      </w:r>
      <w:r>
        <w:rPr>
          <w:shd w:val="clear" w:color="auto" w:fill="FFFFFF"/>
        </w:rPr>
        <w:t>达州市</w:t>
      </w:r>
      <w:r>
        <w:rPr>
          <w:rFonts w:hint="eastAsia"/>
          <w:shd w:val="clear" w:color="auto" w:fill="FFFFFF"/>
        </w:rPr>
        <w:t>各县（市、区）环境空气质量月报</w:t>
      </w:r>
      <w:r>
        <w:t>》中的数据进行评价：</w:t>
      </w:r>
    </w:p>
    <w:p>
      <w:pPr>
        <w:pStyle w:val="112"/>
        <w:ind w:firstLine="480"/>
        <w:rPr>
          <w:shd w:val="clear" w:color="auto" w:fill="FFFFFF"/>
        </w:rPr>
      </w:pPr>
      <w:r>
        <w:t>202</w:t>
      </w:r>
      <w:r>
        <w:rPr>
          <w:rFonts w:hint="eastAsia"/>
        </w:rPr>
        <w:t>2</w:t>
      </w:r>
      <w:r>
        <w:t>年</w:t>
      </w:r>
      <w:r>
        <w:rPr>
          <w:rFonts w:hint="eastAsia"/>
        </w:rPr>
        <w:t>，</w:t>
      </w:r>
      <w:r>
        <w:rPr>
          <w:shd w:val="clear" w:color="auto" w:fill="FFFFFF"/>
        </w:rPr>
        <w:t>万源市、宣汉县、高新区、开江县、通川区、渠县、达川区、大竹县环境空气质量达标率分别为</w:t>
      </w:r>
      <w:r>
        <w:rPr>
          <w:rFonts w:hint="eastAsia"/>
          <w:shd w:val="clear" w:color="auto" w:fill="FFFFFF"/>
        </w:rPr>
        <w:t>87.1~100</w:t>
      </w:r>
      <w:r>
        <w:rPr>
          <w:shd w:val="clear" w:color="auto" w:fill="FFFFFF"/>
        </w:rPr>
        <w:t>%、83.9</w:t>
      </w:r>
      <w:r>
        <w:rPr>
          <w:rFonts w:hint="eastAsia"/>
          <w:shd w:val="clear" w:color="auto" w:fill="FFFFFF"/>
        </w:rPr>
        <w:t>~100</w:t>
      </w:r>
      <w:r>
        <w:rPr>
          <w:shd w:val="clear" w:color="auto" w:fill="FFFFFF"/>
        </w:rPr>
        <w:t>%、75.9</w:t>
      </w:r>
      <w:r>
        <w:rPr>
          <w:rFonts w:hint="eastAsia"/>
          <w:shd w:val="clear" w:color="auto" w:fill="FFFFFF"/>
        </w:rPr>
        <w:t>~96.8</w:t>
      </w:r>
      <w:r>
        <w:rPr>
          <w:shd w:val="clear" w:color="auto" w:fill="FFFFFF"/>
        </w:rPr>
        <w:t>%、</w:t>
      </w:r>
      <w:r>
        <w:rPr>
          <w:rFonts w:hint="eastAsia"/>
          <w:shd w:val="clear" w:color="auto" w:fill="FFFFFF"/>
        </w:rPr>
        <w:t>66.7~100</w:t>
      </w:r>
      <w:r>
        <w:rPr>
          <w:shd w:val="clear" w:color="auto" w:fill="FFFFFF"/>
        </w:rPr>
        <w:t>%、</w:t>
      </w:r>
      <w:r>
        <w:rPr>
          <w:rFonts w:hint="eastAsia"/>
          <w:shd w:val="clear" w:color="auto" w:fill="FFFFFF"/>
        </w:rPr>
        <w:t>66.7~100</w:t>
      </w:r>
      <w:r>
        <w:rPr>
          <w:shd w:val="clear" w:color="auto" w:fill="FFFFFF"/>
        </w:rPr>
        <w:t>%、64.5</w:t>
      </w:r>
      <w:r>
        <w:rPr>
          <w:rFonts w:hint="eastAsia"/>
          <w:shd w:val="clear" w:color="auto" w:fill="FFFFFF"/>
        </w:rPr>
        <w:t>~100</w:t>
      </w:r>
      <w:r>
        <w:rPr>
          <w:shd w:val="clear" w:color="auto" w:fill="FFFFFF"/>
        </w:rPr>
        <w:t>%、55.2</w:t>
      </w:r>
      <w:r>
        <w:rPr>
          <w:rFonts w:hint="eastAsia"/>
          <w:shd w:val="clear" w:color="auto" w:fill="FFFFFF"/>
        </w:rPr>
        <w:t>~100</w:t>
      </w:r>
      <w:r>
        <w:rPr>
          <w:shd w:val="clear" w:color="auto" w:fill="FFFFFF"/>
        </w:rPr>
        <w:t>%、54.8</w:t>
      </w:r>
      <w:r>
        <w:rPr>
          <w:rFonts w:hint="eastAsia"/>
          <w:shd w:val="clear" w:color="auto" w:fill="FFFFFF"/>
        </w:rPr>
        <w:t>~100</w:t>
      </w:r>
      <w:r>
        <w:rPr>
          <w:shd w:val="clear" w:color="auto" w:fill="FFFFFF"/>
        </w:rPr>
        <w:t>%；各县（市）SO</w:t>
      </w:r>
      <w:r>
        <w:rPr>
          <w:shd w:val="clear" w:color="auto" w:fill="FFFFFF"/>
          <w:vertAlign w:val="subscript"/>
        </w:rPr>
        <w:t>2</w:t>
      </w:r>
      <w:r>
        <w:rPr>
          <w:shd w:val="clear" w:color="auto" w:fill="FFFFFF"/>
        </w:rPr>
        <w:t>、NO</w:t>
      </w:r>
      <w:r>
        <w:rPr>
          <w:shd w:val="clear" w:color="auto" w:fill="FFFFFF"/>
          <w:vertAlign w:val="subscript"/>
        </w:rPr>
        <w:t>2</w:t>
      </w:r>
      <w:r>
        <w:rPr>
          <w:shd w:val="clear" w:color="auto" w:fill="FFFFFF"/>
        </w:rPr>
        <w:t>、PM</w:t>
      </w:r>
      <w:r>
        <w:rPr>
          <w:shd w:val="clear" w:color="auto" w:fill="FFFFFF"/>
          <w:vertAlign w:val="subscript"/>
        </w:rPr>
        <w:t>10</w:t>
      </w:r>
      <w:r>
        <w:rPr>
          <w:shd w:val="clear" w:color="auto" w:fill="FFFFFF"/>
        </w:rPr>
        <w:t>、CO、O</w:t>
      </w:r>
      <w:r>
        <w:rPr>
          <w:shd w:val="clear" w:color="auto" w:fill="FFFFFF"/>
          <w:vertAlign w:val="subscript"/>
        </w:rPr>
        <w:t>3</w:t>
      </w:r>
      <w:r>
        <w:rPr>
          <w:shd w:val="clear" w:color="auto" w:fill="FFFFFF"/>
        </w:rPr>
        <w:t>和PM</w:t>
      </w:r>
      <w:r>
        <w:rPr>
          <w:shd w:val="clear" w:color="auto" w:fill="FFFFFF"/>
          <w:vertAlign w:val="subscript"/>
        </w:rPr>
        <w:t>2.5</w:t>
      </w:r>
      <w:r>
        <w:rPr>
          <w:shd w:val="clear" w:color="auto" w:fill="FFFFFF"/>
        </w:rPr>
        <w:t>评价结果均达标。</w:t>
      </w:r>
    </w:p>
    <w:p>
      <w:pPr>
        <w:pStyle w:val="112"/>
        <w:ind w:firstLine="480"/>
      </w:pPr>
      <w:r>
        <w:t>综上可知，项目所在区</w:t>
      </w:r>
      <w:r>
        <w:rPr>
          <w:szCs w:val="24"/>
        </w:rPr>
        <w:t>SO</w:t>
      </w:r>
      <w:r>
        <w:rPr>
          <w:szCs w:val="24"/>
          <w:vertAlign w:val="subscript"/>
        </w:rPr>
        <w:t>2</w:t>
      </w:r>
      <w:r>
        <w:rPr>
          <w:szCs w:val="24"/>
        </w:rPr>
        <w:t>、NO</w:t>
      </w:r>
      <w:r>
        <w:rPr>
          <w:szCs w:val="24"/>
          <w:vertAlign w:val="subscript"/>
        </w:rPr>
        <w:t>2</w:t>
      </w:r>
      <w:r>
        <w:rPr>
          <w:szCs w:val="24"/>
        </w:rPr>
        <w:t>、PM</w:t>
      </w:r>
      <w:r>
        <w:rPr>
          <w:szCs w:val="24"/>
          <w:vertAlign w:val="subscript"/>
        </w:rPr>
        <w:t>10</w:t>
      </w:r>
      <w:r>
        <w:rPr>
          <w:szCs w:val="24"/>
        </w:rPr>
        <w:t>、CO、O</w:t>
      </w:r>
      <w:r>
        <w:rPr>
          <w:szCs w:val="24"/>
          <w:vertAlign w:val="subscript"/>
        </w:rPr>
        <w:t>3</w:t>
      </w:r>
      <w:r>
        <w:t>、</w:t>
      </w:r>
      <w:r>
        <w:rPr>
          <w:szCs w:val="24"/>
        </w:rPr>
        <w:t>PM</w:t>
      </w:r>
      <w:r>
        <w:rPr>
          <w:szCs w:val="24"/>
          <w:vertAlign w:val="subscript"/>
        </w:rPr>
        <w:t>2.5</w:t>
      </w:r>
      <w:r>
        <w:t>均达标，因此项目所在区判定为达标区。</w:t>
      </w:r>
    </w:p>
    <w:p>
      <w:pPr>
        <w:pStyle w:val="112"/>
        <w:ind w:firstLine="482"/>
        <w:rPr>
          <w:b/>
          <w:bCs/>
        </w:rPr>
      </w:pPr>
      <w:r>
        <w:rPr>
          <w:b/>
          <w:bCs/>
        </w:rPr>
        <w:t>2、特征污染物</w:t>
      </w:r>
    </w:p>
    <w:p>
      <w:pPr>
        <w:pStyle w:val="112"/>
        <w:ind w:firstLine="480"/>
      </w:pPr>
      <w:r>
        <w:t>（1）监测点布设</w:t>
      </w:r>
    </w:p>
    <w:p>
      <w:pPr>
        <w:pStyle w:val="112"/>
        <w:ind w:firstLine="480"/>
      </w:pPr>
      <w:r>
        <w:rPr>
          <w:rFonts w:hint="eastAsia"/>
        </w:rPr>
        <w:t>本次大气特征污染物委托四川省允诺信检测技术有限公司于2023年7月31日~8月6日对项目所在地（项目名称原为：普陆 4 井台钻井及试采工程项目）进行现状监测进行评价</w:t>
      </w:r>
      <w:r>
        <w:t>，共布设</w:t>
      </w:r>
      <w:r>
        <w:rPr>
          <w:rFonts w:hint="eastAsia"/>
        </w:rPr>
        <w:t>2</w:t>
      </w:r>
      <w:r>
        <w:t>个大气环境监测点，</w:t>
      </w:r>
      <w:bookmarkStart w:id="428" w:name="OLE_LINK16"/>
      <w:r>
        <w:rPr>
          <w:rFonts w:hint="eastAsia"/>
        </w:rPr>
        <w:t>分别为</w:t>
      </w:r>
      <w:bookmarkEnd w:id="428"/>
      <w:r>
        <w:rPr>
          <w:rFonts w:hint="eastAsia"/>
        </w:rPr>
        <w:t>：普陆4集气平台所在地西南侧1#、普陆4集气平台所在地南侧约220m住户处2#、</w:t>
      </w:r>
      <w:r>
        <w:t>。</w:t>
      </w:r>
    </w:p>
    <w:p>
      <w:pPr>
        <w:pStyle w:val="112"/>
        <w:ind w:firstLine="480"/>
      </w:pPr>
      <w:r>
        <w:t>（2）监测项目：</w:t>
      </w:r>
      <w:r>
        <w:rPr>
          <w:rFonts w:hint="eastAsia"/>
        </w:rPr>
        <w:t>非甲烷总烃</w:t>
      </w:r>
      <w:r>
        <w:t>、硫化氢。</w:t>
      </w:r>
    </w:p>
    <w:p>
      <w:pPr>
        <w:pStyle w:val="112"/>
        <w:ind w:firstLine="480"/>
      </w:pPr>
      <w:r>
        <w:t>（3）监测频次：连续采样7天。</w:t>
      </w:r>
    </w:p>
    <w:p>
      <w:pPr>
        <w:pStyle w:val="112"/>
        <w:ind w:firstLine="480"/>
      </w:pPr>
      <w:r>
        <w:t>（4）采样及分析方法</w:t>
      </w:r>
    </w:p>
    <w:p>
      <w:pPr>
        <w:pStyle w:val="112"/>
        <w:ind w:firstLine="480"/>
      </w:pPr>
      <w:r>
        <w:t>采样及分析方法按国家有关规定进行。</w:t>
      </w:r>
    </w:p>
    <w:p>
      <w:pPr>
        <w:pStyle w:val="112"/>
        <w:ind w:firstLine="480"/>
      </w:pPr>
      <w:r>
        <w:t>（5）评价标准</w:t>
      </w:r>
    </w:p>
    <w:p>
      <w:pPr>
        <w:pStyle w:val="112"/>
        <w:ind w:firstLine="480"/>
      </w:pPr>
      <w:r>
        <w:rPr>
          <w:rFonts w:hint="eastAsia"/>
        </w:rPr>
        <w:t>本次非甲烷总烃环境质量现状评价，执行标准采用《大气污染物综合排放标准详解》浓度限值 2.0mg/m</w:t>
      </w:r>
      <w:r>
        <w:rPr>
          <w:rFonts w:hint="eastAsia"/>
          <w:vertAlign w:val="superscript"/>
        </w:rPr>
        <w:t>3</w:t>
      </w:r>
      <w:r>
        <w:rPr>
          <w:rFonts w:hint="eastAsia"/>
        </w:rPr>
        <w:t>；</w:t>
      </w:r>
      <w:r>
        <w:t>硫化氢环境质量现状评价，执行标准采用《环境影响评价技术导则大气环境》（HJ2.2-2018）中附录D浓度限值10μg/m</w:t>
      </w:r>
      <w:r>
        <w:rPr>
          <w:vertAlign w:val="superscript"/>
        </w:rPr>
        <w:t>3</w:t>
      </w:r>
      <w:r>
        <w:rPr>
          <w:rFonts w:hint="eastAsia"/>
        </w:rPr>
        <w:t>。</w:t>
      </w:r>
    </w:p>
    <w:p>
      <w:pPr>
        <w:pStyle w:val="112"/>
        <w:ind w:firstLine="480"/>
      </w:pPr>
      <w:r>
        <w:t>（6）评价方法</w:t>
      </w:r>
    </w:p>
    <w:p>
      <w:pPr>
        <w:pStyle w:val="112"/>
        <w:ind w:firstLine="480"/>
      </w:pPr>
      <w:r>
        <w:t>根据《环境影响评价技术导则大气环境》（HJ2.2-2018），采用最大监测浓度占标率对评价区域大气环境质量现状进行评价，评价模式如下：</w:t>
      </w:r>
    </w:p>
    <w:p>
      <w:pPr>
        <w:pStyle w:val="112"/>
        <w:ind w:firstLine="480"/>
      </w:pPr>
      <m:oMathPara>
        <m:oMath>
          <m:sSub>
            <m:sSubPr>
              <m:ctrlPr>
                <w:rPr>
                  <w:rFonts w:ascii="Cambria Math" w:hAnsi="Cambria Math"/>
                  <w:kern w:val="2"/>
                </w:rPr>
              </m:ctrlPr>
            </m:sSubPr>
            <m:e>
              <m:r>
                <m:rPr>
                  <m:sty m:val="p"/>
                </m:rPr>
                <w:rPr>
                  <w:rFonts w:ascii="Cambria Math" w:hAnsi="Cambria Math"/>
                </w:rPr>
                <m:t>P</m:t>
              </m:r>
              <m:ctrlPr>
                <w:rPr>
                  <w:rFonts w:ascii="Cambria Math" w:hAnsi="Cambria Math"/>
                  <w:kern w:val="2"/>
                </w:rPr>
              </m:ctrlPr>
            </m:e>
            <m:sub>
              <m:r>
                <m:rPr>
                  <m:sty m:val="p"/>
                </m:rPr>
                <w:rPr>
                  <w:rFonts w:ascii="Cambria Math" w:hAnsi="Cambria Math"/>
                </w:rPr>
                <m:t>i</m:t>
              </m:r>
              <m:ctrlPr>
                <w:rPr>
                  <w:rFonts w:ascii="Cambria Math" w:hAnsi="Cambria Math"/>
                  <w:kern w:val="2"/>
                </w:rPr>
              </m:ctrlPr>
            </m:sub>
          </m:sSub>
          <m:r>
            <m:rPr>
              <m:sty m:val="p"/>
            </m:rPr>
            <w:rPr>
              <w:rFonts w:ascii="Cambria Math" w:hAnsi="Cambria Math"/>
            </w:rPr>
            <m:t>=</m:t>
          </m:r>
          <m:f>
            <m:fPr>
              <m:ctrlPr>
                <w:rPr>
                  <w:rFonts w:ascii="Cambria Math" w:hAnsi="Cambria Math"/>
                  <w:kern w:val="2"/>
                </w:rPr>
              </m:ctrlPr>
            </m:fPr>
            <m:num>
              <m:sSub>
                <m:sSubPr>
                  <m:ctrlPr>
                    <w:rPr>
                      <w:rFonts w:ascii="Cambria Math" w:hAnsi="Cambria Math"/>
                      <w:kern w:val="2"/>
                    </w:rPr>
                  </m:ctrlPr>
                </m:sSubPr>
                <m:e>
                  <m:r>
                    <m:rPr>
                      <m:sty m:val="p"/>
                    </m:rPr>
                    <w:rPr>
                      <w:rFonts w:ascii="Cambria Math" w:hAnsi="Cambria Math"/>
                    </w:rPr>
                    <m:t>C</m:t>
                  </m:r>
                  <m:ctrlPr>
                    <w:rPr>
                      <w:rFonts w:ascii="Cambria Math" w:hAnsi="Cambria Math"/>
                      <w:kern w:val="2"/>
                    </w:rPr>
                  </m:ctrlPr>
                </m:e>
                <m:sub>
                  <m:r>
                    <m:rPr>
                      <m:sty m:val="p"/>
                    </m:rPr>
                    <w:rPr>
                      <w:rFonts w:ascii="Cambria Math" w:hAnsi="Cambria Math"/>
                    </w:rPr>
                    <m:t>i</m:t>
                  </m:r>
                  <m:ctrlPr>
                    <w:rPr>
                      <w:rFonts w:ascii="Cambria Math" w:hAnsi="Cambria Math"/>
                      <w:kern w:val="2"/>
                    </w:rPr>
                  </m:ctrlPr>
                </m:sub>
              </m:sSub>
              <m:ctrlPr>
                <w:rPr>
                  <w:rFonts w:ascii="Cambria Math" w:hAnsi="Cambria Math"/>
                  <w:kern w:val="2"/>
                </w:rPr>
              </m:ctrlPr>
            </m:num>
            <m:den>
              <m:sSub>
                <m:sSubPr>
                  <m:ctrlPr>
                    <w:rPr>
                      <w:rFonts w:ascii="Cambria Math" w:hAnsi="Cambria Math"/>
                      <w:kern w:val="2"/>
                    </w:rPr>
                  </m:ctrlPr>
                </m:sSubPr>
                <m:e>
                  <m:r>
                    <m:rPr>
                      <m:sty m:val="p"/>
                    </m:rPr>
                    <w:rPr>
                      <w:rFonts w:ascii="Cambria Math" w:hAnsi="Cambria Math"/>
                    </w:rPr>
                    <m:t>C</m:t>
                  </m:r>
                  <m:ctrlPr>
                    <w:rPr>
                      <w:rFonts w:ascii="Cambria Math" w:hAnsi="Cambria Math"/>
                      <w:kern w:val="2"/>
                    </w:rPr>
                  </m:ctrlPr>
                </m:e>
                <m:sub>
                  <m:r>
                    <m:rPr>
                      <m:sty m:val="p"/>
                    </m:rPr>
                    <w:rPr>
                      <w:rFonts w:ascii="Cambria Math" w:hAnsi="Cambria Math"/>
                    </w:rPr>
                    <m:t>oi</m:t>
                  </m:r>
                  <m:ctrlPr>
                    <w:rPr>
                      <w:rFonts w:ascii="Cambria Math" w:hAnsi="Cambria Math"/>
                      <w:kern w:val="2"/>
                    </w:rPr>
                  </m:ctrlPr>
                </m:sub>
              </m:sSub>
              <m:ctrlPr>
                <w:rPr>
                  <w:rFonts w:ascii="Cambria Math" w:hAnsi="Cambria Math"/>
                  <w:i/>
                  <w:kern w:val="2"/>
                </w:rPr>
              </m:ctrlPr>
            </m:den>
          </m:f>
          <m:r>
            <m:rPr>
              <m:sty m:val="p"/>
            </m:rPr>
            <w:rPr>
              <w:rFonts w:ascii="Cambria Math" w:hAnsi="Cambria Math"/>
            </w:rPr>
            <m:t>×100%</m:t>
          </m:r>
        </m:oMath>
      </m:oMathPara>
    </w:p>
    <w:p>
      <w:pPr>
        <w:pStyle w:val="112"/>
        <w:ind w:firstLine="480"/>
      </w:pPr>
      <w:r>
        <w:t>P</w:t>
      </w:r>
      <w:r>
        <w:rPr>
          <w:sz w:val="16"/>
          <w:szCs w:val="16"/>
        </w:rPr>
        <w:t>i</w:t>
      </w:r>
      <w:r>
        <w:t>——为第i个污染物的最大监测浓度占标率，%；</w:t>
      </w:r>
    </w:p>
    <w:p>
      <w:pPr>
        <w:pStyle w:val="112"/>
        <w:ind w:firstLine="480"/>
      </w:pPr>
      <w:r>
        <w:t>C</w:t>
      </w:r>
      <w:r>
        <w:rPr>
          <w:sz w:val="16"/>
          <w:szCs w:val="16"/>
        </w:rPr>
        <w:t>i</w:t>
      </w:r>
      <w:r>
        <w:t>——为第i个污染因子的最大实测浓度（mg/m</w:t>
      </w:r>
      <w:r>
        <w:rPr>
          <w:vertAlign w:val="superscript"/>
        </w:rPr>
        <w:t>3</w:t>
      </w:r>
      <w:r>
        <w:t>）；</w:t>
      </w:r>
    </w:p>
    <w:p>
      <w:pPr>
        <w:pStyle w:val="112"/>
        <w:ind w:firstLine="480"/>
      </w:pPr>
      <w:r>
        <w:t>C</w:t>
      </w:r>
      <w:r>
        <w:rPr>
          <w:sz w:val="16"/>
          <w:szCs w:val="16"/>
        </w:rPr>
        <w:t>oi</w:t>
      </w:r>
      <w:r>
        <w:t>——为第i个污染物相对应的评价标准（mg/m</w:t>
      </w:r>
      <w:r>
        <w:rPr>
          <w:vertAlign w:val="superscript"/>
        </w:rPr>
        <w:t>3</w:t>
      </w:r>
      <w:r>
        <w:t>）。</w:t>
      </w:r>
    </w:p>
    <w:p>
      <w:pPr>
        <w:pStyle w:val="112"/>
        <w:ind w:firstLine="480"/>
      </w:pPr>
      <w:r>
        <w:t>根据HJ2.2-2018，现状监测结果以列表的方式给出各监测点大气污染物的不同取值时间的变化范围，并给出各取值时间最大浓度值占相应标准浓度限值的百分比和超标率，并评价达标情况。</w:t>
      </w:r>
    </w:p>
    <w:p>
      <w:pPr>
        <w:pStyle w:val="6"/>
        <w:ind w:firstLine="480"/>
        <w:rPr>
          <w:rFonts w:ascii="Times New Roman" w:cs="Times New Roman"/>
        </w:rPr>
      </w:pPr>
      <w:r>
        <w:rPr>
          <w:rFonts w:ascii="Times New Roman" w:cs="Times New Roman"/>
        </w:rPr>
        <w:t>（7）监测结果及评价结论</w:t>
      </w:r>
    </w:p>
    <w:p>
      <w:pPr>
        <w:pStyle w:val="37"/>
        <w:rPr>
          <w:rStyle w:val="534"/>
          <w:rFonts w:cs="Times New Roman"/>
          <w:sz w:val="21"/>
          <w:vertAlign w:val="superscript"/>
        </w:rPr>
      </w:pPr>
      <w:r>
        <w:rPr>
          <w:rStyle w:val="534"/>
          <w:rFonts w:cs="Times New Roman"/>
          <w:sz w:val="21"/>
        </w:rPr>
        <w:t>表5.3-1  环境空气质量现状监测结果  单位：mg/m</w:t>
      </w:r>
      <w:r>
        <w:rPr>
          <w:rStyle w:val="534"/>
          <w:rFonts w:cs="Times New Roman"/>
          <w:sz w:val="21"/>
          <w:vertAlign w:val="superscript"/>
        </w:rPr>
        <w:t>3</w:t>
      </w:r>
    </w:p>
    <w:tbl>
      <w:tblPr>
        <w:tblStyle w:val="57"/>
        <w:tblW w:w="8796"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04"/>
        <w:gridCol w:w="1096"/>
        <w:gridCol w:w="1389"/>
        <w:gridCol w:w="1418"/>
        <w:gridCol w:w="1362"/>
        <w:gridCol w:w="1140"/>
        <w:gridCol w:w="108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3" w:hRule="atLeast"/>
          <w:jc w:val="center"/>
        </w:trPr>
        <w:tc>
          <w:tcPr>
            <w:tcW w:w="1304" w:type="dxa"/>
            <w:tcBorders>
              <w:top w:val="single" w:color="auto" w:sz="12" w:space="0"/>
              <w:bottom w:val="single" w:color="auto" w:sz="2" w:space="0"/>
              <w:right w:val="single" w:color="auto" w:sz="2" w:space="0"/>
            </w:tcBorders>
            <w:shd w:val="clear" w:color="auto" w:fill="auto"/>
            <w:vAlign w:val="center"/>
          </w:tcPr>
          <w:p>
            <w:pPr>
              <w:pStyle w:val="132"/>
              <w:rPr>
                <w:b/>
                <w:bCs/>
              </w:rPr>
            </w:pPr>
            <w:r>
              <w:rPr>
                <w:b/>
                <w:bCs/>
              </w:rPr>
              <w:t>监测点位</w:t>
            </w:r>
          </w:p>
        </w:tc>
        <w:tc>
          <w:tcPr>
            <w:tcW w:w="1096" w:type="dxa"/>
            <w:tcBorders>
              <w:top w:val="single" w:color="auto" w:sz="12" w:space="0"/>
              <w:left w:val="single" w:color="auto" w:sz="2" w:space="0"/>
              <w:bottom w:val="single" w:color="auto" w:sz="2" w:space="0"/>
              <w:right w:val="single" w:color="auto" w:sz="2" w:space="0"/>
            </w:tcBorders>
            <w:shd w:val="clear" w:color="auto" w:fill="auto"/>
            <w:vAlign w:val="center"/>
          </w:tcPr>
          <w:p>
            <w:pPr>
              <w:pStyle w:val="132"/>
              <w:rPr>
                <w:b/>
                <w:bCs/>
                <w:szCs w:val="21"/>
              </w:rPr>
            </w:pPr>
            <w:r>
              <w:rPr>
                <w:b/>
                <w:bCs/>
                <w:szCs w:val="21"/>
              </w:rPr>
              <w:t>监测日期</w:t>
            </w:r>
          </w:p>
        </w:tc>
        <w:tc>
          <w:tcPr>
            <w:tcW w:w="1389" w:type="dxa"/>
            <w:tcBorders>
              <w:top w:val="single" w:color="auto" w:sz="12" w:space="0"/>
              <w:left w:val="single" w:color="auto" w:sz="2" w:space="0"/>
              <w:bottom w:val="single" w:color="auto" w:sz="2" w:space="0"/>
              <w:right w:val="single" w:color="auto" w:sz="2" w:space="0"/>
            </w:tcBorders>
            <w:shd w:val="clear" w:color="auto" w:fill="auto"/>
            <w:vAlign w:val="center"/>
          </w:tcPr>
          <w:p>
            <w:pPr>
              <w:pStyle w:val="132"/>
              <w:rPr>
                <w:b/>
                <w:bCs/>
                <w:szCs w:val="21"/>
              </w:rPr>
            </w:pPr>
            <w:r>
              <w:rPr>
                <w:b/>
                <w:bCs/>
                <w:szCs w:val="21"/>
              </w:rPr>
              <w:t>项目</w:t>
            </w:r>
          </w:p>
        </w:tc>
        <w:tc>
          <w:tcPr>
            <w:tcW w:w="1418" w:type="dxa"/>
            <w:tcBorders>
              <w:top w:val="single" w:color="auto" w:sz="12" w:space="0"/>
              <w:left w:val="single" w:color="auto" w:sz="2" w:space="0"/>
              <w:bottom w:val="single" w:color="auto" w:sz="2" w:space="0"/>
              <w:right w:val="single" w:color="auto" w:sz="2" w:space="0"/>
            </w:tcBorders>
            <w:shd w:val="clear" w:color="auto" w:fill="auto"/>
            <w:vAlign w:val="center"/>
          </w:tcPr>
          <w:p>
            <w:pPr>
              <w:pStyle w:val="132"/>
              <w:rPr>
                <w:b/>
                <w:bCs/>
              </w:rPr>
            </w:pPr>
            <w:r>
              <w:rPr>
                <w:rFonts w:hint="eastAsia"/>
                <w:b/>
                <w:bCs/>
              </w:rPr>
              <w:t>第一次</w:t>
            </w:r>
          </w:p>
        </w:tc>
        <w:tc>
          <w:tcPr>
            <w:tcW w:w="1362" w:type="dxa"/>
            <w:tcBorders>
              <w:top w:val="single" w:color="auto" w:sz="12" w:space="0"/>
              <w:left w:val="single" w:color="auto" w:sz="2" w:space="0"/>
              <w:bottom w:val="single" w:color="auto" w:sz="2" w:space="0"/>
              <w:right w:val="single" w:color="auto" w:sz="2" w:space="0"/>
            </w:tcBorders>
            <w:shd w:val="clear" w:color="auto" w:fill="auto"/>
            <w:vAlign w:val="center"/>
          </w:tcPr>
          <w:p>
            <w:pPr>
              <w:pStyle w:val="132"/>
              <w:rPr>
                <w:b/>
                <w:bCs/>
              </w:rPr>
            </w:pPr>
            <w:r>
              <w:rPr>
                <w:rFonts w:hint="eastAsia"/>
                <w:b/>
                <w:bCs/>
              </w:rPr>
              <w:t>第二次</w:t>
            </w:r>
          </w:p>
        </w:tc>
        <w:tc>
          <w:tcPr>
            <w:tcW w:w="1140" w:type="dxa"/>
            <w:tcBorders>
              <w:top w:val="single" w:color="auto" w:sz="12" w:space="0"/>
              <w:left w:val="single" w:color="auto" w:sz="2" w:space="0"/>
              <w:bottom w:val="single" w:color="auto" w:sz="2" w:space="0"/>
              <w:right w:val="single" w:color="auto" w:sz="2" w:space="0"/>
            </w:tcBorders>
            <w:shd w:val="clear" w:color="auto" w:fill="auto"/>
            <w:vAlign w:val="center"/>
          </w:tcPr>
          <w:p>
            <w:pPr>
              <w:pStyle w:val="132"/>
              <w:rPr>
                <w:b/>
                <w:bCs/>
              </w:rPr>
            </w:pPr>
            <w:r>
              <w:rPr>
                <w:rFonts w:hint="eastAsia"/>
                <w:b/>
                <w:bCs/>
              </w:rPr>
              <w:t>第三次</w:t>
            </w:r>
          </w:p>
        </w:tc>
        <w:tc>
          <w:tcPr>
            <w:tcW w:w="1087" w:type="dxa"/>
            <w:tcBorders>
              <w:top w:val="single" w:color="auto" w:sz="12" w:space="0"/>
              <w:left w:val="single" w:color="auto" w:sz="2" w:space="0"/>
              <w:bottom w:val="single" w:color="auto" w:sz="2" w:space="0"/>
            </w:tcBorders>
            <w:shd w:val="clear" w:color="auto" w:fill="auto"/>
            <w:vAlign w:val="center"/>
          </w:tcPr>
          <w:p>
            <w:pPr>
              <w:pStyle w:val="132"/>
              <w:rPr>
                <w:b/>
                <w:bCs/>
              </w:rPr>
            </w:pPr>
            <w:r>
              <w:rPr>
                <w:rFonts w:hint="eastAsia"/>
                <w:b/>
                <w:bCs/>
              </w:rPr>
              <w:t>第四次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1304" w:type="dxa"/>
            <w:vMerge w:val="restart"/>
            <w:tcBorders>
              <w:top w:val="single" w:color="auto" w:sz="2" w:space="0"/>
              <w:bottom w:val="single" w:color="auto" w:sz="2" w:space="0"/>
              <w:right w:val="single" w:color="auto" w:sz="2" w:space="0"/>
            </w:tcBorders>
            <w:shd w:val="clear" w:color="auto" w:fill="auto"/>
            <w:vAlign w:val="center"/>
          </w:tcPr>
          <w:p>
            <w:pPr>
              <w:pStyle w:val="132"/>
            </w:pPr>
            <w:r>
              <w:rPr>
                <w:rFonts w:hint="eastAsia"/>
              </w:rPr>
              <w:t>普陆4集气平台所在地西南侧1#</w:t>
            </w: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szCs w:val="21"/>
                <w:highlight w:val="red"/>
              </w:rPr>
            </w:pPr>
            <w:r>
              <w:rPr>
                <w:rFonts w:hint="eastAsia"/>
              </w:rPr>
              <w:t>7</w:t>
            </w:r>
            <w:r>
              <w:t>.</w:t>
            </w:r>
            <w:r>
              <w:rPr>
                <w:rFonts w:hint="eastAsia"/>
              </w:rPr>
              <w:t>31</w:t>
            </w:r>
          </w:p>
        </w:tc>
        <w:tc>
          <w:tcPr>
            <w:tcW w:w="1389"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21"/>
              </w:rPr>
            </w:pPr>
            <w:r>
              <w:rPr>
                <w:rFonts w:hint="eastAsia"/>
                <w:szCs w:val="21"/>
              </w:rPr>
              <w:t>非甲烷总烃</w:t>
            </w: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1.12</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1.12</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1.22</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21"/>
              </w:rPr>
              <w:t>1.03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2" w:hRule="atLeast"/>
          <w:jc w:val="center"/>
        </w:trPr>
        <w:tc>
          <w:tcPr>
            <w:tcW w:w="1304" w:type="dxa"/>
            <w:vMerge w:val="continue"/>
            <w:tcBorders>
              <w:top w:val="single" w:color="auto" w:sz="2" w:space="0"/>
              <w:bottom w:val="single" w:color="auto" w:sz="2" w:space="0"/>
              <w:right w:val="single" w:color="auto" w:sz="2" w:space="0"/>
            </w:tcBorders>
            <w:shd w:val="clear" w:color="auto" w:fill="auto"/>
            <w:vAlign w:val="center"/>
          </w:tcPr>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highlight w:val="red"/>
              </w:rPr>
            </w:pPr>
            <w:r>
              <w:rPr>
                <w:rFonts w:hint="eastAsia"/>
              </w:rPr>
              <w:t>8</w:t>
            </w:r>
            <w:r>
              <w:t>.</w:t>
            </w:r>
            <w:r>
              <w:rPr>
                <w:rFonts w:hint="eastAsia"/>
              </w:rPr>
              <w:t>1</w:t>
            </w:r>
          </w:p>
        </w:tc>
        <w:tc>
          <w:tcPr>
            <w:tcW w:w="138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132"/>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0.86</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0.87</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0.88</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21"/>
              </w:rPr>
              <w:t>0.86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2" w:hRule="atLeast"/>
          <w:jc w:val="center"/>
        </w:trPr>
        <w:tc>
          <w:tcPr>
            <w:tcW w:w="1304" w:type="dxa"/>
            <w:vMerge w:val="continue"/>
            <w:tcBorders>
              <w:top w:val="single" w:color="auto" w:sz="2" w:space="0"/>
              <w:bottom w:val="single" w:color="auto" w:sz="2" w:space="0"/>
              <w:right w:val="single" w:color="auto" w:sz="2" w:space="0"/>
            </w:tcBorders>
            <w:shd w:val="clear" w:color="auto" w:fill="auto"/>
            <w:vAlign w:val="center"/>
          </w:tcPr>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highlight w:val="red"/>
              </w:rPr>
            </w:pPr>
            <w:r>
              <w:rPr>
                <w:rFonts w:hint="eastAsia"/>
              </w:rPr>
              <w:t>8</w:t>
            </w:r>
            <w:r>
              <w:t>.</w:t>
            </w:r>
            <w:r>
              <w:rPr>
                <w:rFonts w:hint="eastAsia"/>
              </w:rPr>
              <w:t>2</w:t>
            </w:r>
          </w:p>
        </w:tc>
        <w:tc>
          <w:tcPr>
            <w:tcW w:w="138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132"/>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1.03</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1.02</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1.00</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21"/>
              </w:rPr>
              <w:t>0.93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2" w:hRule="atLeast"/>
          <w:jc w:val="center"/>
        </w:trPr>
        <w:tc>
          <w:tcPr>
            <w:tcW w:w="1304" w:type="dxa"/>
            <w:vMerge w:val="continue"/>
            <w:tcBorders>
              <w:top w:val="single" w:color="auto" w:sz="2" w:space="0"/>
              <w:bottom w:val="single" w:color="auto" w:sz="2" w:space="0"/>
              <w:right w:val="single" w:color="auto" w:sz="2" w:space="0"/>
            </w:tcBorders>
            <w:shd w:val="clear" w:color="auto" w:fill="auto"/>
            <w:vAlign w:val="center"/>
          </w:tcPr>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highlight w:val="red"/>
              </w:rPr>
            </w:pPr>
            <w:r>
              <w:rPr>
                <w:rFonts w:hint="eastAsia"/>
              </w:rPr>
              <w:t>8</w:t>
            </w:r>
            <w:r>
              <w:t>.</w:t>
            </w:r>
            <w:r>
              <w:rPr>
                <w:rFonts w:hint="eastAsia"/>
              </w:rPr>
              <w:t>3</w:t>
            </w:r>
          </w:p>
        </w:tc>
        <w:tc>
          <w:tcPr>
            <w:tcW w:w="138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132"/>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1.04</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1.04</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1.05</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21"/>
              </w:rPr>
              <w:t>1.05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2" w:hRule="atLeast"/>
          <w:jc w:val="center"/>
        </w:trPr>
        <w:tc>
          <w:tcPr>
            <w:tcW w:w="1304" w:type="dxa"/>
            <w:vMerge w:val="continue"/>
            <w:tcBorders>
              <w:top w:val="single" w:color="auto" w:sz="2" w:space="0"/>
              <w:bottom w:val="single" w:color="auto" w:sz="2" w:space="0"/>
              <w:right w:val="single" w:color="auto" w:sz="2" w:space="0"/>
            </w:tcBorders>
            <w:shd w:val="clear" w:color="auto" w:fill="auto"/>
            <w:vAlign w:val="center"/>
          </w:tcPr>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highlight w:val="red"/>
              </w:rPr>
            </w:pPr>
            <w:r>
              <w:rPr>
                <w:rFonts w:hint="eastAsia"/>
              </w:rPr>
              <w:t>8</w:t>
            </w:r>
            <w:r>
              <w:t>.</w:t>
            </w:r>
            <w:r>
              <w:rPr>
                <w:rFonts w:hint="eastAsia"/>
              </w:rPr>
              <w:t>4</w:t>
            </w:r>
          </w:p>
        </w:tc>
        <w:tc>
          <w:tcPr>
            <w:tcW w:w="138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132"/>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1.03</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1.01</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0.98</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21"/>
              </w:rPr>
              <w:t>1.00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2" w:hRule="atLeast"/>
          <w:jc w:val="center"/>
        </w:trPr>
        <w:tc>
          <w:tcPr>
            <w:tcW w:w="1304" w:type="dxa"/>
            <w:vMerge w:val="continue"/>
            <w:tcBorders>
              <w:top w:val="single" w:color="auto" w:sz="2" w:space="0"/>
              <w:bottom w:val="single" w:color="auto" w:sz="2" w:space="0"/>
              <w:right w:val="single" w:color="auto" w:sz="2" w:space="0"/>
            </w:tcBorders>
            <w:shd w:val="clear" w:color="auto" w:fill="auto"/>
            <w:vAlign w:val="center"/>
          </w:tcPr>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highlight w:val="red"/>
              </w:rPr>
            </w:pPr>
            <w:r>
              <w:rPr>
                <w:rFonts w:hint="eastAsia"/>
              </w:rPr>
              <w:t>8</w:t>
            </w:r>
            <w:r>
              <w:t>.</w:t>
            </w:r>
            <w:r>
              <w:rPr>
                <w:rFonts w:hint="eastAsia"/>
              </w:rPr>
              <w:t>5</w:t>
            </w:r>
          </w:p>
        </w:tc>
        <w:tc>
          <w:tcPr>
            <w:tcW w:w="138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132"/>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1.05</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1.07</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1.04</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21"/>
              </w:rPr>
              <w:t>1.04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jc w:val="center"/>
        </w:trPr>
        <w:tc>
          <w:tcPr>
            <w:tcW w:w="1304" w:type="dxa"/>
            <w:vMerge w:val="continue"/>
            <w:tcBorders>
              <w:top w:val="single" w:color="auto" w:sz="2" w:space="0"/>
              <w:bottom w:val="single" w:color="auto" w:sz="2" w:space="0"/>
              <w:right w:val="single" w:color="auto" w:sz="2" w:space="0"/>
            </w:tcBorders>
            <w:shd w:val="clear" w:color="auto" w:fill="auto"/>
            <w:vAlign w:val="center"/>
          </w:tcPr>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highlight w:val="red"/>
              </w:rPr>
            </w:pPr>
            <w:r>
              <w:rPr>
                <w:rFonts w:hint="eastAsia"/>
              </w:rPr>
              <w:t>8</w:t>
            </w:r>
            <w:r>
              <w:t>.</w:t>
            </w:r>
            <w:r>
              <w:rPr>
                <w:rFonts w:hint="eastAsia"/>
              </w:rPr>
              <w:t>6</w:t>
            </w:r>
          </w:p>
        </w:tc>
        <w:tc>
          <w:tcPr>
            <w:tcW w:w="138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132"/>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0.93</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0.94</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0.94</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21"/>
              </w:rPr>
              <w:t>0.97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jc w:val="center"/>
        </w:trPr>
        <w:tc>
          <w:tcPr>
            <w:tcW w:w="1304" w:type="dxa"/>
            <w:vMerge w:val="restart"/>
            <w:tcBorders>
              <w:top w:val="single" w:color="auto" w:sz="2" w:space="0"/>
              <w:right w:val="single" w:color="auto" w:sz="2" w:space="0"/>
            </w:tcBorders>
            <w:shd w:val="clear" w:color="auto" w:fill="auto"/>
            <w:vAlign w:val="center"/>
          </w:tcPr>
          <w:p>
            <w:pPr>
              <w:pStyle w:val="132"/>
            </w:pPr>
            <w:r>
              <w:rPr>
                <w:rFonts w:hint="eastAsia"/>
              </w:rPr>
              <w:t>普陆4集气平台所在地南侧约220m住户处2#</w:t>
            </w: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szCs w:val="21"/>
                <w:highlight w:val="red"/>
              </w:rPr>
            </w:pPr>
            <w:r>
              <w:rPr>
                <w:rFonts w:hint="eastAsia"/>
              </w:rPr>
              <w:t>7</w:t>
            </w:r>
            <w:r>
              <w:t>.</w:t>
            </w:r>
            <w:r>
              <w:rPr>
                <w:rFonts w:hint="eastAsia"/>
              </w:rPr>
              <w:t>31</w:t>
            </w:r>
          </w:p>
        </w:tc>
        <w:tc>
          <w:tcPr>
            <w:tcW w:w="1389" w:type="dxa"/>
            <w:vMerge w:val="restart"/>
            <w:tcBorders>
              <w:top w:val="single" w:color="auto" w:sz="2" w:space="0"/>
              <w:left w:val="single" w:color="auto" w:sz="2" w:space="0"/>
              <w:right w:val="single" w:color="auto" w:sz="2" w:space="0"/>
            </w:tcBorders>
            <w:shd w:val="clear" w:color="auto" w:fill="auto"/>
            <w:vAlign w:val="center"/>
          </w:tcPr>
          <w:p>
            <w:pPr>
              <w:pStyle w:val="132"/>
            </w:pPr>
            <w:r>
              <w:rPr>
                <w:rFonts w:hint="eastAsia"/>
                <w:szCs w:val="21"/>
              </w:rPr>
              <w:t>非甲烷总烃</w:t>
            </w: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18"/>
              </w:rPr>
              <w:t>0.84</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18"/>
              </w:rPr>
              <w:t>1.18</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18"/>
              </w:rPr>
              <w:t>1.03</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18"/>
              </w:rPr>
              <w:t>1.29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jc w:val="center"/>
        </w:trPr>
        <w:tc>
          <w:tcPr>
            <w:tcW w:w="1304" w:type="dxa"/>
            <w:vMerge w:val="continue"/>
            <w:tcBorders>
              <w:right w:val="single" w:color="auto" w:sz="2" w:space="0"/>
            </w:tcBorders>
            <w:shd w:val="clear" w:color="auto" w:fill="auto"/>
            <w:vAlign w:val="center"/>
          </w:tcPr>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highlight w:val="red"/>
              </w:rPr>
            </w:pPr>
            <w:r>
              <w:rPr>
                <w:rFonts w:hint="eastAsia"/>
              </w:rPr>
              <w:t>8</w:t>
            </w:r>
            <w:r>
              <w:t>.</w:t>
            </w:r>
            <w:r>
              <w:rPr>
                <w:rFonts w:hint="eastAsia"/>
              </w:rPr>
              <w:t>1</w:t>
            </w:r>
          </w:p>
        </w:tc>
        <w:tc>
          <w:tcPr>
            <w:tcW w:w="1389" w:type="dxa"/>
            <w:vMerge w:val="continue"/>
            <w:tcBorders>
              <w:left w:val="single" w:color="auto" w:sz="2" w:space="0"/>
              <w:right w:val="single" w:color="auto" w:sz="2" w:space="0"/>
            </w:tcBorders>
            <w:shd w:val="clear" w:color="auto" w:fill="auto"/>
            <w:vAlign w:val="center"/>
          </w:tcPr>
          <w:p>
            <w:pPr>
              <w:pStyle w:val="132"/>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18"/>
              </w:rPr>
              <w:t>1.19</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18"/>
              </w:rPr>
              <w:t>1.20</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18"/>
              </w:rPr>
              <w:t>1.19</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18"/>
              </w:rPr>
              <w:t>1.18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3" w:hRule="atLeast"/>
          <w:jc w:val="center"/>
        </w:trPr>
        <w:tc>
          <w:tcPr>
            <w:tcW w:w="1304" w:type="dxa"/>
            <w:vMerge w:val="continue"/>
            <w:tcBorders>
              <w:right w:val="single" w:color="auto" w:sz="2" w:space="0"/>
            </w:tcBorders>
            <w:shd w:val="clear" w:color="auto" w:fill="auto"/>
            <w:vAlign w:val="center"/>
          </w:tcPr>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highlight w:val="red"/>
              </w:rPr>
            </w:pPr>
            <w:r>
              <w:rPr>
                <w:rFonts w:hint="eastAsia"/>
              </w:rPr>
              <w:t>8</w:t>
            </w:r>
            <w:r>
              <w:t>.</w:t>
            </w:r>
            <w:r>
              <w:rPr>
                <w:rFonts w:hint="eastAsia"/>
              </w:rPr>
              <w:t>2</w:t>
            </w:r>
          </w:p>
        </w:tc>
        <w:tc>
          <w:tcPr>
            <w:tcW w:w="1389" w:type="dxa"/>
            <w:vMerge w:val="continue"/>
            <w:tcBorders>
              <w:left w:val="single" w:color="auto" w:sz="2" w:space="0"/>
              <w:right w:val="single" w:color="auto" w:sz="2" w:space="0"/>
            </w:tcBorders>
            <w:shd w:val="clear" w:color="auto" w:fill="auto"/>
            <w:vAlign w:val="center"/>
          </w:tcPr>
          <w:p>
            <w:pPr>
              <w:pStyle w:val="132"/>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18"/>
              </w:rPr>
              <w:t>1.24</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18"/>
              </w:rPr>
              <w:t>1.24</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18"/>
              </w:rPr>
              <w:t>1.22</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18"/>
              </w:rPr>
              <w:t>1.19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jc w:val="center"/>
        </w:trPr>
        <w:tc>
          <w:tcPr>
            <w:tcW w:w="1304" w:type="dxa"/>
            <w:vMerge w:val="continue"/>
            <w:tcBorders>
              <w:right w:val="single" w:color="auto" w:sz="2" w:space="0"/>
            </w:tcBorders>
            <w:shd w:val="clear" w:color="auto" w:fill="auto"/>
            <w:vAlign w:val="center"/>
          </w:tcPr>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highlight w:val="red"/>
              </w:rPr>
            </w:pPr>
            <w:r>
              <w:rPr>
                <w:rFonts w:hint="eastAsia"/>
              </w:rPr>
              <w:t>8</w:t>
            </w:r>
            <w:r>
              <w:t>.</w:t>
            </w:r>
            <w:r>
              <w:rPr>
                <w:rFonts w:hint="eastAsia"/>
              </w:rPr>
              <w:t>3</w:t>
            </w:r>
          </w:p>
        </w:tc>
        <w:tc>
          <w:tcPr>
            <w:tcW w:w="1389" w:type="dxa"/>
            <w:vMerge w:val="continue"/>
            <w:tcBorders>
              <w:left w:val="single" w:color="auto" w:sz="2" w:space="0"/>
              <w:right w:val="single" w:color="auto" w:sz="2" w:space="0"/>
            </w:tcBorders>
            <w:shd w:val="clear" w:color="auto" w:fill="auto"/>
            <w:vAlign w:val="center"/>
          </w:tcPr>
          <w:p>
            <w:pPr>
              <w:pStyle w:val="132"/>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18"/>
              </w:rPr>
              <w:t>1.33</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18"/>
              </w:rPr>
              <w:t>1.32</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18"/>
              </w:rPr>
              <w:t>1.30</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18"/>
              </w:rPr>
              <w:t>1.27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jc w:val="center"/>
        </w:trPr>
        <w:tc>
          <w:tcPr>
            <w:tcW w:w="1304" w:type="dxa"/>
            <w:vMerge w:val="continue"/>
            <w:tcBorders>
              <w:right w:val="single" w:color="auto" w:sz="2" w:space="0"/>
            </w:tcBorders>
            <w:shd w:val="clear" w:color="auto" w:fill="auto"/>
            <w:vAlign w:val="center"/>
          </w:tcPr>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highlight w:val="red"/>
              </w:rPr>
            </w:pPr>
            <w:r>
              <w:rPr>
                <w:rFonts w:hint="eastAsia"/>
              </w:rPr>
              <w:t>8</w:t>
            </w:r>
            <w:r>
              <w:t>.</w:t>
            </w:r>
            <w:r>
              <w:rPr>
                <w:rFonts w:hint="eastAsia"/>
              </w:rPr>
              <w:t>4</w:t>
            </w:r>
          </w:p>
        </w:tc>
        <w:tc>
          <w:tcPr>
            <w:tcW w:w="1389" w:type="dxa"/>
            <w:vMerge w:val="continue"/>
            <w:tcBorders>
              <w:left w:val="single" w:color="auto" w:sz="2" w:space="0"/>
              <w:right w:val="single" w:color="auto" w:sz="2" w:space="0"/>
            </w:tcBorders>
            <w:shd w:val="clear" w:color="auto" w:fill="auto"/>
            <w:vAlign w:val="center"/>
          </w:tcPr>
          <w:p>
            <w:pPr>
              <w:pStyle w:val="132"/>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18"/>
              </w:rPr>
              <w:t>1.24</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18"/>
              </w:rPr>
              <w:t>1.24</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18"/>
              </w:rPr>
              <w:t>1.25</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18"/>
              </w:rPr>
              <w:t>1.24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jc w:val="center"/>
        </w:trPr>
        <w:tc>
          <w:tcPr>
            <w:tcW w:w="1304" w:type="dxa"/>
            <w:vMerge w:val="continue"/>
            <w:tcBorders>
              <w:right w:val="single" w:color="auto" w:sz="2" w:space="0"/>
            </w:tcBorders>
            <w:shd w:val="clear" w:color="auto" w:fill="auto"/>
            <w:vAlign w:val="center"/>
          </w:tcPr>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highlight w:val="red"/>
              </w:rPr>
            </w:pPr>
            <w:r>
              <w:rPr>
                <w:rFonts w:hint="eastAsia"/>
              </w:rPr>
              <w:t>8</w:t>
            </w:r>
            <w:r>
              <w:t>.</w:t>
            </w:r>
            <w:r>
              <w:rPr>
                <w:rFonts w:hint="eastAsia"/>
              </w:rPr>
              <w:t>5</w:t>
            </w:r>
          </w:p>
        </w:tc>
        <w:tc>
          <w:tcPr>
            <w:tcW w:w="1389" w:type="dxa"/>
            <w:vMerge w:val="continue"/>
            <w:tcBorders>
              <w:left w:val="single" w:color="auto" w:sz="2" w:space="0"/>
              <w:right w:val="single" w:color="auto" w:sz="2" w:space="0"/>
            </w:tcBorders>
            <w:shd w:val="clear" w:color="auto" w:fill="auto"/>
            <w:vAlign w:val="center"/>
          </w:tcPr>
          <w:p>
            <w:pPr>
              <w:pStyle w:val="132"/>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18"/>
              </w:rPr>
              <w:t>1.21</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18"/>
              </w:rPr>
              <w:t>1.22</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18"/>
              </w:rPr>
              <w:t>1.22</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18"/>
              </w:rPr>
              <w:t>1.21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jc w:val="center"/>
        </w:trPr>
        <w:tc>
          <w:tcPr>
            <w:tcW w:w="1304" w:type="dxa"/>
            <w:vMerge w:val="continue"/>
            <w:tcBorders>
              <w:bottom w:val="single" w:color="auto" w:sz="2" w:space="0"/>
              <w:right w:val="single" w:color="auto" w:sz="2" w:space="0"/>
            </w:tcBorders>
            <w:shd w:val="clear" w:color="auto" w:fill="auto"/>
            <w:vAlign w:val="center"/>
          </w:tcPr>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highlight w:val="red"/>
              </w:rPr>
            </w:pPr>
            <w:r>
              <w:rPr>
                <w:rFonts w:hint="eastAsia"/>
              </w:rPr>
              <w:t>8</w:t>
            </w:r>
            <w:r>
              <w:t>.</w:t>
            </w:r>
            <w:r>
              <w:rPr>
                <w:rFonts w:hint="eastAsia"/>
              </w:rPr>
              <w:t>6</w:t>
            </w:r>
          </w:p>
        </w:tc>
        <w:tc>
          <w:tcPr>
            <w:tcW w:w="1389" w:type="dxa"/>
            <w:vMerge w:val="continue"/>
            <w:tcBorders>
              <w:left w:val="single" w:color="auto" w:sz="2" w:space="0"/>
              <w:bottom w:val="single" w:color="auto" w:sz="2" w:space="0"/>
              <w:right w:val="single" w:color="auto" w:sz="2" w:space="0"/>
            </w:tcBorders>
            <w:shd w:val="clear" w:color="auto" w:fill="auto"/>
            <w:vAlign w:val="center"/>
          </w:tcPr>
          <w:p>
            <w:pPr>
              <w:pStyle w:val="132"/>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18"/>
              </w:rPr>
              <w:t>1.07</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18"/>
              </w:rPr>
              <w:t>1.07</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18"/>
              </w:rPr>
              <w:t>1.07</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18"/>
              </w:rPr>
              <w:t>1.06</w:t>
            </w:r>
          </w:p>
        </w:tc>
      </w:tr>
    </w:tbl>
    <w:p>
      <w:pPr>
        <w:pStyle w:val="37"/>
        <w:rPr>
          <w:rStyle w:val="534"/>
          <w:rFonts w:cs="Times New Roman"/>
          <w:sz w:val="21"/>
        </w:rPr>
      </w:pPr>
      <w:r>
        <w:rPr>
          <w:rStyle w:val="534"/>
          <w:rFonts w:cs="Times New Roman"/>
          <w:sz w:val="21"/>
        </w:rPr>
        <w:t>表5.3-2  环境空气质量现状监测结果 单位：mg/m</w:t>
      </w:r>
      <w:r>
        <w:rPr>
          <w:rStyle w:val="534"/>
          <w:rFonts w:cs="Times New Roman"/>
          <w:sz w:val="21"/>
          <w:vertAlign w:val="superscript"/>
        </w:rPr>
        <w:t>3</w:t>
      </w:r>
    </w:p>
    <w:tbl>
      <w:tblPr>
        <w:tblStyle w:val="57"/>
        <w:tblW w:w="8796"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04"/>
        <w:gridCol w:w="1096"/>
        <w:gridCol w:w="1389"/>
        <w:gridCol w:w="1418"/>
        <w:gridCol w:w="1362"/>
        <w:gridCol w:w="1140"/>
        <w:gridCol w:w="108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3" w:hRule="atLeast"/>
          <w:jc w:val="center"/>
        </w:trPr>
        <w:tc>
          <w:tcPr>
            <w:tcW w:w="1304" w:type="dxa"/>
            <w:tcBorders>
              <w:top w:val="single" w:color="auto" w:sz="12" w:space="0"/>
              <w:bottom w:val="single" w:color="auto" w:sz="2" w:space="0"/>
              <w:right w:val="single" w:color="auto" w:sz="2" w:space="0"/>
            </w:tcBorders>
            <w:shd w:val="clear" w:color="auto" w:fill="auto"/>
            <w:vAlign w:val="center"/>
          </w:tcPr>
          <w:p>
            <w:pPr>
              <w:pStyle w:val="132"/>
              <w:rPr>
                <w:b/>
                <w:bCs/>
              </w:rPr>
            </w:pPr>
            <w:r>
              <w:rPr>
                <w:b/>
                <w:bCs/>
              </w:rPr>
              <w:t>监测点位</w:t>
            </w:r>
          </w:p>
        </w:tc>
        <w:tc>
          <w:tcPr>
            <w:tcW w:w="1096" w:type="dxa"/>
            <w:tcBorders>
              <w:top w:val="single" w:color="auto" w:sz="12" w:space="0"/>
              <w:left w:val="single" w:color="auto" w:sz="2" w:space="0"/>
              <w:bottom w:val="single" w:color="auto" w:sz="2" w:space="0"/>
              <w:right w:val="single" w:color="auto" w:sz="2" w:space="0"/>
            </w:tcBorders>
            <w:shd w:val="clear" w:color="auto" w:fill="auto"/>
            <w:vAlign w:val="center"/>
          </w:tcPr>
          <w:p>
            <w:pPr>
              <w:pStyle w:val="132"/>
              <w:rPr>
                <w:b/>
                <w:bCs/>
                <w:szCs w:val="21"/>
              </w:rPr>
            </w:pPr>
            <w:r>
              <w:rPr>
                <w:b/>
                <w:bCs/>
                <w:szCs w:val="21"/>
              </w:rPr>
              <w:t>监测日期</w:t>
            </w:r>
          </w:p>
        </w:tc>
        <w:tc>
          <w:tcPr>
            <w:tcW w:w="1389" w:type="dxa"/>
            <w:tcBorders>
              <w:top w:val="single" w:color="auto" w:sz="12" w:space="0"/>
              <w:left w:val="single" w:color="auto" w:sz="2" w:space="0"/>
              <w:bottom w:val="single" w:color="auto" w:sz="2" w:space="0"/>
              <w:right w:val="single" w:color="auto" w:sz="2" w:space="0"/>
            </w:tcBorders>
            <w:shd w:val="clear" w:color="auto" w:fill="auto"/>
            <w:vAlign w:val="center"/>
          </w:tcPr>
          <w:p>
            <w:pPr>
              <w:pStyle w:val="132"/>
              <w:rPr>
                <w:b/>
                <w:bCs/>
                <w:szCs w:val="21"/>
              </w:rPr>
            </w:pPr>
            <w:r>
              <w:rPr>
                <w:b/>
                <w:bCs/>
                <w:szCs w:val="21"/>
              </w:rPr>
              <w:t>项目</w:t>
            </w:r>
          </w:p>
        </w:tc>
        <w:tc>
          <w:tcPr>
            <w:tcW w:w="1418" w:type="dxa"/>
            <w:tcBorders>
              <w:top w:val="single" w:color="auto" w:sz="12" w:space="0"/>
              <w:left w:val="single" w:color="auto" w:sz="2" w:space="0"/>
              <w:bottom w:val="single" w:color="auto" w:sz="2" w:space="0"/>
              <w:right w:val="single" w:color="auto" w:sz="2" w:space="0"/>
            </w:tcBorders>
            <w:shd w:val="clear" w:color="auto" w:fill="auto"/>
            <w:vAlign w:val="center"/>
          </w:tcPr>
          <w:p>
            <w:pPr>
              <w:pStyle w:val="132"/>
              <w:rPr>
                <w:b/>
                <w:bCs/>
              </w:rPr>
            </w:pPr>
            <w:r>
              <w:rPr>
                <w:rFonts w:hint="eastAsia"/>
                <w:b/>
                <w:bCs/>
              </w:rPr>
              <w:t>第一次</w:t>
            </w:r>
          </w:p>
        </w:tc>
        <w:tc>
          <w:tcPr>
            <w:tcW w:w="1362" w:type="dxa"/>
            <w:tcBorders>
              <w:top w:val="single" w:color="auto" w:sz="12" w:space="0"/>
              <w:left w:val="single" w:color="auto" w:sz="2" w:space="0"/>
              <w:bottom w:val="single" w:color="auto" w:sz="2" w:space="0"/>
              <w:right w:val="single" w:color="auto" w:sz="2" w:space="0"/>
            </w:tcBorders>
            <w:shd w:val="clear" w:color="auto" w:fill="auto"/>
            <w:vAlign w:val="center"/>
          </w:tcPr>
          <w:p>
            <w:pPr>
              <w:pStyle w:val="132"/>
              <w:rPr>
                <w:b/>
                <w:bCs/>
              </w:rPr>
            </w:pPr>
            <w:r>
              <w:rPr>
                <w:rFonts w:hint="eastAsia"/>
                <w:b/>
                <w:bCs/>
              </w:rPr>
              <w:t>第二次</w:t>
            </w:r>
          </w:p>
        </w:tc>
        <w:tc>
          <w:tcPr>
            <w:tcW w:w="1140" w:type="dxa"/>
            <w:tcBorders>
              <w:top w:val="single" w:color="auto" w:sz="12" w:space="0"/>
              <w:left w:val="single" w:color="auto" w:sz="2" w:space="0"/>
              <w:bottom w:val="single" w:color="auto" w:sz="2" w:space="0"/>
              <w:right w:val="single" w:color="auto" w:sz="2" w:space="0"/>
            </w:tcBorders>
            <w:shd w:val="clear" w:color="auto" w:fill="auto"/>
            <w:vAlign w:val="center"/>
          </w:tcPr>
          <w:p>
            <w:pPr>
              <w:pStyle w:val="132"/>
              <w:rPr>
                <w:b/>
                <w:bCs/>
              </w:rPr>
            </w:pPr>
            <w:r>
              <w:rPr>
                <w:rFonts w:hint="eastAsia"/>
                <w:b/>
                <w:bCs/>
              </w:rPr>
              <w:t>第三次</w:t>
            </w:r>
          </w:p>
        </w:tc>
        <w:tc>
          <w:tcPr>
            <w:tcW w:w="1087" w:type="dxa"/>
            <w:tcBorders>
              <w:top w:val="single" w:color="auto" w:sz="12" w:space="0"/>
              <w:left w:val="single" w:color="auto" w:sz="2" w:space="0"/>
              <w:bottom w:val="single" w:color="auto" w:sz="2" w:space="0"/>
            </w:tcBorders>
            <w:shd w:val="clear" w:color="auto" w:fill="auto"/>
            <w:vAlign w:val="center"/>
          </w:tcPr>
          <w:p>
            <w:pPr>
              <w:pStyle w:val="132"/>
              <w:rPr>
                <w:b/>
                <w:bCs/>
              </w:rPr>
            </w:pPr>
            <w:r>
              <w:rPr>
                <w:rFonts w:hint="eastAsia"/>
                <w:b/>
                <w:bCs/>
              </w:rPr>
              <w:t>第四次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1304" w:type="dxa"/>
            <w:vMerge w:val="restart"/>
            <w:tcBorders>
              <w:top w:val="single" w:color="auto" w:sz="2" w:space="0"/>
              <w:bottom w:val="single" w:color="auto" w:sz="2" w:space="0"/>
              <w:right w:val="single" w:color="auto" w:sz="2" w:space="0"/>
            </w:tcBorders>
            <w:shd w:val="clear" w:color="auto" w:fill="auto"/>
            <w:vAlign w:val="center"/>
          </w:tcPr>
          <w:p>
            <w:pPr>
              <w:pStyle w:val="132"/>
            </w:pPr>
            <w:r>
              <w:rPr>
                <w:rFonts w:hint="eastAsia"/>
              </w:rPr>
              <w:t>普陆4集气平台所在地西南侧1#</w:t>
            </w:r>
          </w:p>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szCs w:val="21"/>
                <w:highlight w:val="red"/>
              </w:rPr>
            </w:pPr>
            <w:r>
              <w:rPr>
                <w:rFonts w:hint="eastAsia"/>
              </w:rPr>
              <w:t>7</w:t>
            </w:r>
            <w:r>
              <w:t>.</w:t>
            </w:r>
            <w:r>
              <w:rPr>
                <w:rFonts w:hint="eastAsia"/>
              </w:rPr>
              <w:t>31</w:t>
            </w:r>
          </w:p>
        </w:tc>
        <w:tc>
          <w:tcPr>
            <w:tcW w:w="1389"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21"/>
              </w:rPr>
            </w:pPr>
            <w:r>
              <w:rPr>
                <w:szCs w:val="21"/>
              </w:rPr>
              <w:t>硫化氢</w:t>
            </w: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0.003</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0.002</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0.002</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21"/>
              </w:rPr>
              <w:t>0.003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2" w:hRule="atLeast"/>
          <w:jc w:val="center"/>
        </w:trPr>
        <w:tc>
          <w:tcPr>
            <w:tcW w:w="1304" w:type="dxa"/>
            <w:vMerge w:val="continue"/>
            <w:tcBorders>
              <w:top w:val="single" w:color="auto" w:sz="2" w:space="0"/>
              <w:bottom w:val="single" w:color="auto" w:sz="2" w:space="0"/>
              <w:right w:val="single" w:color="auto" w:sz="2" w:space="0"/>
            </w:tcBorders>
            <w:shd w:val="clear" w:color="auto" w:fill="auto"/>
            <w:vAlign w:val="center"/>
          </w:tcPr>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highlight w:val="red"/>
              </w:rPr>
            </w:pPr>
            <w:r>
              <w:rPr>
                <w:rFonts w:hint="eastAsia"/>
              </w:rPr>
              <w:t>8</w:t>
            </w:r>
            <w:r>
              <w:t>.</w:t>
            </w:r>
            <w:r>
              <w:rPr>
                <w:rFonts w:hint="eastAsia"/>
              </w:rPr>
              <w:t>1</w:t>
            </w:r>
          </w:p>
        </w:tc>
        <w:tc>
          <w:tcPr>
            <w:tcW w:w="138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132"/>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0.002</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0.002</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0.003</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21"/>
              </w:rPr>
              <w:t>0.001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2" w:hRule="atLeast"/>
          <w:jc w:val="center"/>
        </w:trPr>
        <w:tc>
          <w:tcPr>
            <w:tcW w:w="1304" w:type="dxa"/>
            <w:vMerge w:val="continue"/>
            <w:tcBorders>
              <w:top w:val="single" w:color="auto" w:sz="2" w:space="0"/>
              <w:bottom w:val="single" w:color="auto" w:sz="2" w:space="0"/>
              <w:right w:val="single" w:color="auto" w:sz="2" w:space="0"/>
            </w:tcBorders>
            <w:shd w:val="clear" w:color="auto" w:fill="auto"/>
            <w:vAlign w:val="center"/>
          </w:tcPr>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highlight w:val="red"/>
              </w:rPr>
            </w:pPr>
            <w:r>
              <w:rPr>
                <w:rFonts w:hint="eastAsia"/>
              </w:rPr>
              <w:t>8</w:t>
            </w:r>
            <w:r>
              <w:t>.</w:t>
            </w:r>
            <w:r>
              <w:rPr>
                <w:rFonts w:hint="eastAsia"/>
              </w:rPr>
              <w:t>2</w:t>
            </w:r>
          </w:p>
        </w:tc>
        <w:tc>
          <w:tcPr>
            <w:tcW w:w="138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132"/>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0.003</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0.002</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0.003</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21"/>
              </w:rPr>
              <w:t>0.003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2" w:hRule="atLeast"/>
          <w:jc w:val="center"/>
        </w:trPr>
        <w:tc>
          <w:tcPr>
            <w:tcW w:w="1304" w:type="dxa"/>
            <w:vMerge w:val="continue"/>
            <w:tcBorders>
              <w:top w:val="single" w:color="auto" w:sz="2" w:space="0"/>
              <w:bottom w:val="single" w:color="auto" w:sz="2" w:space="0"/>
              <w:right w:val="single" w:color="auto" w:sz="2" w:space="0"/>
            </w:tcBorders>
            <w:shd w:val="clear" w:color="auto" w:fill="auto"/>
            <w:vAlign w:val="center"/>
          </w:tcPr>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highlight w:val="red"/>
              </w:rPr>
            </w:pPr>
            <w:r>
              <w:rPr>
                <w:rFonts w:hint="eastAsia"/>
              </w:rPr>
              <w:t>8</w:t>
            </w:r>
            <w:r>
              <w:t>.</w:t>
            </w:r>
            <w:r>
              <w:rPr>
                <w:rFonts w:hint="eastAsia"/>
              </w:rPr>
              <w:t>3</w:t>
            </w:r>
          </w:p>
        </w:tc>
        <w:tc>
          <w:tcPr>
            <w:tcW w:w="138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132"/>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0.004</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0.004</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0.003</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21"/>
              </w:rPr>
              <w:t>0.003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2" w:hRule="atLeast"/>
          <w:jc w:val="center"/>
        </w:trPr>
        <w:tc>
          <w:tcPr>
            <w:tcW w:w="1304" w:type="dxa"/>
            <w:vMerge w:val="continue"/>
            <w:tcBorders>
              <w:top w:val="single" w:color="auto" w:sz="2" w:space="0"/>
              <w:bottom w:val="single" w:color="auto" w:sz="2" w:space="0"/>
              <w:right w:val="single" w:color="auto" w:sz="2" w:space="0"/>
            </w:tcBorders>
            <w:shd w:val="clear" w:color="auto" w:fill="auto"/>
            <w:vAlign w:val="center"/>
          </w:tcPr>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highlight w:val="red"/>
              </w:rPr>
            </w:pPr>
            <w:r>
              <w:rPr>
                <w:rFonts w:hint="eastAsia"/>
              </w:rPr>
              <w:t>8</w:t>
            </w:r>
            <w:r>
              <w:t>.</w:t>
            </w:r>
            <w:r>
              <w:rPr>
                <w:rFonts w:hint="eastAsia"/>
              </w:rPr>
              <w:t>4</w:t>
            </w:r>
          </w:p>
        </w:tc>
        <w:tc>
          <w:tcPr>
            <w:tcW w:w="138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132"/>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0.003</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0.003</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0.004</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21"/>
              </w:rPr>
              <w:t>0.002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2" w:hRule="atLeast"/>
          <w:jc w:val="center"/>
        </w:trPr>
        <w:tc>
          <w:tcPr>
            <w:tcW w:w="1304" w:type="dxa"/>
            <w:vMerge w:val="continue"/>
            <w:tcBorders>
              <w:top w:val="single" w:color="auto" w:sz="2" w:space="0"/>
              <w:bottom w:val="single" w:color="auto" w:sz="2" w:space="0"/>
              <w:right w:val="single" w:color="auto" w:sz="2" w:space="0"/>
            </w:tcBorders>
            <w:shd w:val="clear" w:color="auto" w:fill="auto"/>
            <w:vAlign w:val="center"/>
          </w:tcPr>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highlight w:val="red"/>
              </w:rPr>
            </w:pPr>
            <w:r>
              <w:rPr>
                <w:rFonts w:hint="eastAsia"/>
              </w:rPr>
              <w:t>8</w:t>
            </w:r>
            <w:r>
              <w:t>.</w:t>
            </w:r>
            <w:r>
              <w:rPr>
                <w:rFonts w:hint="eastAsia"/>
              </w:rPr>
              <w:t>5</w:t>
            </w:r>
          </w:p>
        </w:tc>
        <w:tc>
          <w:tcPr>
            <w:tcW w:w="138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132"/>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0.004</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0.004</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0.003</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21"/>
              </w:rPr>
              <w:t>0.004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jc w:val="center"/>
        </w:trPr>
        <w:tc>
          <w:tcPr>
            <w:tcW w:w="1304" w:type="dxa"/>
            <w:vMerge w:val="continue"/>
            <w:tcBorders>
              <w:top w:val="single" w:color="auto" w:sz="2" w:space="0"/>
              <w:bottom w:val="single" w:color="auto" w:sz="2" w:space="0"/>
              <w:right w:val="single" w:color="auto" w:sz="2" w:space="0"/>
            </w:tcBorders>
            <w:shd w:val="clear" w:color="auto" w:fill="auto"/>
            <w:vAlign w:val="center"/>
          </w:tcPr>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highlight w:val="red"/>
              </w:rPr>
            </w:pPr>
            <w:r>
              <w:rPr>
                <w:rFonts w:hint="eastAsia"/>
              </w:rPr>
              <w:t>8</w:t>
            </w:r>
            <w:r>
              <w:t>.</w:t>
            </w:r>
            <w:r>
              <w:rPr>
                <w:rFonts w:hint="eastAsia"/>
              </w:rPr>
              <w:t>6</w:t>
            </w:r>
          </w:p>
        </w:tc>
        <w:tc>
          <w:tcPr>
            <w:tcW w:w="138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132"/>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0.004</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0.004</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0.004</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21"/>
              </w:rPr>
              <w:t>0.004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jc w:val="center"/>
        </w:trPr>
        <w:tc>
          <w:tcPr>
            <w:tcW w:w="1304" w:type="dxa"/>
            <w:vMerge w:val="restart"/>
            <w:tcBorders>
              <w:top w:val="single" w:color="auto" w:sz="2" w:space="0"/>
              <w:right w:val="single" w:color="auto" w:sz="2" w:space="0"/>
            </w:tcBorders>
            <w:shd w:val="clear" w:color="auto" w:fill="auto"/>
            <w:vAlign w:val="center"/>
          </w:tcPr>
          <w:p>
            <w:pPr>
              <w:pStyle w:val="132"/>
            </w:pPr>
            <w:r>
              <w:rPr>
                <w:rFonts w:hint="eastAsia"/>
              </w:rPr>
              <w:t>普陆4集气平台所在地南侧约220m住户处2#</w:t>
            </w: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szCs w:val="21"/>
                <w:highlight w:val="red"/>
              </w:rPr>
            </w:pPr>
            <w:r>
              <w:rPr>
                <w:rFonts w:hint="eastAsia"/>
              </w:rPr>
              <w:t>7</w:t>
            </w:r>
            <w:r>
              <w:t>.</w:t>
            </w:r>
            <w:r>
              <w:rPr>
                <w:rFonts w:hint="eastAsia"/>
              </w:rPr>
              <w:t>31</w:t>
            </w:r>
          </w:p>
        </w:tc>
        <w:tc>
          <w:tcPr>
            <w:tcW w:w="1389" w:type="dxa"/>
            <w:vMerge w:val="restart"/>
            <w:tcBorders>
              <w:top w:val="single" w:color="auto" w:sz="2" w:space="0"/>
              <w:left w:val="single" w:color="auto" w:sz="2" w:space="0"/>
              <w:right w:val="single" w:color="auto" w:sz="2" w:space="0"/>
            </w:tcBorders>
            <w:shd w:val="clear" w:color="auto" w:fill="auto"/>
            <w:vAlign w:val="center"/>
          </w:tcPr>
          <w:p>
            <w:pPr>
              <w:pStyle w:val="132"/>
            </w:pPr>
            <w:r>
              <w:rPr>
                <w:szCs w:val="21"/>
              </w:rPr>
              <w:t>硫化氢</w:t>
            </w: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0.002</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0.002</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0.002</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21"/>
              </w:rPr>
              <w:t>0.003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jc w:val="center"/>
        </w:trPr>
        <w:tc>
          <w:tcPr>
            <w:tcW w:w="1304" w:type="dxa"/>
            <w:vMerge w:val="continue"/>
            <w:tcBorders>
              <w:right w:val="single" w:color="auto" w:sz="2" w:space="0"/>
            </w:tcBorders>
            <w:shd w:val="clear" w:color="auto" w:fill="auto"/>
            <w:vAlign w:val="center"/>
          </w:tcPr>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highlight w:val="red"/>
              </w:rPr>
            </w:pPr>
            <w:r>
              <w:rPr>
                <w:rFonts w:hint="eastAsia"/>
              </w:rPr>
              <w:t>8</w:t>
            </w:r>
            <w:r>
              <w:t>.</w:t>
            </w:r>
            <w:r>
              <w:rPr>
                <w:rFonts w:hint="eastAsia"/>
              </w:rPr>
              <w:t>1</w:t>
            </w:r>
          </w:p>
        </w:tc>
        <w:tc>
          <w:tcPr>
            <w:tcW w:w="1389" w:type="dxa"/>
            <w:vMerge w:val="continue"/>
            <w:tcBorders>
              <w:left w:val="single" w:color="auto" w:sz="2" w:space="0"/>
              <w:right w:val="single" w:color="auto" w:sz="2" w:space="0"/>
            </w:tcBorders>
            <w:shd w:val="clear" w:color="auto" w:fill="auto"/>
            <w:vAlign w:val="center"/>
          </w:tcPr>
          <w:p>
            <w:pPr>
              <w:pStyle w:val="132"/>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0.002</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0.002</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0.002</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21"/>
              </w:rPr>
              <w:t>0.002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jc w:val="center"/>
        </w:trPr>
        <w:tc>
          <w:tcPr>
            <w:tcW w:w="1304" w:type="dxa"/>
            <w:vMerge w:val="continue"/>
            <w:tcBorders>
              <w:right w:val="single" w:color="auto" w:sz="2" w:space="0"/>
            </w:tcBorders>
            <w:shd w:val="clear" w:color="auto" w:fill="auto"/>
            <w:vAlign w:val="center"/>
          </w:tcPr>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highlight w:val="red"/>
              </w:rPr>
            </w:pPr>
            <w:r>
              <w:rPr>
                <w:rFonts w:hint="eastAsia"/>
              </w:rPr>
              <w:t>8</w:t>
            </w:r>
            <w:r>
              <w:t>.</w:t>
            </w:r>
            <w:r>
              <w:rPr>
                <w:rFonts w:hint="eastAsia"/>
              </w:rPr>
              <w:t>2</w:t>
            </w:r>
          </w:p>
        </w:tc>
        <w:tc>
          <w:tcPr>
            <w:tcW w:w="1389" w:type="dxa"/>
            <w:vMerge w:val="continue"/>
            <w:tcBorders>
              <w:left w:val="single" w:color="auto" w:sz="2" w:space="0"/>
              <w:right w:val="single" w:color="auto" w:sz="2" w:space="0"/>
            </w:tcBorders>
            <w:shd w:val="clear" w:color="auto" w:fill="auto"/>
            <w:vAlign w:val="center"/>
          </w:tcPr>
          <w:p>
            <w:pPr>
              <w:pStyle w:val="132"/>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0.002</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0.002</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0.002</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21"/>
              </w:rPr>
              <w:t>0.002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jc w:val="center"/>
        </w:trPr>
        <w:tc>
          <w:tcPr>
            <w:tcW w:w="1304" w:type="dxa"/>
            <w:vMerge w:val="continue"/>
            <w:tcBorders>
              <w:right w:val="single" w:color="auto" w:sz="2" w:space="0"/>
            </w:tcBorders>
            <w:shd w:val="clear" w:color="auto" w:fill="auto"/>
            <w:vAlign w:val="center"/>
          </w:tcPr>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highlight w:val="red"/>
              </w:rPr>
            </w:pPr>
            <w:r>
              <w:rPr>
                <w:rFonts w:hint="eastAsia"/>
              </w:rPr>
              <w:t>8</w:t>
            </w:r>
            <w:r>
              <w:t>.</w:t>
            </w:r>
            <w:r>
              <w:rPr>
                <w:rFonts w:hint="eastAsia"/>
              </w:rPr>
              <w:t>3</w:t>
            </w:r>
          </w:p>
        </w:tc>
        <w:tc>
          <w:tcPr>
            <w:tcW w:w="1389" w:type="dxa"/>
            <w:vMerge w:val="continue"/>
            <w:tcBorders>
              <w:left w:val="single" w:color="auto" w:sz="2" w:space="0"/>
              <w:right w:val="single" w:color="auto" w:sz="2" w:space="0"/>
            </w:tcBorders>
            <w:shd w:val="clear" w:color="auto" w:fill="auto"/>
            <w:vAlign w:val="center"/>
          </w:tcPr>
          <w:p>
            <w:pPr>
              <w:pStyle w:val="132"/>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0.002</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0.002</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0.003</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21"/>
              </w:rPr>
              <w:t>0.003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98" w:hRule="atLeast"/>
          <w:jc w:val="center"/>
        </w:trPr>
        <w:tc>
          <w:tcPr>
            <w:tcW w:w="1304" w:type="dxa"/>
            <w:vMerge w:val="continue"/>
            <w:tcBorders>
              <w:right w:val="single" w:color="auto" w:sz="2" w:space="0"/>
            </w:tcBorders>
            <w:shd w:val="clear" w:color="auto" w:fill="auto"/>
            <w:vAlign w:val="center"/>
          </w:tcPr>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highlight w:val="red"/>
              </w:rPr>
            </w:pPr>
            <w:r>
              <w:rPr>
                <w:rFonts w:hint="eastAsia"/>
              </w:rPr>
              <w:t>8</w:t>
            </w:r>
            <w:r>
              <w:t>.</w:t>
            </w:r>
            <w:r>
              <w:rPr>
                <w:rFonts w:hint="eastAsia"/>
              </w:rPr>
              <w:t>4</w:t>
            </w:r>
          </w:p>
        </w:tc>
        <w:tc>
          <w:tcPr>
            <w:tcW w:w="1389" w:type="dxa"/>
            <w:vMerge w:val="continue"/>
            <w:tcBorders>
              <w:left w:val="single" w:color="auto" w:sz="2" w:space="0"/>
              <w:right w:val="single" w:color="auto" w:sz="2" w:space="0"/>
            </w:tcBorders>
            <w:shd w:val="clear" w:color="auto" w:fill="auto"/>
            <w:vAlign w:val="center"/>
          </w:tcPr>
          <w:p>
            <w:pPr>
              <w:pStyle w:val="132"/>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0.002</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0.003</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0.002</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21"/>
              </w:rPr>
              <w:t>0.002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jc w:val="center"/>
        </w:trPr>
        <w:tc>
          <w:tcPr>
            <w:tcW w:w="1304" w:type="dxa"/>
            <w:vMerge w:val="continue"/>
            <w:tcBorders>
              <w:right w:val="single" w:color="auto" w:sz="2" w:space="0"/>
            </w:tcBorders>
            <w:shd w:val="clear" w:color="auto" w:fill="auto"/>
            <w:vAlign w:val="center"/>
          </w:tcPr>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highlight w:val="red"/>
              </w:rPr>
            </w:pPr>
            <w:r>
              <w:rPr>
                <w:rFonts w:hint="eastAsia"/>
              </w:rPr>
              <w:t>8</w:t>
            </w:r>
            <w:r>
              <w:t>.</w:t>
            </w:r>
            <w:r>
              <w:rPr>
                <w:rFonts w:hint="eastAsia"/>
              </w:rPr>
              <w:t>5</w:t>
            </w:r>
          </w:p>
        </w:tc>
        <w:tc>
          <w:tcPr>
            <w:tcW w:w="1389" w:type="dxa"/>
            <w:vMerge w:val="continue"/>
            <w:tcBorders>
              <w:left w:val="single" w:color="auto" w:sz="2" w:space="0"/>
              <w:right w:val="single" w:color="auto" w:sz="2" w:space="0"/>
            </w:tcBorders>
            <w:shd w:val="clear" w:color="auto" w:fill="auto"/>
            <w:vAlign w:val="center"/>
          </w:tcPr>
          <w:p>
            <w:pPr>
              <w:pStyle w:val="132"/>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0.003</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0.002</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0.003</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21"/>
              </w:rPr>
              <w:t>0.002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0" w:hRule="atLeast"/>
          <w:jc w:val="center"/>
        </w:trPr>
        <w:tc>
          <w:tcPr>
            <w:tcW w:w="1304" w:type="dxa"/>
            <w:vMerge w:val="continue"/>
            <w:tcBorders>
              <w:bottom w:val="single" w:color="auto" w:sz="2" w:space="0"/>
              <w:right w:val="single" w:color="auto" w:sz="2" w:space="0"/>
            </w:tcBorders>
            <w:shd w:val="clear" w:color="auto" w:fill="auto"/>
            <w:vAlign w:val="center"/>
          </w:tcPr>
          <w:p>
            <w:pPr>
              <w:pStyle w:val="132"/>
            </w:pPr>
          </w:p>
        </w:tc>
        <w:tc>
          <w:tcPr>
            <w:tcW w:w="1096" w:type="dxa"/>
            <w:tcBorders>
              <w:top w:val="single" w:color="auto" w:sz="2" w:space="0"/>
              <w:left w:val="single" w:color="auto" w:sz="2" w:space="0"/>
              <w:bottom w:val="single" w:color="auto" w:sz="2" w:space="0"/>
              <w:right w:val="single" w:color="auto" w:sz="2" w:space="0"/>
            </w:tcBorders>
            <w:shd w:val="clear" w:color="auto" w:fill="auto"/>
          </w:tcPr>
          <w:p>
            <w:pPr>
              <w:pStyle w:val="132"/>
              <w:rPr>
                <w:highlight w:val="red"/>
              </w:rPr>
            </w:pPr>
            <w:r>
              <w:rPr>
                <w:rFonts w:hint="eastAsia"/>
              </w:rPr>
              <w:t>8</w:t>
            </w:r>
            <w:r>
              <w:t>.</w:t>
            </w:r>
            <w:r>
              <w:rPr>
                <w:rFonts w:hint="eastAsia"/>
              </w:rPr>
              <w:t>6</w:t>
            </w:r>
          </w:p>
        </w:tc>
        <w:tc>
          <w:tcPr>
            <w:tcW w:w="1389" w:type="dxa"/>
            <w:vMerge w:val="continue"/>
            <w:tcBorders>
              <w:left w:val="single" w:color="auto" w:sz="2" w:space="0"/>
              <w:bottom w:val="single" w:color="auto" w:sz="2" w:space="0"/>
              <w:right w:val="single" w:color="auto" w:sz="2" w:space="0"/>
            </w:tcBorders>
            <w:shd w:val="clear" w:color="auto" w:fill="auto"/>
            <w:vAlign w:val="center"/>
          </w:tcPr>
          <w:p>
            <w:pPr>
              <w:pStyle w:val="132"/>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0.003</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0.002</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2"/>
              <w:rPr>
                <w:szCs w:val="18"/>
              </w:rPr>
            </w:pPr>
            <w:r>
              <w:rPr>
                <w:rFonts w:hint="eastAsia"/>
                <w:szCs w:val="21"/>
              </w:rPr>
              <w:t>0.002</w:t>
            </w:r>
          </w:p>
        </w:tc>
        <w:tc>
          <w:tcPr>
            <w:tcW w:w="1087" w:type="dxa"/>
            <w:tcBorders>
              <w:top w:val="single" w:color="auto" w:sz="2" w:space="0"/>
              <w:left w:val="single" w:color="auto" w:sz="2" w:space="0"/>
              <w:bottom w:val="single" w:color="auto" w:sz="2" w:space="0"/>
            </w:tcBorders>
            <w:shd w:val="clear" w:color="auto" w:fill="auto"/>
            <w:vAlign w:val="center"/>
          </w:tcPr>
          <w:p>
            <w:pPr>
              <w:pStyle w:val="132"/>
              <w:rPr>
                <w:szCs w:val="18"/>
              </w:rPr>
            </w:pPr>
            <w:r>
              <w:rPr>
                <w:rFonts w:hint="eastAsia"/>
                <w:szCs w:val="21"/>
              </w:rPr>
              <w:t>0.003</w:t>
            </w:r>
          </w:p>
        </w:tc>
      </w:tr>
    </w:tbl>
    <w:p>
      <w:pPr>
        <w:pStyle w:val="37"/>
        <w:rPr>
          <w:rFonts w:cs="Times New Roman"/>
          <w:vertAlign w:val="superscript"/>
        </w:rPr>
      </w:pPr>
      <w:r>
        <w:rPr>
          <w:rFonts w:cs="Times New Roman"/>
        </w:rPr>
        <w:t>表5.3-3  环境空气质量现状及评价  单位：mg/m</w:t>
      </w:r>
      <w:r>
        <w:rPr>
          <w:rFonts w:cs="Times New Roman"/>
          <w:vertAlign w:val="superscript"/>
        </w:rPr>
        <w:t>3</w:t>
      </w:r>
    </w:p>
    <w:tbl>
      <w:tblPr>
        <w:tblStyle w:val="57"/>
        <w:tblW w:w="8791"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661"/>
        <w:gridCol w:w="735"/>
        <w:gridCol w:w="1290"/>
        <w:gridCol w:w="709"/>
        <w:gridCol w:w="1826"/>
        <w:gridCol w:w="1149"/>
        <w:gridCol w:w="700"/>
        <w:gridCol w:w="72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88" w:hRule="atLeast"/>
          <w:jc w:val="center"/>
        </w:trPr>
        <w:tc>
          <w:tcPr>
            <w:tcW w:w="1661" w:type="dxa"/>
            <w:vAlign w:val="center"/>
          </w:tcPr>
          <w:p>
            <w:pPr>
              <w:pStyle w:val="132"/>
              <w:rPr>
                <w:b/>
                <w:bCs/>
              </w:rPr>
            </w:pPr>
            <w:r>
              <w:rPr>
                <w:b/>
                <w:bCs/>
              </w:rPr>
              <w:t>监测点位</w:t>
            </w:r>
          </w:p>
        </w:tc>
        <w:tc>
          <w:tcPr>
            <w:tcW w:w="735" w:type="dxa"/>
            <w:vAlign w:val="center"/>
          </w:tcPr>
          <w:p>
            <w:pPr>
              <w:pStyle w:val="132"/>
              <w:rPr>
                <w:b/>
                <w:bCs/>
              </w:rPr>
            </w:pPr>
            <w:r>
              <w:rPr>
                <w:b/>
                <w:bCs/>
              </w:rPr>
              <w:t>采样时间</w:t>
            </w:r>
          </w:p>
        </w:tc>
        <w:tc>
          <w:tcPr>
            <w:tcW w:w="1290" w:type="dxa"/>
            <w:vAlign w:val="center"/>
          </w:tcPr>
          <w:p>
            <w:pPr>
              <w:pStyle w:val="132"/>
              <w:rPr>
                <w:b/>
                <w:bCs/>
              </w:rPr>
            </w:pPr>
            <w:r>
              <w:rPr>
                <w:b/>
                <w:bCs/>
              </w:rPr>
              <w:t>监测项目</w:t>
            </w:r>
          </w:p>
        </w:tc>
        <w:tc>
          <w:tcPr>
            <w:tcW w:w="709" w:type="dxa"/>
            <w:tcBorders>
              <w:left w:val="single" w:color="auto" w:sz="4" w:space="0"/>
            </w:tcBorders>
            <w:vAlign w:val="center"/>
          </w:tcPr>
          <w:p>
            <w:pPr>
              <w:pStyle w:val="132"/>
              <w:rPr>
                <w:b/>
                <w:bCs/>
              </w:rPr>
            </w:pPr>
            <w:r>
              <w:rPr>
                <w:b/>
                <w:bCs/>
              </w:rPr>
              <w:t>采样个数</w:t>
            </w:r>
          </w:p>
        </w:tc>
        <w:tc>
          <w:tcPr>
            <w:tcW w:w="1826" w:type="dxa"/>
            <w:tcBorders>
              <w:left w:val="single" w:color="auto" w:sz="4" w:space="0"/>
            </w:tcBorders>
            <w:vAlign w:val="center"/>
          </w:tcPr>
          <w:p>
            <w:pPr>
              <w:pStyle w:val="132"/>
              <w:rPr>
                <w:b/>
                <w:bCs/>
              </w:rPr>
            </w:pPr>
            <w:r>
              <w:rPr>
                <w:b/>
                <w:bCs/>
              </w:rPr>
              <w:t>浓度范围</w:t>
            </w:r>
          </w:p>
          <w:p>
            <w:pPr>
              <w:pStyle w:val="132"/>
              <w:rPr>
                <w:b/>
                <w:bCs/>
              </w:rPr>
            </w:pPr>
            <w:r>
              <w:rPr>
                <w:b/>
                <w:bCs/>
              </w:rPr>
              <w:t>m</w:t>
            </w:r>
            <w:r>
              <w:rPr>
                <w:b/>
                <w:bCs/>
                <w:lang w:val="zh-CN"/>
              </w:rPr>
              <w:t>g</w:t>
            </w:r>
            <w:r>
              <w:rPr>
                <w:b/>
                <w:bCs/>
              </w:rPr>
              <w:t>/m</w:t>
            </w:r>
            <w:r>
              <w:rPr>
                <w:b/>
                <w:bCs/>
                <w:vertAlign w:val="superscript"/>
              </w:rPr>
              <w:t>3</w:t>
            </w:r>
          </w:p>
        </w:tc>
        <w:tc>
          <w:tcPr>
            <w:tcW w:w="1149" w:type="dxa"/>
            <w:vAlign w:val="center"/>
          </w:tcPr>
          <w:p>
            <w:pPr>
              <w:pStyle w:val="132"/>
              <w:rPr>
                <w:b/>
                <w:bCs/>
              </w:rPr>
            </w:pPr>
            <w:r>
              <w:rPr>
                <w:b/>
                <w:bCs/>
              </w:rPr>
              <w:t>最大浓度占标率P</w:t>
            </w:r>
            <w:r>
              <w:rPr>
                <w:b/>
                <w:bCs/>
                <w:vertAlign w:val="subscript"/>
              </w:rPr>
              <w:t>i</w:t>
            </w:r>
          </w:p>
        </w:tc>
        <w:tc>
          <w:tcPr>
            <w:tcW w:w="700" w:type="dxa"/>
            <w:tcBorders>
              <w:left w:val="single" w:color="auto" w:sz="4" w:space="0"/>
            </w:tcBorders>
            <w:vAlign w:val="center"/>
          </w:tcPr>
          <w:p>
            <w:pPr>
              <w:pStyle w:val="132"/>
              <w:rPr>
                <w:b/>
                <w:bCs/>
              </w:rPr>
            </w:pPr>
            <w:r>
              <w:rPr>
                <w:b/>
                <w:bCs/>
              </w:rPr>
              <w:t>超标率</w:t>
            </w:r>
          </w:p>
        </w:tc>
        <w:tc>
          <w:tcPr>
            <w:tcW w:w="721" w:type="dxa"/>
            <w:tcBorders>
              <w:left w:val="single" w:color="auto" w:sz="4" w:space="0"/>
            </w:tcBorders>
            <w:vAlign w:val="center"/>
          </w:tcPr>
          <w:p>
            <w:pPr>
              <w:pStyle w:val="132"/>
              <w:rPr>
                <w:b/>
                <w:bCs/>
              </w:rPr>
            </w:pPr>
            <w:r>
              <w:rPr>
                <w:b/>
                <w:bCs/>
              </w:rPr>
              <w:t>达标</w:t>
            </w:r>
          </w:p>
          <w:p>
            <w:pPr>
              <w:pStyle w:val="132"/>
              <w:rPr>
                <w:b/>
                <w:bCs/>
              </w:rPr>
            </w:pPr>
            <w:r>
              <w:rPr>
                <w:b/>
                <w:bCs/>
              </w:rPr>
              <w:t>情况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82" w:hRule="atLeast"/>
          <w:jc w:val="center"/>
        </w:trPr>
        <w:tc>
          <w:tcPr>
            <w:tcW w:w="1661" w:type="dxa"/>
            <w:vMerge w:val="restart"/>
            <w:vAlign w:val="center"/>
          </w:tcPr>
          <w:p>
            <w:pPr>
              <w:pStyle w:val="132"/>
            </w:pPr>
            <w:r>
              <w:rPr>
                <w:rFonts w:hint="eastAsia"/>
              </w:rPr>
              <w:t>普陆4集气平台所在地西南侧1#</w:t>
            </w:r>
          </w:p>
        </w:tc>
        <w:tc>
          <w:tcPr>
            <w:tcW w:w="735" w:type="dxa"/>
            <w:vMerge w:val="restart"/>
            <w:vAlign w:val="center"/>
          </w:tcPr>
          <w:p>
            <w:pPr>
              <w:pStyle w:val="132"/>
            </w:pPr>
            <w:r>
              <w:t>202</w:t>
            </w:r>
            <w:r>
              <w:rPr>
                <w:rFonts w:hint="eastAsia"/>
              </w:rPr>
              <w:t>3</w:t>
            </w:r>
            <w:r>
              <w:t>.</w:t>
            </w:r>
            <w:r>
              <w:rPr>
                <w:rFonts w:hint="eastAsia"/>
              </w:rPr>
              <w:t>7</w:t>
            </w:r>
            <w:r>
              <w:t>.</w:t>
            </w:r>
            <w:r>
              <w:rPr>
                <w:rFonts w:hint="eastAsia"/>
              </w:rPr>
              <w:t>31</w:t>
            </w:r>
            <w:r>
              <w:t>~</w:t>
            </w:r>
            <w:r>
              <w:rPr>
                <w:rFonts w:hint="eastAsia"/>
              </w:rPr>
              <w:t>8</w:t>
            </w:r>
            <w:r>
              <w:t>.</w:t>
            </w:r>
            <w:r>
              <w:rPr>
                <w:rFonts w:hint="eastAsia"/>
              </w:rPr>
              <w:t>6</w:t>
            </w:r>
          </w:p>
        </w:tc>
        <w:tc>
          <w:tcPr>
            <w:tcW w:w="1290" w:type="dxa"/>
            <w:vAlign w:val="center"/>
          </w:tcPr>
          <w:p>
            <w:pPr>
              <w:pStyle w:val="132"/>
            </w:pPr>
            <w:r>
              <w:rPr>
                <w:rFonts w:hint="eastAsia"/>
                <w:szCs w:val="21"/>
              </w:rPr>
              <w:t>非甲烷总烃</w:t>
            </w:r>
          </w:p>
        </w:tc>
        <w:tc>
          <w:tcPr>
            <w:tcW w:w="709" w:type="dxa"/>
            <w:tcBorders>
              <w:left w:val="single" w:color="auto" w:sz="4" w:space="0"/>
            </w:tcBorders>
            <w:vAlign w:val="center"/>
          </w:tcPr>
          <w:p>
            <w:pPr>
              <w:pStyle w:val="132"/>
            </w:pPr>
            <w:r>
              <w:t>28</w:t>
            </w:r>
          </w:p>
        </w:tc>
        <w:tc>
          <w:tcPr>
            <w:tcW w:w="1826" w:type="dxa"/>
            <w:tcBorders>
              <w:left w:val="single" w:color="auto" w:sz="4" w:space="0"/>
            </w:tcBorders>
            <w:vAlign w:val="center"/>
          </w:tcPr>
          <w:p>
            <w:pPr>
              <w:pStyle w:val="132"/>
            </w:pPr>
            <w:r>
              <w:rPr>
                <w:szCs w:val="21"/>
              </w:rPr>
              <w:t>0.</w:t>
            </w:r>
            <w:r>
              <w:rPr>
                <w:rFonts w:hint="eastAsia"/>
                <w:szCs w:val="21"/>
              </w:rPr>
              <w:t>86</w:t>
            </w:r>
            <w:r>
              <w:t>~</w:t>
            </w:r>
            <w:r>
              <w:rPr>
                <w:rFonts w:hint="eastAsia"/>
                <w:szCs w:val="21"/>
              </w:rPr>
              <w:t>1.22</w:t>
            </w:r>
          </w:p>
        </w:tc>
        <w:tc>
          <w:tcPr>
            <w:tcW w:w="1149" w:type="dxa"/>
            <w:vAlign w:val="center"/>
          </w:tcPr>
          <w:p>
            <w:pPr>
              <w:pStyle w:val="132"/>
            </w:pPr>
            <w:r>
              <w:rPr>
                <w:rFonts w:hint="eastAsia"/>
              </w:rPr>
              <w:t>61</w:t>
            </w:r>
            <w:r>
              <w:t>%</w:t>
            </w:r>
          </w:p>
        </w:tc>
        <w:tc>
          <w:tcPr>
            <w:tcW w:w="700" w:type="dxa"/>
            <w:tcBorders>
              <w:left w:val="single" w:color="auto" w:sz="4" w:space="0"/>
            </w:tcBorders>
            <w:vAlign w:val="center"/>
          </w:tcPr>
          <w:p>
            <w:pPr>
              <w:pStyle w:val="132"/>
            </w:pPr>
            <w:r>
              <w:t>0</w:t>
            </w:r>
          </w:p>
        </w:tc>
        <w:tc>
          <w:tcPr>
            <w:tcW w:w="721" w:type="dxa"/>
            <w:tcBorders>
              <w:left w:val="single" w:color="auto" w:sz="4" w:space="0"/>
            </w:tcBorders>
            <w:vAlign w:val="center"/>
          </w:tcPr>
          <w:p>
            <w:pPr>
              <w:pStyle w:val="132"/>
            </w:pPr>
            <w:r>
              <w:rPr>
                <w:bCs/>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88" w:hRule="atLeast"/>
          <w:jc w:val="center"/>
        </w:trPr>
        <w:tc>
          <w:tcPr>
            <w:tcW w:w="1661" w:type="dxa"/>
            <w:vMerge w:val="continue"/>
            <w:vAlign w:val="center"/>
          </w:tcPr>
          <w:p>
            <w:pPr>
              <w:pStyle w:val="132"/>
            </w:pPr>
          </w:p>
        </w:tc>
        <w:tc>
          <w:tcPr>
            <w:tcW w:w="735" w:type="dxa"/>
            <w:vMerge w:val="continue"/>
            <w:vAlign w:val="center"/>
          </w:tcPr>
          <w:p>
            <w:pPr>
              <w:pStyle w:val="132"/>
            </w:pPr>
          </w:p>
        </w:tc>
        <w:tc>
          <w:tcPr>
            <w:tcW w:w="1290" w:type="dxa"/>
            <w:vAlign w:val="center"/>
          </w:tcPr>
          <w:p>
            <w:pPr>
              <w:pStyle w:val="132"/>
            </w:pPr>
            <w:r>
              <w:t>硫化氢</w:t>
            </w:r>
          </w:p>
        </w:tc>
        <w:tc>
          <w:tcPr>
            <w:tcW w:w="709" w:type="dxa"/>
            <w:tcBorders>
              <w:left w:val="single" w:color="auto" w:sz="4" w:space="0"/>
            </w:tcBorders>
            <w:vAlign w:val="center"/>
          </w:tcPr>
          <w:p>
            <w:pPr>
              <w:pStyle w:val="132"/>
            </w:pPr>
            <w:r>
              <w:t>28</w:t>
            </w:r>
          </w:p>
        </w:tc>
        <w:tc>
          <w:tcPr>
            <w:tcW w:w="1826" w:type="dxa"/>
            <w:tcBorders>
              <w:left w:val="single" w:color="auto" w:sz="4" w:space="0"/>
            </w:tcBorders>
            <w:vAlign w:val="center"/>
          </w:tcPr>
          <w:p>
            <w:pPr>
              <w:pStyle w:val="132"/>
            </w:pPr>
            <w:r>
              <w:rPr>
                <w:szCs w:val="21"/>
              </w:rPr>
              <w:t>0.</w:t>
            </w:r>
            <w:r>
              <w:rPr>
                <w:rFonts w:hint="eastAsia"/>
                <w:szCs w:val="21"/>
              </w:rPr>
              <w:t>001</w:t>
            </w:r>
            <w:r>
              <w:t>~</w:t>
            </w:r>
            <w:r>
              <w:rPr>
                <w:szCs w:val="21"/>
              </w:rPr>
              <w:t>0.</w:t>
            </w:r>
            <w:r>
              <w:rPr>
                <w:rFonts w:hint="eastAsia"/>
                <w:szCs w:val="21"/>
              </w:rPr>
              <w:t>004</w:t>
            </w:r>
          </w:p>
        </w:tc>
        <w:tc>
          <w:tcPr>
            <w:tcW w:w="1149" w:type="dxa"/>
            <w:vAlign w:val="center"/>
          </w:tcPr>
          <w:p>
            <w:pPr>
              <w:pStyle w:val="132"/>
            </w:pPr>
            <w:r>
              <w:rPr>
                <w:rFonts w:hint="eastAsia"/>
                <w:szCs w:val="21"/>
              </w:rPr>
              <w:t>40</w:t>
            </w:r>
            <w:r>
              <w:t>%</w:t>
            </w:r>
          </w:p>
        </w:tc>
        <w:tc>
          <w:tcPr>
            <w:tcW w:w="700" w:type="dxa"/>
            <w:tcBorders>
              <w:left w:val="single" w:color="auto" w:sz="4" w:space="0"/>
            </w:tcBorders>
            <w:vAlign w:val="center"/>
          </w:tcPr>
          <w:p>
            <w:pPr>
              <w:pStyle w:val="132"/>
            </w:pPr>
            <w:r>
              <w:t>0</w:t>
            </w:r>
          </w:p>
        </w:tc>
        <w:tc>
          <w:tcPr>
            <w:tcW w:w="721" w:type="dxa"/>
            <w:tcBorders>
              <w:left w:val="single" w:color="auto" w:sz="4" w:space="0"/>
            </w:tcBorders>
            <w:vAlign w:val="center"/>
          </w:tcPr>
          <w:p>
            <w:pPr>
              <w:pStyle w:val="132"/>
              <w:rPr>
                <w:bCs/>
              </w:rPr>
            </w:pPr>
            <w:r>
              <w:rPr>
                <w:bCs/>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88" w:hRule="atLeast"/>
          <w:jc w:val="center"/>
        </w:trPr>
        <w:tc>
          <w:tcPr>
            <w:tcW w:w="1661" w:type="dxa"/>
            <w:vMerge w:val="restart"/>
            <w:vAlign w:val="center"/>
          </w:tcPr>
          <w:p>
            <w:pPr>
              <w:pStyle w:val="132"/>
            </w:pPr>
            <w:r>
              <w:rPr>
                <w:rFonts w:hint="eastAsia"/>
              </w:rPr>
              <w:t>普陆4集气平台所在地南侧约220m住户处2#</w:t>
            </w:r>
          </w:p>
        </w:tc>
        <w:tc>
          <w:tcPr>
            <w:tcW w:w="735" w:type="dxa"/>
            <w:vMerge w:val="restart"/>
            <w:vAlign w:val="center"/>
          </w:tcPr>
          <w:p>
            <w:pPr>
              <w:pStyle w:val="132"/>
            </w:pPr>
            <w:r>
              <w:t>202</w:t>
            </w:r>
            <w:r>
              <w:rPr>
                <w:rFonts w:hint="eastAsia"/>
              </w:rPr>
              <w:t>3</w:t>
            </w:r>
            <w:r>
              <w:t>.</w:t>
            </w:r>
            <w:r>
              <w:rPr>
                <w:rFonts w:hint="eastAsia"/>
              </w:rPr>
              <w:t>7</w:t>
            </w:r>
            <w:r>
              <w:t>.</w:t>
            </w:r>
            <w:r>
              <w:rPr>
                <w:rFonts w:hint="eastAsia"/>
              </w:rPr>
              <w:t>31</w:t>
            </w:r>
            <w:r>
              <w:t>~</w:t>
            </w:r>
            <w:r>
              <w:rPr>
                <w:rFonts w:hint="eastAsia"/>
              </w:rPr>
              <w:t>8</w:t>
            </w:r>
            <w:r>
              <w:t>.</w:t>
            </w:r>
            <w:r>
              <w:rPr>
                <w:rFonts w:hint="eastAsia"/>
              </w:rPr>
              <w:t>6</w:t>
            </w:r>
          </w:p>
        </w:tc>
        <w:tc>
          <w:tcPr>
            <w:tcW w:w="1290" w:type="dxa"/>
            <w:vAlign w:val="center"/>
          </w:tcPr>
          <w:p>
            <w:pPr>
              <w:pStyle w:val="132"/>
            </w:pPr>
            <w:r>
              <w:rPr>
                <w:rFonts w:hint="eastAsia"/>
                <w:szCs w:val="21"/>
              </w:rPr>
              <w:t>非甲烷总烃</w:t>
            </w:r>
          </w:p>
        </w:tc>
        <w:tc>
          <w:tcPr>
            <w:tcW w:w="709" w:type="dxa"/>
            <w:tcBorders>
              <w:left w:val="single" w:color="auto" w:sz="4" w:space="0"/>
            </w:tcBorders>
            <w:vAlign w:val="center"/>
          </w:tcPr>
          <w:p>
            <w:pPr>
              <w:pStyle w:val="132"/>
            </w:pPr>
            <w:r>
              <w:t>28</w:t>
            </w:r>
          </w:p>
        </w:tc>
        <w:tc>
          <w:tcPr>
            <w:tcW w:w="1826" w:type="dxa"/>
            <w:tcBorders>
              <w:left w:val="single" w:color="auto" w:sz="4" w:space="0"/>
            </w:tcBorders>
            <w:vAlign w:val="center"/>
          </w:tcPr>
          <w:p>
            <w:pPr>
              <w:pStyle w:val="132"/>
            </w:pPr>
            <w:r>
              <w:rPr>
                <w:szCs w:val="21"/>
              </w:rPr>
              <w:t>0.</w:t>
            </w:r>
            <w:r>
              <w:rPr>
                <w:rFonts w:hint="eastAsia"/>
                <w:szCs w:val="21"/>
              </w:rPr>
              <w:t>84</w:t>
            </w:r>
            <w:r>
              <w:t>~</w:t>
            </w:r>
            <w:r>
              <w:rPr>
                <w:rFonts w:hint="eastAsia"/>
                <w:szCs w:val="21"/>
              </w:rPr>
              <w:t>1.33</w:t>
            </w:r>
          </w:p>
        </w:tc>
        <w:tc>
          <w:tcPr>
            <w:tcW w:w="1149" w:type="dxa"/>
            <w:vAlign w:val="center"/>
          </w:tcPr>
          <w:p>
            <w:pPr>
              <w:pStyle w:val="132"/>
            </w:pPr>
            <w:r>
              <w:rPr>
                <w:rFonts w:hint="eastAsia"/>
              </w:rPr>
              <w:t>66.5</w:t>
            </w:r>
            <w:r>
              <w:t>%</w:t>
            </w:r>
          </w:p>
        </w:tc>
        <w:tc>
          <w:tcPr>
            <w:tcW w:w="700" w:type="dxa"/>
            <w:tcBorders>
              <w:left w:val="single" w:color="auto" w:sz="4" w:space="0"/>
            </w:tcBorders>
            <w:vAlign w:val="center"/>
          </w:tcPr>
          <w:p>
            <w:pPr>
              <w:pStyle w:val="132"/>
            </w:pPr>
            <w:r>
              <w:t>0</w:t>
            </w:r>
          </w:p>
        </w:tc>
        <w:tc>
          <w:tcPr>
            <w:tcW w:w="721" w:type="dxa"/>
            <w:tcBorders>
              <w:left w:val="single" w:color="auto" w:sz="4" w:space="0"/>
            </w:tcBorders>
            <w:vAlign w:val="center"/>
          </w:tcPr>
          <w:p>
            <w:pPr>
              <w:pStyle w:val="132"/>
            </w:pPr>
            <w:r>
              <w:rPr>
                <w:bCs/>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88" w:hRule="atLeast"/>
          <w:jc w:val="center"/>
        </w:trPr>
        <w:tc>
          <w:tcPr>
            <w:tcW w:w="1661" w:type="dxa"/>
            <w:vMerge w:val="continue"/>
            <w:vAlign w:val="center"/>
          </w:tcPr>
          <w:p>
            <w:pPr>
              <w:pStyle w:val="132"/>
            </w:pPr>
          </w:p>
        </w:tc>
        <w:tc>
          <w:tcPr>
            <w:tcW w:w="735" w:type="dxa"/>
            <w:vMerge w:val="continue"/>
            <w:vAlign w:val="center"/>
          </w:tcPr>
          <w:p>
            <w:pPr>
              <w:pStyle w:val="132"/>
            </w:pPr>
          </w:p>
        </w:tc>
        <w:tc>
          <w:tcPr>
            <w:tcW w:w="1290" w:type="dxa"/>
            <w:vAlign w:val="center"/>
          </w:tcPr>
          <w:p>
            <w:pPr>
              <w:pStyle w:val="132"/>
            </w:pPr>
            <w:r>
              <w:t>硫化氢</w:t>
            </w:r>
          </w:p>
        </w:tc>
        <w:tc>
          <w:tcPr>
            <w:tcW w:w="709" w:type="dxa"/>
            <w:tcBorders>
              <w:left w:val="single" w:color="auto" w:sz="4" w:space="0"/>
            </w:tcBorders>
            <w:vAlign w:val="center"/>
          </w:tcPr>
          <w:p>
            <w:pPr>
              <w:pStyle w:val="132"/>
            </w:pPr>
            <w:r>
              <w:t>28</w:t>
            </w:r>
          </w:p>
        </w:tc>
        <w:tc>
          <w:tcPr>
            <w:tcW w:w="1826" w:type="dxa"/>
            <w:tcBorders>
              <w:left w:val="single" w:color="auto" w:sz="4" w:space="0"/>
            </w:tcBorders>
            <w:vAlign w:val="center"/>
          </w:tcPr>
          <w:p>
            <w:pPr>
              <w:pStyle w:val="132"/>
            </w:pPr>
            <w:r>
              <w:rPr>
                <w:szCs w:val="21"/>
              </w:rPr>
              <w:t>0.</w:t>
            </w:r>
            <w:r>
              <w:rPr>
                <w:rFonts w:hint="eastAsia"/>
                <w:szCs w:val="21"/>
              </w:rPr>
              <w:t>002</w:t>
            </w:r>
            <w:r>
              <w:t>~</w:t>
            </w:r>
            <w:r>
              <w:rPr>
                <w:szCs w:val="21"/>
              </w:rPr>
              <w:t>0.</w:t>
            </w:r>
            <w:r>
              <w:rPr>
                <w:rFonts w:hint="eastAsia"/>
                <w:szCs w:val="21"/>
              </w:rPr>
              <w:t>003</w:t>
            </w:r>
          </w:p>
        </w:tc>
        <w:tc>
          <w:tcPr>
            <w:tcW w:w="1149" w:type="dxa"/>
            <w:vAlign w:val="center"/>
          </w:tcPr>
          <w:p>
            <w:pPr>
              <w:pStyle w:val="132"/>
            </w:pPr>
            <w:r>
              <w:rPr>
                <w:rFonts w:hint="eastAsia"/>
                <w:szCs w:val="21"/>
              </w:rPr>
              <w:t>30</w:t>
            </w:r>
            <w:r>
              <w:t>%</w:t>
            </w:r>
          </w:p>
        </w:tc>
        <w:tc>
          <w:tcPr>
            <w:tcW w:w="700" w:type="dxa"/>
            <w:tcBorders>
              <w:left w:val="single" w:color="auto" w:sz="4" w:space="0"/>
            </w:tcBorders>
            <w:vAlign w:val="center"/>
          </w:tcPr>
          <w:p>
            <w:pPr>
              <w:pStyle w:val="132"/>
            </w:pPr>
            <w:r>
              <w:t>0</w:t>
            </w:r>
          </w:p>
        </w:tc>
        <w:tc>
          <w:tcPr>
            <w:tcW w:w="721" w:type="dxa"/>
            <w:tcBorders>
              <w:left w:val="single" w:color="auto" w:sz="4" w:space="0"/>
            </w:tcBorders>
            <w:vAlign w:val="center"/>
          </w:tcPr>
          <w:p>
            <w:pPr>
              <w:pStyle w:val="132"/>
              <w:rPr>
                <w:bCs/>
              </w:rPr>
            </w:pPr>
            <w:r>
              <w:rPr>
                <w:bCs/>
              </w:rPr>
              <w:t>达标</w:t>
            </w:r>
          </w:p>
        </w:tc>
      </w:tr>
    </w:tbl>
    <w:p>
      <w:pPr>
        <w:pStyle w:val="112"/>
        <w:ind w:firstLine="480"/>
        <w:rPr>
          <w:lang w:val="zh-TW"/>
        </w:rPr>
      </w:pPr>
      <w:r>
        <w:rPr>
          <w:lang w:val="zh-TW"/>
        </w:rPr>
        <w:t>评价结论：本项目拟建地环境空气中特征污染物硫化氢现状监测值低于《环境影响评价技术导则大气环境》（HJ2.2-2018）中附录D标准限值</w:t>
      </w:r>
      <w:r>
        <w:rPr>
          <w:rFonts w:hint="eastAsia"/>
          <w:lang w:val="zh-TW"/>
        </w:rPr>
        <w:t>；</w:t>
      </w:r>
      <w:r>
        <w:rPr>
          <w:rFonts w:hint="eastAsia"/>
        </w:rPr>
        <w:t>非甲烷总烃低于《大气污染物综合排放标准详解》浓度限值</w:t>
      </w:r>
      <w:r>
        <w:rPr>
          <w:lang w:val="zh-TW"/>
        </w:rPr>
        <w:t>。</w:t>
      </w:r>
    </w:p>
    <w:p>
      <w:pPr>
        <w:pStyle w:val="3"/>
        <w:spacing w:before="120"/>
        <w:rPr>
          <w:rFonts w:cs="Times New Roman"/>
        </w:rPr>
      </w:pPr>
      <w:bookmarkStart w:id="429" w:name="_Toc12288562"/>
      <w:bookmarkStart w:id="430" w:name="_Toc81515284"/>
      <w:bookmarkStart w:id="431" w:name="_Toc19816015"/>
      <w:r>
        <w:rPr>
          <w:rFonts w:cs="Times New Roman"/>
        </w:rPr>
        <w:t>5.4 地表水环境质量现状与评价</w:t>
      </w:r>
      <w:bookmarkEnd w:id="429"/>
      <w:bookmarkEnd w:id="430"/>
      <w:bookmarkEnd w:id="431"/>
    </w:p>
    <w:p>
      <w:pPr>
        <w:pStyle w:val="6"/>
        <w:ind w:firstLine="480"/>
        <w:rPr>
          <w:rFonts w:ascii="Times New Roman" w:cs="Times New Roman"/>
        </w:rPr>
      </w:pPr>
      <w:r>
        <w:rPr>
          <w:rFonts w:hint="eastAsia" w:ascii="Times New Roman" w:cs="Times New Roman"/>
        </w:rPr>
        <w:t>本项目位于后河和中河流域，后河和中河均属于渠江流域，根据《2022年1~12月月达州市地表水水质月报》（</w:t>
      </w:r>
      <w:r>
        <w:rPr>
          <w:rFonts w:ascii="Times New Roman" w:cs="Times New Roman"/>
        </w:rPr>
        <w:t>http://sthjj.dazhou.gov.cn/</w:t>
      </w:r>
      <w:r>
        <w:rPr>
          <w:rFonts w:hint="eastAsia" w:ascii="Times New Roman" w:cs="Times New Roman"/>
        </w:rPr>
        <w:t>），后河漩坑坝断面和渠江白兔乡断面水质均符合《地表水环境质量标准》（GB3838-2002）中Ⅲ类水质标准限值要求</w:t>
      </w:r>
      <w:r>
        <w:rPr>
          <w:rFonts w:ascii="Times New Roman" w:cs="Times New Roman"/>
        </w:rPr>
        <w:t>。</w:t>
      </w:r>
    </w:p>
    <w:p>
      <w:pPr>
        <w:pStyle w:val="3"/>
        <w:spacing w:before="120"/>
        <w:rPr>
          <w:rFonts w:cs="Times New Roman"/>
        </w:rPr>
      </w:pPr>
      <w:bookmarkStart w:id="432" w:name="_Toc12288568"/>
      <w:bookmarkStart w:id="433" w:name="_Toc19816016"/>
      <w:bookmarkStart w:id="434" w:name="_Toc81515285"/>
      <w:r>
        <w:rPr>
          <w:rFonts w:cs="Times New Roman"/>
        </w:rPr>
        <w:t>5.5 地下水环境质量现状与评价</w:t>
      </w:r>
      <w:bookmarkEnd w:id="432"/>
      <w:bookmarkEnd w:id="433"/>
      <w:bookmarkEnd w:id="434"/>
    </w:p>
    <w:p>
      <w:pPr>
        <w:pStyle w:val="6"/>
        <w:ind w:firstLine="480"/>
        <w:rPr>
          <w:rFonts w:ascii="Times New Roman" w:cs="Times New Roman"/>
        </w:rPr>
      </w:pPr>
      <w:r>
        <w:rPr>
          <w:rFonts w:hint="eastAsia" w:ascii="Times New Roman" w:cs="Times New Roman"/>
        </w:rPr>
        <w:t>本次评价委托四川省允诺信检测技术有限公司于2023年8月2日对本项目所在地（项目名称原为：普陆 4 井台钻井及试采工程项目）地下水环境质量进行了现状监测</w:t>
      </w:r>
      <w:r>
        <w:rPr>
          <w:rFonts w:ascii="Times New Roman" w:cs="Times New Roman"/>
        </w:rPr>
        <w:t>。</w:t>
      </w:r>
    </w:p>
    <w:p>
      <w:pPr>
        <w:pStyle w:val="6"/>
        <w:ind w:firstLine="482"/>
        <w:rPr>
          <w:rFonts w:ascii="Times New Roman" w:cs="Times New Roman"/>
          <w:b/>
        </w:rPr>
      </w:pPr>
      <w:bookmarkStart w:id="435" w:name="_Toc12288569"/>
      <w:r>
        <w:rPr>
          <w:rFonts w:ascii="Times New Roman" w:cs="Times New Roman"/>
          <w:b/>
        </w:rPr>
        <w:t>1、监测断面布设</w:t>
      </w:r>
      <w:bookmarkEnd w:id="435"/>
    </w:p>
    <w:p>
      <w:pPr>
        <w:pStyle w:val="6"/>
        <w:ind w:firstLine="480"/>
        <w:rPr>
          <w:rFonts w:ascii="Times New Roman" w:cs="Times New Roman"/>
        </w:rPr>
      </w:pPr>
      <w:r>
        <w:rPr>
          <w:rFonts w:ascii="Times New Roman" w:cs="Times New Roman"/>
        </w:rPr>
        <w:t>根据工程情况，本次评价对项目所在地周边</w:t>
      </w:r>
      <w:r>
        <w:rPr>
          <w:rFonts w:hint="eastAsia" w:ascii="Times New Roman" w:cs="Times New Roman"/>
        </w:rPr>
        <w:t>10个地下水监测点位进行了现在监测</w:t>
      </w:r>
      <w:r>
        <w:rPr>
          <w:rFonts w:ascii="Times New Roman" w:cs="Times New Roman"/>
        </w:rPr>
        <w:t>，具体位置见监测布点图。</w:t>
      </w:r>
    </w:p>
    <w:p>
      <w:pPr>
        <w:pStyle w:val="6"/>
        <w:ind w:firstLine="480"/>
        <w:rPr>
          <w:rFonts w:ascii="Times New Roman" w:cs="Times New Roman"/>
          <w:bCs/>
        </w:rPr>
      </w:pPr>
      <w:bookmarkStart w:id="436" w:name="OLE_LINK18"/>
      <w:bookmarkStart w:id="437" w:name="_Hlk80556080"/>
      <w:r>
        <w:rPr>
          <w:rFonts w:ascii="Times New Roman" w:cs="Times New Roman"/>
          <w:bCs/>
        </w:rPr>
        <w:t>WX1</w:t>
      </w:r>
      <w:bookmarkEnd w:id="436"/>
      <w:r>
        <w:rPr>
          <w:rFonts w:hint="eastAsia" w:ascii="Times New Roman" w:cs="Times New Roman"/>
          <w:bCs/>
        </w:rPr>
        <w:t>-垭豁丘水井（位于普陆4集气平台所在地东南侧），</w:t>
      </w:r>
    </w:p>
    <w:p>
      <w:pPr>
        <w:pStyle w:val="6"/>
        <w:ind w:firstLine="480"/>
        <w:rPr>
          <w:rFonts w:ascii="Times New Roman" w:cs="Times New Roman"/>
          <w:bCs/>
        </w:rPr>
      </w:pPr>
      <w:r>
        <w:rPr>
          <w:rFonts w:ascii="Times New Roman" w:cs="Times New Roman"/>
          <w:bCs/>
        </w:rPr>
        <w:t>WX</w:t>
      </w:r>
      <w:r>
        <w:rPr>
          <w:rFonts w:hint="eastAsia" w:ascii="Times New Roman" w:cs="Times New Roman"/>
          <w:bCs/>
        </w:rPr>
        <w:t>2-塔垭村水井（位于普陆4集气平台所在地东南侧），</w:t>
      </w:r>
    </w:p>
    <w:p>
      <w:pPr>
        <w:pStyle w:val="6"/>
        <w:ind w:firstLine="480"/>
        <w:rPr>
          <w:rFonts w:ascii="Times New Roman" w:cs="Times New Roman"/>
          <w:bCs/>
        </w:rPr>
      </w:pPr>
      <w:r>
        <w:rPr>
          <w:rFonts w:ascii="Times New Roman" w:cs="Times New Roman"/>
          <w:bCs/>
        </w:rPr>
        <w:t>WX</w:t>
      </w:r>
      <w:r>
        <w:rPr>
          <w:rFonts w:hint="eastAsia" w:ascii="Times New Roman" w:cs="Times New Roman"/>
          <w:bCs/>
        </w:rPr>
        <w:t>3-下塝水井（位于普陆4集气平台所在地西南侧），</w:t>
      </w:r>
    </w:p>
    <w:p>
      <w:pPr>
        <w:pStyle w:val="6"/>
        <w:ind w:firstLine="480"/>
        <w:rPr>
          <w:rFonts w:ascii="Times New Roman" w:cs="Times New Roman"/>
          <w:bCs/>
        </w:rPr>
      </w:pPr>
      <w:r>
        <w:rPr>
          <w:rFonts w:ascii="Times New Roman" w:cs="Times New Roman"/>
          <w:bCs/>
        </w:rPr>
        <w:t>WX</w:t>
      </w:r>
      <w:r>
        <w:rPr>
          <w:rFonts w:hint="eastAsia" w:ascii="Times New Roman" w:cs="Times New Roman"/>
          <w:bCs/>
        </w:rPr>
        <w:t>4-青龙寨水井（位于普陆4集气平台所在地西北侧），</w:t>
      </w:r>
    </w:p>
    <w:p>
      <w:pPr>
        <w:pStyle w:val="6"/>
        <w:ind w:firstLine="480"/>
        <w:rPr>
          <w:rFonts w:ascii="Times New Roman" w:cs="Times New Roman"/>
        </w:rPr>
      </w:pPr>
      <w:r>
        <w:rPr>
          <w:rFonts w:ascii="Times New Roman" w:cs="Times New Roman"/>
          <w:bCs/>
        </w:rPr>
        <w:t>WX</w:t>
      </w:r>
      <w:r>
        <w:rPr>
          <w:rFonts w:hint="eastAsia" w:ascii="Times New Roman" w:cs="Times New Roman"/>
          <w:bCs/>
        </w:rPr>
        <w:t>5-上帽顶梁水井（位于普陆4集气平台所在地东北侧），</w:t>
      </w:r>
    </w:p>
    <w:p>
      <w:pPr>
        <w:pStyle w:val="6"/>
        <w:ind w:firstLine="480"/>
        <w:rPr>
          <w:rFonts w:ascii="Times New Roman" w:cs="Times New Roman"/>
          <w:bCs/>
        </w:rPr>
      </w:pPr>
      <w:r>
        <w:rPr>
          <w:rFonts w:ascii="Times New Roman" w:cs="Times New Roman"/>
          <w:bCs/>
        </w:rPr>
        <w:t>WX</w:t>
      </w:r>
      <w:r>
        <w:rPr>
          <w:rFonts w:hint="eastAsia" w:ascii="Times New Roman" w:cs="Times New Roman"/>
          <w:bCs/>
        </w:rPr>
        <w:t>6-张家湾水井（普陆4集气平台所在地东南侧），</w:t>
      </w:r>
    </w:p>
    <w:p>
      <w:pPr>
        <w:pStyle w:val="6"/>
        <w:ind w:firstLine="480"/>
        <w:rPr>
          <w:rFonts w:ascii="Times New Roman" w:cs="Times New Roman"/>
          <w:bCs/>
        </w:rPr>
      </w:pPr>
      <w:r>
        <w:rPr>
          <w:rFonts w:ascii="Times New Roman" w:cs="Times New Roman"/>
          <w:bCs/>
        </w:rPr>
        <w:t>WX</w:t>
      </w:r>
      <w:r>
        <w:rPr>
          <w:rFonts w:hint="eastAsia" w:ascii="Times New Roman" w:cs="Times New Roman"/>
          <w:bCs/>
        </w:rPr>
        <w:t>7-罗家塝水井（普陆4集气平台所在地西南侧），</w:t>
      </w:r>
    </w:p>
    <w:p>
      <w:pPr>
        <w:pStyle w:val="6"/>
        <w:ind w:firstLine="480"/>
        <w:rPr>
          <w:rFonts w:ascii="Times New Roman" w:cs="Times New Roman"/>
          <w:bCs/>
        </w:rPr>
      </w:pPr>
      <w:r>
        <w:rPr>
          <w:rFonts w:ascii="Times New Roman" w:cs="Times New Roman"/>
          <w:bCs/>
        </w:rPr>
        <w:t>WX</w:t>
      </w:r>
      <w:r>
        <w:rPr>
          <w:rFonts w:hint="eastAsia" w:ascii="Times New Roman" w:cs="Times New Roman"/>
          <w:bCs/>
        </w:rPr>
        <w:t>8-王家湾水井（普陆4集气平台站所在地西北侧），</w:t>
      </w:r>
    </w:p>
    <w:p>
      <w:pPr>
        <w:pStyle w:val="6"/>
        <w:ind w:firstLine="480"/>
        <w:rPr>
          <w:rFonts w:ascii="Times New Roman" w:cs="Times New Roman"/>
          <w:bCs/>
        </w:rPr>
      </w:pPr>
      <w:r>
        <w:rPr>
          <w:rFonts w:ascii="Times New Roman" w:cs="Times New Roman"/>
          <w:bCs/>
        </w:rPr>
        <w:t>WX</w:t>
      </w:r>
      <w:r>
        <w:rPr>
          <w:rFonts w:hint="eastAsia" w:ascii="Times New Roman" w:cs="Times New Roman"/>
          <w:bCs/>
        </w:rPr>
        <w:t>9-沙坝村水井（普陆4集气平台所在地东侧），</w:t>
      </w:r>
    </w:p>
    <w:p>
      <w:pPr>
        <w:pStyle w:val="6"/>
        <w:ind w:firstLine="480"/>
        <w:rPr>
          <w:rFonts w:ascii="Times New Roman" w:cs="Times New Roman"/>
        </w:rPr>
      </w:pPr>
      <w:r>
        <w:rPr>
          <w:rFonts w:ascii="Times New Roman" w:cs="Times New Roman"/>
          <w:bCs/>
        </w:rPr>
        <w:t>WX</w:t>
      </w:r>
      <w:r>
        <w:rPr>
          <w:rFonts w:hint="eastAsia" w:ascii="Times New Roman" w:cs="Times New Roman"/>
          <w:bCs/>
        </w:rPr>
        <w:t>10-千子坪水井（普陆4集气平台所在地东北侧）。</w:t>
      </w:r>
    </w:p>
    <w:bookmarkEnd w:id="437"/>
    <w:p>
      <w:pPr>
        <w:pStyle w:val="6"/>
        <w:ind w:firstLine="482"/>
        <w:rPr>
          <w:rFonts w:ascii="Times New Roman" w:cs="Times New Roman"/>
          <w:b/>
          <w:bCs/>
        </w:rPr>
      </w:pPr>
      <w:r>
        <w:rPr>
          <w:rFonts w:ascii="Times New Roman" w:cs="Times New Roman"/>
          <w:b/>
          <w:bCs/>
        </w:rPr>
        <w:t>WX1~WX</w:t>
      </w:r>
      <w:r>
        <w:rPr>
          <w:rFonts w:hint="eastAsia" w:ascii="Times New Roman" w:cs="Times New Roman"/>
          <w:b/>
          <w:bCs/>
        </w:rPr>
        <w:t>5</w:t>
      </w:r>
      <w:r>
        <w:rPr>
          <w:rFonts w:ascii="Times New Roman" w:cs="Times New Roman"/>
          <w:b/>
          <w:bCs/>
        </w:rPr>
        <w:t>为水质监测点；WX1~WX</w:t>
      </w:r>
      <w:r>
        <w:rPr>
          <w:rFonts w:hint="eastAsia" w:ascii="Times New Roman" w:cs="Times New Roman"/>
          <w:b/>
          <w:bCs/>
        </w:rPr>
        <w:t>10</w:t>
      </w:r>
      <w:r>
        <w:rPr>
          <w:rFonts w:ascii="Times New Roman" w:cs="Times New Roman"/>
          <w:b/>
          <w:bCs/>
        </w:rPr>
        <w:t>为水位监测点。</w:t>
      </w:r>
    </w:p>
    <w:p>
      <w:pPr>
        <w:pStyle w:val="6"/>
        <w:ind w:firstLine="482"/>
        <w:rPr>
          <w:rFonts w:ascii="Times New Roman" w:cs="Times New Roman"/>
          <w:b/>
          <w:bCs/>
        </w:rPr>
      </w:pPr>
      <w:r>
        <w:rPr>
          <w:rFonts w:ascii="Times New Roman" w:cs="Times New Roman"/>
          <w:b/>
          <w:bCs/>
        </w:rPr>
        <w:t>2、监测项目</w:t>
      </w:r>
    </w:p>
    <w:p>
      <w:pPr>
        <w:pStyle w:val="112"/>
        <w:ind w:firstLine="480"/>
      </w:pPr>
      <w:r>
        <w:rPr>
          <w:rFonts w:hint="eastAsia"/>
        </w:rPr>
        <w:t>K</w:t>
      </w:r>
      <w:r>
        <w:rPr>
          <w:rFonts w:hint="eastAsia"/>
          <w:vertAlign w:val="superscript"/>
        </w:rPr>
        <w:t>+</w:t>
      </w:r>
      <w:r>
        <w:rPr>
          <w:rFonts w:hint="eastAsia"/>
        </w:rPr>
        <w:t>、Na</w:t>
      </w:r>
      <w:r>
        <w:rPr>
          <w:rFonts w:hint="eastAsia"/>
          <w:vertAlign w:val="superscript"/>
        </w:rPr>
        <w:t>+</w:t>
      </w:r>
      <w:r>
        <w:rPr>
          <w:rFonts w:hint="eastAsia"/>
        </w:rPr>
        <w:t>、Ca</w:t>
      </w:r>
      <w:r>
        <w:rPr>
          <w:rFonts w:hint="eastAsia"/>
          <w:vertAlign w:val="superscript"/>
        </w:rPr>
        <w:t>2+</w:t>
      </w:r>
      <w:r>
        <w:rPr>
          <w:rFonts w:hint="eastAsia"/>
        </w:rPr>
        <w:t>、Mg</w:t>
      </w:r>
      <w:r>
        <w:rPr>
          <w:rFonts w:hint="eastAsia"/>
          <w:vertAlign w:val="superscript"/>
        </w:rPr>
        <w:t>2+</w:t>
      </w:r>
      <w:r>
        <w:rPr>
          <w:rFonts w:hint="eastAsia"/>
        </w:rPr>
        <w:t>、CO</w:t>
      </w:r>
      <w:r>
        <w:rPr>
          <w:rFonts w:hint="eastAsia"/>
          <w:vertAlign w:val="subscript"/>
        </w:rPr>
        <w:t>3</w:t>
      </w:r>
      <w:r>
        <w:rPr>
          <w:rFonts w:hint="eastAsia"/>
          <w:vertAlign w:val="superscript"/>
        </w:rPr>
        <w:t>2-</w:t>
      </w:r>
      <w:r>
        <w:rPr>
          <w:rFonts w:hint="eastAsia"/>
        </w:rPr>
        <w:t>、HCO</w:t>
      </w:r>
      <w:r>
        <w:rPr>
          <w:rFonts w:hint="eastAsia"/>
          <w:vertAlign w:val="subscript"/>
        </w:rPr>
        <w:t>3</w:t>
      </w:r>
      <w:r>
        <w:rPr>
          <w:rFonts w:hint="eastAsia"/>
          <w:vertAlign w:val="superscript"/>
        </w:rPr>
        <w:t>-</w:t>
      </w:r>
      <w:r>
        <w:rPr>
          <w:rFonts w:hint="eastAsia"/>
        </w:rPr>
        <w:t>、Cl</w:t>
      </w:r>
      <w:r>
        <w:rPr>
          <w:rFonts w:hint="eastAsia"/>
          <w:vertAlign w:val="superscript"/>
        </w:rPr>
        <w:t>-</w:t>
      </w:r>
      <w:r>
        <w:rPr>
          <w:rFonts w:hint="eastAsia"/>
        </w:rPr>
        <w:t>、SO</w:t>
      </w:r>
      <w:r>
        <w:rPr>
          <w:rFonts w:hint="eastAsia"/>
          <w:vertAlign w:val="subscript"/>
        </w:rPr>
        <w:t>4</w:t>
      </w:r>
      <w:r>
        <w:rPr>
          <w:rFonts w:hint="eastAsia"/>
          <w:vertAlign w:val="superscript"/>
        </w:rPr>
        <w:t>2-</w:t>
      </w:r>
      <w:r>
        <w:rPr>
          <w:rFonts w:hint="eastAsia"/>
        </w:rPr>
        <w:t>；pH、氨氮、硝酸盐、亚硝酸盐、挥发性酚类、氰化物、砷、汞、铬（六价）、总硬度、铅、镉、铁、锰、溶解性总固体、硫酸盐、氯化物、菌落总数、氟化物、总大肠菌群、</w:t>
      </w:r>
      <w:r>
        <w:t>石油类</w:t>
      </w:r>
      <w:r>
        <w:rPr>
          <w:rFonts w:hint="eastAsia"/>
        </w:rPr>
        <w:t>、硫化物</w:t>
      </w:r>
      <w:r>
        <w:t>。</w:t>
      </w:r>
    </w:p>
    <w:p>
      <w:pPr>
        <w:pStyle w:val="112"/>
        <w:ind w:firstLine="482"/>
        <w:rPr>
          <w:b/>
          <w:bCs/>
        </w:rPr>
      </w:pPr>
      <w:r>
        <w:rPr>
          <w:b/>
          <w:bCs/>
        </w:rPr>
        <w:t>3、监测频次</w:t>
      </w:r>
    </w:p>
    <w:p>
      <w:pPr>
        <w:pStyle w:val="112"/>
        <w:ind w:firstLine="480"/>
      </w:pPr>
      <w:r>
        <w:t>监测1天，每天采样1次。</w:t>
      </w:r>
    </w:p>
    <w:p>
      <w:pPr>
        <w:pStyle w:val="112"/>
        <w:ind w:firstLine="482"/>
        <w:rPr>
          <w:b/>
          <w:bCs/>
        </w:rPr>
      </w:pPr>
      <w:bookmarkStart w:id="438" w:name="_Toc12288570"/>
      <w:r>
        <w:rPr>
          <w:b/>
          <w:bCs/>
        </w:rPr>
        <w:t>4、采样及分析方法</w:t>
      </w:r>
      <w:bookmarkEnd w:id="438"/>
    </w:p>
    <w:p>
      <w:pPr>
        <w:pStyle w:val="112"/>
        <w:ind w:firstLine="480"/>
      </w:pPr>
      <w:r>
        <w:t>采样及分析方法按国家有关规定进行。</w:t>
      </w:r>
    </w:p>
    <w:p>
      <w:pPr>
        <w:pStyle w:val="112"/>
        <w:ind w:firstLine="482"/>
        <w:rPr>
          <w:b/>
          <w:bCs/>
        </w:rPr>
      </w:pPr>
      <w:bookmarkStart w:id="439" w:name="_Toc12288571"/>
      <w:r>
        <w:rPr>
          <w:b/>
          <w:bCs/>
        </w:rPr>
        <w:t>5、评价标准</w:t>
      </w:r>
      <w:bookmarkEnd w:id="439"/>
    </w:p>
    <w:p>
      <w:pPr>
        <w:pStyle w:val="112"/>
        <w:ind w:firstLine="480"/>
      </w:pPr>
      <w:r>
        <w:t>地下水环境质量执行《地下水质量标准》（GB/T14848-2017）中Ⅲ类标准，其中石油类执行《地表水环境质量标准》（GB3838-2002）Ⅲ类标准要求。</w:t>
      </w:r>
      <w:bookmarkStart w:id="440" w:name="_Toc12288572"/>
    </w:p>
    <w:p>
      <w:pPr>
        <w:pStyle w:val="112"/>
        <w:ind w:firstLine="482"/>
        <w:rPr>
          <w:b/>
          <w:bCs/>
        </w:rPr>
      </w:pPr>
      <w:r>
        <w:rPr>
          <w:b/>
          <w:bCs/>
        </w:rPr>
        <w:t>6、评价方法</w:t>
      </w:r>
      <w:bookmarkEnd w:id="440"/>
    </w:p>
    <w:p>
      <w:pPr>
        <w:pStyle w:val="6"/>
        <w:ind w:firstLine="480"/>
        <w:rPr>
          <w:rFonts w:ascii="Times New Roman" w:cs="Times New Roman"/>
        </w:rPr>
      </w:pPr>
      <w:r>
        <w:rPr>
          <w:rFonts w:ascii="Times New Roman" w:cs="Times New Roman"/>
        </w:rPr>
        <w:t>根据《环境影响评价技术导则 地下水环境》（HJ610-2016），地下水环境质量现状评价方法采用标准指数法，除pH值外，其它水质参数的单项标准指数S</w:t>
      </w:r>
      <w:r>
        <w:rPr>
          <w:rFonts w:ascii="Times New Roman" w:cs="Times New Roman"/>
          <w:sz w:val="16"/>
          <w:szCs w:val="16"/>
        </w:rPr>
        <w:t>i</w:t>
      </w:r>
      <w:r>
        <w:rPr>
          <w:rFonts w:ascii="Times New Roman" w:cs="Times New Roman"/>
        </w:rPr>
        <w:t>为：</w:t>
      </w:r>
    </w:p>
    <w:p>
      <w:pPr>
        <w:pStyle w:val="6"/>
        <w:ind w:firstLine="0" w:firstLineChars="0"/>
        <w:jc w:val="center"/>
        <w:rPr>
          <w:rFonts w:ascii="Times New Roman" w:cs="Times New Roman"/>
          <w:sz w:val="16"/>
          <w:szCs w:val="16"/>
        </w:rPr>
      </w:pPr>
      <w:r>
        <w:rPr>
          <w:rFonts w:ascii="Times New Roman" w:cs="Times New Roman"/>
        </w:rPr>
        <w:t>S</w:t>
      </w:r>
      <w:r>
        <w:rPr>
          <w:rFonts w:ascii="Times New Roman" w:cs="Times New Roman"/>
          <w:sz w:val="16"/>
          <w:szCs w:val="16"/>
        </w:rPr>
        <w:t>i</w:t>
      </w:r>
      <w:r>
        <w:rPr>
          <w:rFonts w:ascii="Times New Roman" w:cs="Times New Roman"/>
        </w:rPr>
        <w:t>=C</w:t>
      </w:r>
      <w:r>
        <w:rPr>
          <w:rFonts w:ascii="Times New Roman" w:cs="Times New Roman"/>
          <w:sz w:val="16"/>
          <w:szCs w:val="16"/>
        </w:rPr>
        <w:t>i</w:t>
      </w:r>
      <w:r>
        <w:rPr>
          <w:rFonts w:ascii="Times New Roman" w:cs="Times New Roman"/>
        </w:rPr>
        <w:t>/C</w:t>
      </w:r>
      <w:r>
        <w:rPr>
          <w:rFonts w:ascii="Times New Roman" w:cs="Times New Roman"/>
          <w:sz w:val="16"/>
          <w:szCs w:val="16"/>
        </w:rPr>
        <w:t>0i</w:t>
      </w:r>
    </w:p>
    <w:p>
      <w:pPr>
        <w:pStyle w:val="6"/>
        <w:ind w:firstLine="480"/>
        <w:rPr>
          <w:rFonts w:ascii="Times New Roman" w:cs="Times New Roman"/>
        </w:rPr>
      </w:pPr>
      <w:r>
        <w:rPr>
          <w:rFonts w:ascii="Times New Roman" w:cs="Times New Roman"/>
        </w:rPr>
        <w:t>式中：C</w:t>
      </w:r>
      <w:r>
        <w:rPr>
          <w:rFonts w:ascii="Times New Roman" w:cs="Times New Roman"/>
          <w:sz w:val="16"/>
          <w:szCs w:val="16"/>
        </w:rPr>
        <w:t>i</w:t>
      </w:r>
      <w:r>
        <w:rPr>
          <w:rFonts w:ascii="Times New Roman" w:cs="Times New Roman"/>
        </w:rPr>
        <w:t>——第i种污染物实测浓度值，mg/L；</w:t>
      </w:r>
    </w:p>
    <w:p>
      <w:pPr>
        <w:pStyle w:val="6"/>
        <w:ind w:firstLine="1200" w:firstLineChars="500"/>
        <w:rPr>
          <w:rFonts w:ascii="Times New Roman" w:cs="Times New Roman"/>
        </w:rPr>
      </w:pPr>
      <w:r>
        <w:rPr>
          <w:rFonts w:ascii="Times New Roman" w:cs="Times New Roman"/>
        </w:rPr>
        <w:t>C</w:t>
      </w:r>
      <w:r>
        <w:rPr>
          <w:rFonts w:ascii="Times New Roman" w:cs="Times New Roman"/>
          <w:sz w:val="16"/>
          <w:szCs w:val="16"/>
        </w:rPr>
        <w:t>0i</w:t>
      </w:r>
      <w:r>
        <w:rPr>
          <w:rFonts w:ascii="Times New Roman" w:cs="Times New Roman"/>
        </w:rPr>
        <w:t>——第i种污染物在GB/T14848-2017中III类分类指标值，mg/L；</w:t>
      </w:r>
    </w:p>
    <w:p>
      <w:pPr>
        <w:pStyle w:val="6"/>
        <w:ind w:firstLine="1200" w:firstLineChars="500"/>
        <w:rPr>
          <w:rFonts w:ascii="Times New Roman" w:cs="Times New Roman"/>
        </w:rPr>
      </w:pPr>
      <w:r>
        <w:rPr>
          <w:rFonts w:ascii="Times New Roman" w:cs="Times New Roman"/>
        </w:rPr>
        <w:t>pH的标准指数S</w:t>
      </w:r>
      <w:r>
        <w:rPr>
          <w:rFonts w:ascii="Times New Roman" w:cs="Times New Roman"/>
          <w:sz w:val="16"/>
          <w:szCs w:val="16"/>
        </w:rPr>
        <w:t>pH</w:t>
      </w:r>
      <w:r>
        <w:rPr>
          <w:rFonts w:ascii="Times New Roman" w:cs="Times New Roman"/>
        </w:rPr>
        <w:t>为：</w:t>
      </w:r>
    </w:p>
    <w:p>
      <w:pPr>
        <w:pStyle w:val="6"/>
        <w:ind w:firstLine="480"/>
        <w:rPr>
          <w:rFonts w:ascii="Times New Roman" w:cs="Times New Roman"/>
        </w:rPr>
      </w:pPr>
      <w:r>
        <w:rPr>
          <w:rFonts w:ascii="Times New Roman" w:cs="Times New Roman"/>
        </w:rPr>
        <w:t>当pH≤7.0</w:t>
      </w:r>
    </w:p>
    <w:p>
      <w:pPr>
        <w:pStyle w:val="6"/>
        <w:ind w:firstLine="199" w:firstLineChars="83"/>
        <w:jc w:val="center"/>
        <w:rPr>
          <w:rFonts w:ascii="Times New Roman" w:cs="Times New Roman"/>
        </w:rPr>
      </w:pPr>
      <w:r>
        <w:rPr>
          <w:rFonts w:ascii="Times New Roman" w:cs="Times New Roman"/>
        </w:rPr>
        <w:t>S</w:t>
      </w:r>
      <w:r>
        <w:rPr>
          <w:rFonts w:ascii="Times New Roman" w:cs="Times New Roman"/>
          <w:sz w:val="16"/>
          <w:szCs w:val="16"/>
        </w:rPr>
        <w:t>pH</w:t>
      </w:r>
      <w:r>
        <w:rPr>
          <w:rFonts w:ascii="Times New Roman" w:cs="Times New Roman"/>
        </w:rPr>
        <w:t>=（7.0-pH）/（7.0-pH</w:t>
      </w:r>
      <w:r>
        <w:rPr>
          <w:rFonts w:ascii="Times New Roman" w:cs="Times New Roman"/>
          <w:sz w:val="16"/>
          <w:szCs w:val="16"/>
        </w:rPr>
        <w:t>sd</w:t>
      </w:r>
      <w:r>
        <w:rPr>
          <w:rFonts w:ascii="Times New Roman" w:cs="Times New Roman"/>
        </w:rPr>
        <w:t>）</w:t>
      </w:r>
    </w:p>
    <w:p>
      <w:pPr>
        <w:pStyle w:val="6"/>
        <w:ind w:firstLine="480"/>
        <w:rPr>
          <w:rFonts w:ascii="Times New Roman" w:cs="Times New Roman"/>
        </w:rPr>
      </w:pPr>
      <w:r>
        <w:rPr>
          <w:rFonts w:ascii="Times New Roman" w:cs="Times New Roman"/>
        </w:rPr>
        <w:t>当pH≥7.0</w:t>
      </w:r>
    </w:p>
    <w:p>
      <w:pPr>
        <w:pStyle w:val="6"/>
        <w:ind w:firstLine="199" w:firstLineChars="83"/>
        <w:jc w:val="center"/>
        <w:rPr>
          <w:rFonts w:ascii="Times New Roman" w:cs="Times New Roman"/>
        </w:rPr>
      </w:pPr>
      <w:r>
        <w:rPr>
          <w:rFonts w:ascii="Times New Roman" w:cs="Times New Roman"/>
        </w:rPr>
        <w:t>S</w:t>
      </w:r>
      <w:r>
        <w:rPr>
          <w:rFonts w:ascii="Times New Roman" w:cs="Times New Roman"/>
          <w:sz w:val="16"/>
          <w:szCs w:val="16"/>
        </w:rPr>
        <w:t>pH</w:t>
      </w:r>
      <w:r>
        <w:rPr>
          <w:rFonts w:ascii="Times New Roman" w:cs="Times New Roman"/>
        </w:rPr>
        <w:t>=（pH-7.0）/（pH</w:t>
      </w:r>
      <w:r>
        <w:rPr>
          <w:rFonts w:ascii="Times New Roman" w:cs="Times New Roman"/>
          <w:sz w:val="16"/>
          <w:szCs w:val="16"/>
        </w:rPr>
        <w:t>sw</w:t>
      </w:r>
      <w:r>
        <w:rPr>
          <w:rFonts w:ascii="Times New Roman" w:cs="Times New Roman"/>
        </w:rPr>
        <w:t>-7.0）</w:t>
      </w:r>
    </w:p>
    <w:p>
      <w:pPr>
        <w:pStyle w:val="6"/>
        <w:ind w:firstLine="480"/>
        <w:rPr>
          <w:rFonts w:ascii="Times New Roman" w:cs="Times New Roman"/>
        </w:rPr>
      </w:pPr>
      <w:r>
        <w:rPr>
          <w:rFonts w:ascii="Times New Roman" w:cs="Times New Roman"/>
        </w:rPr>
        <w:t>式中：pH——实测的pH值；</w:t>
      </w:r>
    </w:p>
    <w:p>
      <w:pPr>
        <w:pStyle w:val="6"/>
        <w:ind w:firstLine="1200" w:firstLineChars="500"/>
        <w:rPr>
          <w:rFonts w:ascii="Times New Roman" w:cs="Times New Roman"/>
        </w:rPr>
      </w:pPr>
      <w:r>
        <w:rPr>
          <w:rFonts w:ascii="Times New Roman" w:cs="Times New Roman"/>
        </w:rPr>
        <w:t>pH</w:t>
      </w:r>
      <w:r>
        <w:rPr>
          <w:rFonts w:ascii="Times New Roman" w:cs="Times New Roman"/>
          <w:sz w:val="16"/>
          <w:szCs w:val="16"/>
        </w:rPr>
        <w:t>sd</w:t>
      </w:r>
      <w:r>
        <w:rPr>
          <w:rFonts w:ascii="Times New Roman" w:cs="Times New Roman"/>
        </w:rPr>
        <w:t>——地表水质量标准中规定的pH值下限；</w:t>
      </w:r>
    </w:p>
    <w:p>
      <w:pPr>
        <w:pStyle w:val="6"/>
        <w:ind w:firstLine="1200" w:firstLineChars="500"/>
        <w:rPr>
          <w:rFonts w:ascii="Times New Roman" w:cs="Times New Roman"/>
        </w:rPr>
      </w:pPr>
      <w:r>
        <w:rPr>
          <w:rFonts w:ascii="Times New Roman" w:cs="Times New Roman"/>
        </w:rPr>
        <w:t>pH</w:t>
      </w:r>
      <w:r>
        <w:rPr>
          <w:rFonts w:ascii="Times New Roman" w:cs="Times New Roman"/>
          <w:sz w:val="16"/>
          <w:szCs w:val="16"/>
        </w:rPr>
        <w:t>sw</w:t>
      </w:r>
      <w:r>
        <w:rPr>
          <w:rFonts w:ascii="Times New Roman" w:cs="Times New Roman"/>
        </w:rPr>
        <w:t>——地表水质量标准中规定的pH值上限。</w:t>
      </w:r>
    </w:p>
    <w:p>
      <w:pPr>
        <w:pStyle w:val="6"/>
        <w:ind w:firstLine="482"/>
        <w:rPr>
          <w:rFonts w:ascii="Times New Roman" w:cs="Times New Roman"/>
          <w:b/>
        </w:rPr>
      </w:pPr>
      <w:bookmarkStart w:id="441" w:name="_Toc12288573"/>
      <w:r>
        <w:rPr>
          <w:rFonts w:ascii="Times New Roman" w:cs="Times New Roman"/>
          <w:b/>
        </w:rPr>
        <w:t>7、监测结果及评价结论</w:t>
      </w:r>
      <w:bookmarkEnd w:id="441"/>
    </w:p>
    <w:p>
      <w:pPr>
        <w:pStyle w:val="6"/>
        <w:ind w:firstLine="480"/>
        <w:rPr>
          <w:rFonts w:ascii="Times New Roman" w:cs="Times New Roman"/>
        </w:rPr>
      </w:pPr>
      <w:r>
        <w:rPr>
          <w:rFonts w:ascii="Times New Roman" w:cs="Times New Roman"/>
        </w:rPr>
        <w:t>地下水质量现状监测与评价结果见表5.5-1</w:t>
      </w:r>
      <w:r>
        <w:rPr>
          <w:rFonts w:hint="eastAsia" w:ascii="Times New Roman" w:cs="Times New Roman"/>
        </w:rPr>
        <w:t>~</w:t>
      </w:r>
      <w:r>
        <w:rPr>
          <w:rFonts w:ascii="Times New Roman" w:cs="Times New Roman"/>
        </w:rPr>
        <w:t>表5.5-</w:t>
      </w:r>
      <w:r>
        <w:rPr>
          <w:rFonts w:hint="eastAsia" w:ascii="Times New Roman" w:cs="Times New Roman"/>
        </w:rPr>
        <w:t>3</w:t>
      </w:r>
      <w:r>
        <w:rPr>
          <w:rFonts w:ascii="Times New Roman" w:cs="Times New Roman"/>
        </w:rPr>
        <w:t>。</w:t>
      </w:r>
    </w:p>
    <w:p>
      <w:pPr>
        <w:widowControl/>
        <w:topLinePunct w:val="0"/>
        <w:adjustRightInd/>
        <w:spacing w:line="240" w:lineRule="auto"/>
        <w:ind w:firstLine="0" w:firstLineChars="0"/>
        <w:jc w:val="center"/>
        <w:rPr>
          <w:rFonts w:ascii="Times New Roman" w:cs="Times New Roman"/>
          <w:b/>
          <w:sz w:val="21"/>
        </w:rPr>
      </w:pPr>
      <w:r>
        <w:rPr>
          <w:rFonts w:ascii="Times New Roman" w:cs="Times New Roman"/>
          <w:b/>
        </w:rPr>
        <w:t>表5.5-1</w:t>
      </w:r>
      <w:r>
        <w:rPr>
          <w:rFonts w:ascii="Times New Roman" w:cs="Times New Roman"/>
          <w:b/>
          <w:sz w:val="21"/>
        </w:rPr>
        <w:t xml:space="preserve">  水样水化学常量组分监测结果（mg/L）</w:t>
      </w:r>
    </w:p>
    <w:tbl>
      <w:tblPr>
        <w:tblStyle w:val="57"/>
        <w:tblW w:w="5000" w:type="pct"/>
        <w:jc w:val="center"/>
        <w:tblLayout w:type="fixed"/>
        <w:tblCellMar>
          <w:top w:w="0" w:type="dxa"/>
          <w:left w:w="108" w:type="dxa"/>
          <w:bottom w:w="0" w:type="dxa"/>
          <w:right w:w="108" w:type="dxa"/>
        </w:tblCellMar>
      </w:tblPr>
      <w:tblGrid>
        <w:gridCol w:w="816"/>
        <w:gridCol w:w="990"/>
        <w:gridCol w:w="511"/>
        <w:gridCol w:w="653"/>
        <w:gridCol w:w="525"/>
        <w:gridCol w:w="653"/>
        <w:gridCol w:w="656"/>
        <w:gridCol w:w="653"/>
        <w:gridCol w:w="656"/>
        <w:gridCol w:w="656"/>
        <w:gridCol w:w="539"/>
        <w:gridCol w:w="1214"/>
      </w:tblGrid>
      <w:tr>
        <w:tblPrEx>
          <w:tblCellMar>
            <w:top w:w="0" w:type="dxa"/>
            <w:left w:w="108" w:type="dxa"/>
            <w:bottom w:w="0" w:type="dxa"/>
            <w:right w:w="108" w:type="dxa"/>
          </w:tblCellMar>
        </w:tblPrEx>
        <w:trPr>
          <w:trHeight w:val="529" w:hRule="atLeast"/>
          <w:jc w:val="center"/>
        </w:trPr>
        <w:tc>
          <w:tcPr>
            <w:tcW w:w="816" w:type="dxa"/>
            <w:tcBorders>
              <w:top w:val="single" w:color="auto" w:sz="12" w:space="0"/>
              <w:bottom w:val="single" w:color="auto" w:sz="4" w:space="0"/>
              <w:right w:val="single" w:color="auto" w:sz="4" w:space="0"/>
              <w:tl2br w:val="single" w:color="000000" w:sz="8" w:space="0"/>
            </w:tcBorders>
            <w:vAlign w:val="center"/>
          </w:tcPr>
          <w:p>
            <w:pPr>
              <w:widowControl/>
              <w:topLinePunct w:val="0"/>
              <w:adjustRightInd/>
              <w:spacing w:line="240" w:lineRule="auto"/>
              <w:ind w:left="-120" w:leftChars="-50" w:right="-120" w:rightChars="-50" w:firstLine="211" w:firstLineChars="100"/>
              <w:jc w:val="left"/>
              <w:rPr>
                <w:rFonts w:ascii="Times New Roman" w:hAnsi="宋体" w:cs="Times New Roman"/>
                <w:b/>
                <w:sz w:val="21"/>
              </w:rPr>
            </w:pPr>
            <w:r>
              <w:rPr>
                <w:rFonts w:ascii="Times New Roman" w:hAnsi="宋体" w:cs="Times New Roman"/>
                <w:b/>
                <w:sz w:val="21"/>
              </w:rPr>
              <w:t>指标                                          编号</w:t>
            </w:r>
          </w:p>
        </w:tc>
        <w:tc>
          <w:tcPr>
            <w:tcW w:w="990"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b/>
                <w:sz w:val="21"/>
              </w:rPr>
            </w:pPr>
            <w:r>
              <w:rPr>
                <w:rFonts w:ascii="Times New Roman" w:hAnsi="宋体" w:cs="Times New Roman"/>
                <w:b/>
                <w:sz w:val="21"/>
              </w:rPr>
              <w:t>监测点</w:t>
            </w:r>
          </w:p>
          <w:p>
            <w:pPr>
              <w:widowControl/>
              <w:topLinePunct w:val="0"/>
              <w:adjustRightInd/>
              <w:spacing w:line="240" w:lineRule="auto"/>
              <w:ind w:left="-120" w:leftChars="-50" w:right="-120" w:rightChars="-50" w:firstLine="0" w:firstLineChars="0"/>
              <w:jc w:val="center"/>
              <w:rPr>
                <w:rFonts w:ascii="Times New Roman" w:hAnsi="宋体" w:cs="Times New Roman"/>
                <w:b/>
                <w:sz w:val="21"/>
              </w:rPr>
            </w:pPr>
            <w:r>
              <w:rPr>
                <w:rFonts w:ascii="Times New Roman" w:hAnsi="宋体" w:cs="Times New Roman"/>
                <w:b/>
                <w:sz w:val="21"/>
              </w:rPr>
              <w:t>类型</w:t>
            </w:r>
          </w:p>
        </w:tc>
        <w:tc>
          <w:tcPr>
            <w:tcW w:w="511"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b/>
                <w:sz w:val="21"/>
              </w:rPr>
            </w:pPr>
            <w:r>
              <w:rPr>
                <w:rFonts w:ascii="Times New Roman" w:hAnsi="宋体" w:cs="Times New Roman"/>
                <w:b/>
                <w:sz w:val="21"/>
              </w:rPr>
              <w:t>pH</w:t>
            </w:r>
          </w:p>
        </w:tc>
        <w:tc>
          <w:tcPr>
            <w:tcW w:w="653"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b/>
                <w:sz w:val="21"/>
              </w:rPr>
            </w:pPr>
            <w:r>
              <w:rPr>
                <w:rFonts w:ascii="Times New Roman" w:hAnsi="宋体" w:cs="Times New Roman"/>
                <w:b/>
                <w:sz w:val="21"/>
              </w:rPr>
              <w:t>K</w:t>
            </w:r>
            <w:r>
              <w:rPr>
                <w:rFonts w:ascii="Times New Roman" w:hAnsi="宋体" w:cs="Times New Roman"/>
                <w:b/>
                <w:sz w:val="21"/>
                <w:vertAlign w:val="superscript"/>
              </w:rPr>
              <w:t>+</w:t>
            </w:r>
          </w:p>
        </w:tc>
        <w:tc>
          <w:tcPr>
            <w:tcW w:w="525"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b/>
                <w:sz w:val="21"/>
              </w:rPr>
            </w:pPr>
            <w:r>
              <w:rPr>
                <w:rFonts w:ascii="Times New Roman" w:hAnsi="宋体" w:cs="Times New Roman"/>
                <w:b/>
                <w:sz w:val="21"/>
              </w:rPr>
              <w:t>Na</w:t>
            </w:r>
            <w:r>
              <w:rPr>
                <w:rFonts w:ascii="Times New Roman" w:hAnsi="宋体" w:cs="Times New Roman"/>
                <w:b/>
                <w:sz w:val="21"/>
                <w:vertAlign w:val="superscript"/>
              </w:rPr>
              <w:t>+</w:t>
            </w:r>
          </w:p>
        </w:tc>
        <w:tc>
          <w:tcPr>
            <w:tcW w:w="653"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b/>
                <w:sz w:val="21"/>
              </w:rPr>
            </w:pPr>
            <w:r>
              <w:rPr>
                <w:rFonts w:ascii="Times New Roman" w:hAnsi="宋体" w:cs="Times New Roman"/>
                <w:b/>
                <w:sz w:val="21"/>
              </w:rPr>
              <w:t>Ca</w:t>
            </w:r>
            <w:r>
              <w:rPr>
                <w:rFonts w:ascii="Times New Roman" w:hAnsi="宋体" w:cs="Times New Roman"/>
                <w:b/>
                <w:sz w:val="21"/>
                <w:vertAlign w:val="superscript"/>
              </w:rPr>
              <w:t>2+</w:t>
            </w:r>
          </w:p>
        </w:tc>
        <w:tc>
          <w:tcPr>
            <w:tcW w:w="656"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b/>
                <w:sz w:val="21"/>
              </w:rPr>
            </w:pPr>
            <w:r>
              <w:rPr>
                <w:rFonts w:ascii="Times New Roman" w:hAnsi="宋体" w:cs="Times New Roman"/>
                <w:b/>
                <w:sz w:val="21"/>
              </w:rPr>
              <w:t>Mg</w:t>
            </w:r>
            <w:r>
              <w:rPr>
                <w:rFonts w:ascii="Times New Roman" w:hAnsi="宋体" w:cs="Times New Roman"/>
                <w:b/>
                <w:sz w:val="21"/>
                <w:vertAlign w:val="superscript"/>
              </w:rPr>
              <w:t>2+</w:t>
            </w:r>
          </w:p>
        </w:tc>
        <w:tc>
          <w:tcPr>
            <w:tcW w:w="653"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b/>
                <w:sz w:val="21"/>
              </w:rPr>
            </w:pPr>
            <w:r>
              <w:rPr>
                <w:rFonts w:ascii="Times New Roman" w:hAnsi="宋体" w:cs="Times New Roman"/>
                <w:b/>
                <w:sz w:val="21"/>
              </w:rPr>
              <w:t>Cl</w:t>
            </w:r>
            <w:r>
              <w:rPr>
                <w:rFonts w:ascii="Times New Roman" w:hAnsi="宋体" w:cs="Times New Roman"/>
                <w:b/>
                <w:sz w:val="21"/>
                <w:vertAlign w:val="superscript"/>
              </w:rPr>
              <w:t>-</w:t>
            </w:r>
          </w:p>
        </w:tc>
        <w:tc>
          <w:tcPr>
            <w:tcW w:w="656"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b/>
                <w:sz w:val="21"/>
              </w:rPr>
            </w:pPr>
            <w:r>
              <w:rPr>
                <w:rFonts w:ascii="Times New Roman" w:hAnsi="宋体" w:cs="Times New Roman"/>
                <w:b/>
                <w:sz w:val="21"/>
              </w:rPr>
              <w:t>SO</w:t>
            </w:r>
            <w:r>
              <w:rPr>
                <w:rFonts w:ascii="Times New Roman" w:hAnsi="宋体" w:cs="Times New Roman"/>
                <w:b/>
                <w:sz w:val="21"/>
                <w:vertAlign w:val="subscript"/>
              </w:rPr>
              <w:t>4</w:t>
            </w:r>
            <w:r>
              <w:rPr>
                <w:rFonts w:ascii="Times New Roman" w:hAnsi="宋体" w:cs="Times New Roman"/>
                <w:b/>
                <w:sz w:val="21"/>
                <w:vertAlign w:val="superscript"/>
              </w:rPr>
              <w:t>2-</w:t>
            </w:r>
          </w:p>
        </w:tc>
        <w:tc>
          <w:tcPr>
            <w:tcW w:w="656"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b/>
                <w:sz w:val="21"/>
              </w:rPr>
            </w:pPr>
            <w:r>
              <w:rPr>
                <w:rFonts w:ascii="Times New Roman" w:hAnsi="宋体" w:cs="Times New Roman"/>
                <w:b/>
                <w:sz w:val="21"/>
              </w:rPr>
              <w:t>HCO</w:t>
            </w:r>
            <w:r>
              <w:rPr>
                <w:rFonts w:ascii="Times New Roman" w:hAnsi="宋体" w:cs="Times New Roman"/>
                <w:b/>
                <w:sz w:val="21"/>
                <w:vertAlign w:val="subscript"/>
              </w:rPr>
              <w:t>3</w:t>
            </w:r>
            <w:r>
              <w:rPr>
                <w:rFonts w:ascii="Times New Roman" w:hAnsi="宋体" w:cs="Times New Roman"/>
                <w:b/>
                <w:sz w:val="21"/>
                <w:vertAlign w:val="superscript"/>
              </w:rPr>
              <w:t>-</w:t>
            </w:r>
          </w:p>
        </w:tc>
        <w:tc>
          <w:tcPr>
            <w:tcW w:w="539"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b/>
                <w:sz w:val="21"/>
              </w:rPr>
            </w:pPr>
            <w:r>
              <w:rPr>
                <w:rFonts w:ascii="Times New Roman" w:hAnsi="宋体" w:cs="Times New Roman"/>
                <w:b/>
                <w:sz w:val="21"/>
              </w:rPr>
              <w:t>溶解性总固体</w:t>
            </w:r>
          </w:p>
        </w:tc>
        <w:tc>
          <w:tcPr>
            <w:tcW w:w="1214" w:type="dxa"/>
            <w:tcBorders>
              <w:top w:val="single" w:color="auto" w:sz="12" w:space="0"/>
              <w:left w:val="single" w:color="auto" w:sz="4" w:space="0"/>
              <w:bottom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b/>
                <w:sz w:val="21"/>
              </w:rPr>
            </w:pPr>
            <w:r>
              <w:rPr>
                <w:rFonts w:ascii="Times New Roman" w:hAnsi="宋体" w:cs="Times New Roman"/>
                <w:b/>
                <w:sz w:val="21"/>
              </w:rPr>
              <w:t>水化学类型</w:t>
            </w:r>
          </w:p>
        </w:tc>
      </w:tr>
      <w:tr>
        <w:tblPrEx>
          <w:tblCellMar>
            <w:top w:w="0" w:type="dxa"/>
            <w:left w:w="108" w:type="dxa"/>
            <w:bottom w:w="0" w:type="dxa"/>
            <w:right w:w="108" w:type="dxa"/>
          </w:tblCellMar>
        </w:tblPrEx>
        <w:trPr>
          <w:trHeight w:val="300" w:hRule="atLeast"/>
          <w:jc w:val="center"/>
        </w:trPr>
        <w:tc>
          <w:tcPr>
            <w:tcW w:w="816" w:type="dxa"/>
            <w:tcBorders>
              <w:top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hAnsi="宋体" w:cs="Times New Roman"/>
                <w:sz w:val="21"/>
              </w:rPr>
              <w:t>WX</w:t>
            </w:r>
            <w:r>
              <w:rPr>
                <w:rFonts w:ascii="Times New Roman" w:hAnsi="宋体" w:cs="Times New Roman"/>
                <w:sz w:val="21"/>
              </w:rPr>
              <w:t>1</w:t>
            </w:r>
          </w:p>
        </w:tc>
        <w:tc>
          <w:tcPr>
            <w:tcW w:w="990"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hAnsi="宋体" w:cs="Times New Roman"/>
                <w:kern w:val="2"/>
                <w:sz w:val="21"/>
              </w:rPr>
              <w:t>井水</w:t>
            </w:r>
          </w:p>
        </w:tc>
        <w:tc>
          <w:tcPr>
            <w:tcW w:w="511"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ascii="Times New Roman" w:hAnsi="宋体" w:cs="Times New Roman"/>
                <w:sz w:val="21"/>
              </w:rPr>
              <w:t>7.</w:t>
            </w:r>
            <w:r>
              <w:rPr>
                <w:rFonts w:hint="eastAsia" w:ascii="Times New Roman" w:hAnsi="宋体" w:cs="Times New Roman"/>
                <w:sz w:val="21"/>
              </w:rPr>
              <w:t>7</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hAnsi="宋体" w:cs="Times New Roman"/>
                <w:sz w:val="21"/>
              </w:rPr>
              <w:t>0.98</w:t>
            </w:r>
          </w:p>
        </w:tc>
        <w:tc>
          <w:tcPr>
            <w:tcW w:w="52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hAnsi="宋体" w:cs="Times New Roman"/>
                <w:sz w:val="21"/>
              </w:rPr>
              <w:t>4.04</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hAnsi="宋体" w:cs="Times New Roman"/>
                <w:sz w:val="21"/>
              </w:rPr>
              <w:t>9.16</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kern w:val="2"/>
                <w:sz w:val="21"/>
                <w:szCs w:val="21"/>
              </w:rPr>
              <w:t>37.2</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18.0</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20.6</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3.28</w:t>
            </w:r>
          </w:p>
        </w:tc>
        <w:tc>
          <w:tcPr>
            <w:tcW w:w="539"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200</w:t>
            </w:r>
          </w:p>
        </w:tc>
        <w:tc>
          <w:tcPr>
            <w:tcW w:w="1214" w:type="dxa"/>
            <w:tcBorders>
              <w:top w:val="single" w:color="auto" w:sz="4" w:space="0"/>
              <w:left w:val="single" w:color="auto" w:sz="4" w:space="0"/>
              <w:bottom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ascii="Times New Roman" w:hAnsi="宋体" w:cs="Times New Roman"/>
                <w:sz w:val="21"/>
              </w:rPr>
              <w:t>HCO</w:t>
            </w:r>
            <w:r>
              <w:rPr>
                <w:rFonts w:ascii="Times New Roman" w:hAnsi="宋体" w:cs="Times New Roman"/>
                <w:sz w:val="21"/>
                <w:vertAlign w:val="subscript"/>
              </w:rPr>
              <w:t>3</w:t>
            </w:r>
            <w:r>
              <w:rPr>
                <w:rFonts w:ascii="Times New Roman" w:hAnsi="宋体" w:cs="Times New Roman"/>
                <w:sz w:val="21"/>
              </w:rPr>
              <w:t>-Mg-Ca</w:t>
            </w:r>
          </w:p>
        </w:tc>
      </w:tr>
      <w:tr>
        <w:tblPrEx>
          <w:tblCellMar>
            <w:top w:w="0" w:type="dxa"/>
            <w:left w:w="108" w:type="dxa"/>
            <w:bottom w:w="0" w:type="dxa"/>
            <w:right w:w="108" w:type="dxa"/>
          </w:tblCellMar>
        </w:tblPrEx>
        <w:trPr>
          <w:trHeight w:val="300" w:hRule="atLeast"/>
          <w:jc w:val="center"/>
        </w:trPr>
        <w:tc>
          <w:tcPr>
            <w:tcW w:w="816" w:type="dxa"/>
            <w:tcBorders>
              <w:top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hAnsi="宋体" w:cs="Times New Roman"/>
                <w:sz w:val="21"/>
              </w:rPr>
              <w:t>WX</w:t>
            </w:r>
            <w:r>
              <w:rPr>
                <w:rFonts w:ascii="Times New Roman" w:hAnsi="宋体" w:cs="Times New Roman"/>
                <w:sz w:val="21"/>
              </w:rPr>
              <w:t>2</w:t>
            </w:r>
          </w:p>
        </w:tc>
        <w:tc>
          <w:tcPr>
            <w:tcW w:w="990"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hAnsi="宋体" w:cs="Times New Roman"/>
                <w:kern w:val="2"/>
                <w:sz w:val="21"/>
              </w:rPr>
              <w:t>井水</w:t>
            </w:r>
          </w:p>
        </w:tc>
        <w:tc>
          <w:tcPr>
            <w:tcW w:w="511"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ascii="Times New Roman" w:hAnsi="宋体" w:cs="Times New Roman"/>
                <w:sz w:val="21"/>
              </w:rPr>
              <w:t>7.</w:t>
            </w:r>
            <w:r>
              <w:rPr>
                <w:rFonts w:hint="eastAsia" w:ascii="Times New Roman" w:hAnsi="宋体" w:cs="Times New Roman"/>
                <w:sz w:val="21"/>
              </w:rPr>
              <w:t>9</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0.71</w:t>
            </w:r>
          </w:p>
        </w:tc>
        <w:tc>
          <w:tcPr>
            <w:tcW w:w="52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4.09</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9.02</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36.9</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28.</w:t>
            </w:r>
            <w:r>
              <w:rPr>
                <w:rFonts w:ascii="Times New Roman" w:cs="Times New Roman"/>
                <w:bCs/>
                <w:kern w:val="2"/>
                <w:sz w:val="21"/>
                <w:szCs w:val="21"/>
              </w:rPr>
              <w:t>3</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ascii="Times New Roman" w:cs="Times New Roman"/>
                <w:bCs/>
                <w:kern w:val="2"/>
                <w:sz w:val="21"/>
                <w:szCs w:val="21"/>
              </w:rPr>
              <w:t>2</w:t>
            </w:r>
            <w:r>
              <w:rPr>
                <w:rFonts w:hint="eastAsia" w:ascii="Times New Roman" w:cs="Times New Roman"/>
                <w:bCs/>
                <w:kern w:val="2"/>
                <w:sz w:val="21"/>
                <w:szCs w:val="21"/>
              </w:rPr>
              <w:t>3.4</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2.26</w:t>
            </w:r>
          </w:p>
        </w:tc>
        <w:tc>
          <w:tcPr>
            <w:tcW w:w="539"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190</w:t>
            </w:r>
          </w:p>
        </w:tc>
        <w:tc>
          <w:tcPr>
            <w:tcW w:w="1214" w:type="dxa"/>
            <w:tcBorders>
              <w:top w:val="single" w:color="auto" w:sz="4" w:space="0"/>
              <w:left w:val="single" w:color="auto" w:sz="4" w:space="0"/>
              <w:bottom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ascii="Times New Roman" w:hAnsi="宋体" w:cs="Times New Roman"/>
                <w:sz w:val="21"/>
              </w:rPr>
              <w:t>HCO</w:t>
            </w:r>
            <w:r>
              <w:rPr>
                <w:rFonts w:ascii="Times New Roman" w:hAnsi="宋体" w:cs="Times New Roman"/>
                <w:sz w:val="21"/>
                <w:vertAlign w:val="subscript"/>
              </w:rPr>
              <w:t>3</w:t>
            </w:r>
            <w:r>
              <w:rPr>
                <w:rFonts w:ascii="Times New Roman" w:hAnsi="宋体" w:cs="Times New Roman"/>
                <w:sz w:val="21"/>
              </w:rPr>
              <w:t>-Mg-Ca</w:t>
            </w:r>
          </w:p>
        </w:tc>
      </w:tr>
      <w:tr>
        <w:tblPrEx>
          <w:tblCellMar>
            <w:top w:w="0" w:type="dxa"/>
            <w:left w:w="108" w:type="dxa"/>
            <w:bottom w:w="0" w:type="dxa"/>
            <w:right w:w="108" w:type="dxa"/>
          </w:tblCellMar>
        </w:tblPrEx>
        <w:trPr>
          <w:trHeight w:val="300" w:hRule="atLeast"/>
          <w:jc w:val="center"/>
        </w:trPr>
        <w:tc>
          <w:tcPr>
            <w:tcW w:w="816" w:type="dxa"/>
            <w:tcBorders>
              <w:top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hAnsi="宋体" w:cs="Times New Roman"/>
                <w:sz w:val="21"/>
              </w:rPr>
              <w:t>WX</w:t>
            </w:r>
            <w:r>
              <w:rPr>
                <w:rFonts w:ascii="Times New Roman" w:hAnsi="宋体" w:cs="Times New Roman"/>
                <w:sz w:val="21"/>
              </w:rPr>
              <w:t>3</w:t>
            </w:r>
          </w:p>
        </w:tc>
        <w:tc>
          <w:tcPr>
            <w:tcW w:w="990"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hAnsi="宋体" w:cs="Times New Roman"/>
                <w:kern w:val="2"/>
                <w:sz w:val="21"/>
              </w:rPr>
              <w:t>井水</w:t>
            </w:r>
          </w:p>
        </w:tc>
        <w:tc>
          <w:tcPr>
            <w:tcW w:w="511"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ascii="Times New Roman" w:hAnsi="宋体" w:cs="Times New Roman"/>
                <w:sz w:val="21"/>
              </w:rPr>
              <w:t>7.</w:t>
            </w:r>
            <w:r>
              <w:rPr>
                <w:rFonts w:hint="eastAsia" w:ascii="Times New Roman" w:hAnsi="宋体" w:cs="Times New Roman"/>
                <w:sz w:val="21"/>
              </w:rPr>
              <w:t>9</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1.61</w:t>
            </w:r>
          </w:p>
        </w:tc>
        <w:tc>
          <w:tcPr>
            <w:tcW w:w="52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3.86</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6.76</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kern w:val="2"/>
                <w:sz w:val="21"/>
                <w:szCs w:val="21"/>
              </w:rPr>
              <w:t>38.5</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6.38</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hAnsi="宋体" w:cs="Times New Roman"/>
                <w:sz w:val="21"/>
              </w:rPr>
              <w:t>16.6</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3.86</w:t>
            </w:r>
          </w:p>
        </w:tc>
        <w:tc>
          <w:tcPr>
            <w:tcW w:w="539"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kern w:val="2"/>
                <w:sz w:val="21"/>
                <w:szCs w:val="21"/>
              </w:rPr>
              <w:t>195</w:t>
            </w:r>
          </w:p>
        </w:tc>
        <w:tc>
          <w:tcPr>
            <w:tcW w:w="1214" w:type="dxa"/>
            <w:tcBorders>
              <w:top w:val="single" w:color="auto" w:sz="4" w:space="0"/>
              <w:left w:val="single" w:color="auto" w:sz="4" w:space="0"/>
              <w:bottom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ascii="Times New Roman" w:hAnsi="宋体" w:cs="Times New Roman"/>
                <w:sz w:val="21"/>
              </w:rPr>
              <w:t>HCO</w:t>
            </w:r>
            <w:r>
              <w:rPr>
                <w:rFonts w:ascii="Times New Roman" w:hAnsi="宋体" w:cs="Times New Roman"/>
                <w:sz w:val="21"/>
                <w:vertAlign w:val="subscript"/>
              </w:rPr>
              <w:t>3</w:t>
            </w:r>
            <w:r>
              <w:rPr>
                <w:rFonts w:ascii="Times New Roman" w:hAnsi="宋体" w:cs="Times New Roman"/>
                <w:sz w:val="21"/>
              </w:rPr>
              <w:t>-Mg-Ca</w:t>
            </w:r>
          </w:p>
        </w:tc>
      </w:tr>
      <w:tr>
        <w:tblPrEx>
          <w:tblCellMar>
            <w:top w:w="0" w:type="dxa"/>
            <w:left w:w="108" w:type="dxa"/>
            <w:bottom w:w="0" w:type="dxa"/>
            <w:right w:w="108" w:type="dxa"/>
          </w:tblCellMar>
        </w:tblPrEx>
        <w:trPr>
          <w:trHeight w:val="300" w:hRule="atLeast"/>
          <w:jc w:val="center"/>
        </w:trPr>
        <w:tc>
          <w:tcPr>
            <w:tcW w:w="816" w:type="dxa"/>
            <w:tcBorders>
              <w:top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hAnsi="宋体" w:cs="Times New Roman"/>
                <w:sz w:val="21"/>
              </w:rPr>
              <w:t>WX</w:t>
            </w:r>
            <w:r>
              <w:rPr>
                <w:rFonts w:ascii="Times New Roman" w:hAnsi="宋体" w:cs="Times New Roman"/>
                <w:sz w:val="21"/>
              </w:rPr>
              <w:t>4</w:t>
            </w:r>
          </w:p>
        </w:tc>
        <w:tc>
          <w:tcPr>
            <w:tcW w:w="990"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hAnsi="宋体" w:cs="Times New Roman"/>
                <w:kern w:val="2"/>
                <w:sz w:val="21"/>
              </w:rPr>
              <w:t>井水</w:t>
            </w:r>
          </w:p>
        </w:tc>
        <w:tc>
          <w:tcPr>
            <w:tcW w:w="511"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ascii="Times New Roman" w:hAnsi="宋体" w:cs="Times New Roman"/>
                <w:sz w:val="21"/>
              </w:rPr>
              <w:t>7.</w:t>
            </w:r>
            <w:r>
              <w:rPr>
                <w:rFonts w:hint="eastAsia" w:ascii="Times New Roman" w:hAnsi="宋体" w:cs="Times New Roman"/>
                <w:sz w:val="21"/>
              </w:rPr>
              <w:t>9</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0.74</w:t>
            </w:r>
          </w:p>
        </w:tc>
        <w:tc>
          <w:tcPr>
            <w:tcW w:w="52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3.64</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7.54</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37.6</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4.63</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ascii="Times New Roman" w:cs="Times New Roman"/>
                <w:bCs/>
                <w:kern w:val="2"/>
                <w:sz w:val="21"/>
                <w:szCs w:val="21"/>
              </w:rPr>
              <w:t>2</w:t>
            </w:r>
            <w:r>
              <w:rPr>
                <w:rFonts w:hint="eastAsia" w:ascii="Times New Roman" w:cs="Times New Roman"/>
                <w:bCs/>
                <w:kern w:val="2"/>
                <w:sz w:val="21"/>
                <w:szCs w:val="21"/>
              </w:rPr>
              <w:t>9.5</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3.24</w:t>
            </w:r>
          </w:p>
        </w:tc>
        <w:tc>
          <w:tcPr>
            <w:tcW w:w="539"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188</w:t>
            </w:r>
          </w:p>
        </w:tc>
        <w:tc>
          <w:tcPr>
            <w:tcW w:w="1214" w:type="dxa"/>
            <w:tcBorders>
              <w:top w:val="single" w:color="auto" w:sz="4" w:space="0"/>
              <w:left w:val="single" w:color="auto" w:sz="4" w:space="0"/>
              <w:bottom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ascii="Times New Roman" w:hAnsi="宋体" w:cs="Times New Roman"/>
                <w:sz w:val="21"/>
              </w:rPr>
              <w:t>HCO</w:t>
            </w:r>
            <w:r>
              <w:rPr>
                <w:rFonts w:ascii="Times New Roman" w:hAnsi="宋体" w:cs="Times New Roman"/>
                <w:sz w:val="21"/>
                <w:vertAlign w:val="subscript"/>
              </w:rPr>
              <w:t>3</w:t>
            </w:r>
            <w:r>
              <w:rPr>
                <w:rFonts w:ascii="Times New Roman" w:hAnsi="宋体" w:cs="Times New Roman"/>
                <w:sz w:val="21"/>
              </w:rPr>
              <w:t>-Mg-Ca</w:t>
            </w:r>
          </w:p>
        </w:tc>
      </w:tr>
      <w:tr>
        <w:tblPrEx>
          <w:tblCellMar>
            <w:top w:w="0" w:type="dxa"/>
            <w:left w:w="108" w:type="dxa"/>
            <w:bottom w:w="0" w:type="dxa"/>
            <w:right w:w="108" w:type="dxa"/>
          </w:tblCellMar>
        </w:tblPrEx>
        <w:trPr>
          <w:trHeight w:val="300" w:hRule="atLeast"/>
          <w:jc w:val="center"/>
        </w:trPr>
        <w:tc>
          <w:tcPr>
            <w:tcW w:w="816" w:type="dxa"/>
            <w:tcBorders>
              <w:top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hAnsi="宋体" w:cs="Times New Roman"/>
                <w:sz w:val="21"/>
              </w:rPr>
              <w:t>WX</w:t>
            </w:r>
            <w:r>
              <w:rPr>
                <w:rFonts w:ascii="Times New Roman" w:hAnsi="宋体" w:cs="Times New Roman"/>
                <w:sz w:val="21"/>
              </w:rPr>
              <w:t>5</w:t>
            </w:r>
          </w:p>
        </w:tc>
        <w:tc>
          <w:tcPr>
            <w:tcW w:w="990"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hAnsi="宋体" w:cs="Times New Roman"/>
                <w:kern w:val="2"/>
                <w:sz w:val="21"/>
              </w:rPr>
              <w:t>井水</w:t>
            </w:r>
          </w:p>
        </w:tc>
        <w:tc>
          <w:tcPr>
            <w:tcW w:w="511"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ascii="Times New Roman" w:hAnsi="宋体" w:cs="Times New Roman"/>
                <w:sz w:val="21"/>
              </w:rPr>
              <w:t>7.</w:t>
            </w:r>
            <w:r>
              <w:rPr>
                <w:rFonts w:hint="eastAsia" w:ascii="Times New Roman" w:hAnsi="宋体" w:cs="Times New Roman"/>
                <w:sz w:val="21"/>
              </w:rPr>
              <w:t>6</w:t>
            </w:r>
          </w:p>
        </w:tc>
        <w:tc>
          <w:tcPr>
            <w:tcW w:w="653"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0.77</w:t>
            </w:r>
          </w:p>
        </w:tc>
        <w:tc>
          <w:tcPr>
            <w:tcW w:w="525"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3.83</w:t>
            </w:r>
          </w:p>
        </w:tc>
        <w:tc>
          <w:tcPr>
            <w:tcW w:w="653"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kern w:val="2"/>
                <w:sz w:val="21"/>
                <w:szCs w:val="21"/>
              </w:rPr>
              <w:t>8.60</w:t>
            </w:r>
          </w:p>
        </w:tc>
        <w:tc>
          <w:tcPr>
            <w:tcW w:w="656"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34.2</w:t>
            </w:r>
          </w:p>
        </w:tc>
        <w:tc>
          <w:tcPr>
            <w:tcW w:w="653"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ascii="Times New Roman" w:cs="Times New Roman"/>
                <w:bCs/>
                <w:kern w:val="2"/>
                <w:sz w:val="21"/>
                <w:szCs w:val="21"/>
              </w:rPr>
              <w:t>1</w:t>
            </w:r>
            <w:r>
              <w:rPr>
                <w:rFonts w:hint="eastAsia" w:ascii="Times New Roman" w:cs="Times New Roman"/>
                <w:bCs/>
                <w:kern w:val="2"/>
                <w:sz w:val="21"/>
                <w:szCs w:val="21"/>
              </w:rPr>
              <w:t>3</w:t>
            </w:r>
            <w:r>
              <w:rPr>
                <w:rFonts w:ascii="Times New Roman" w:cs="Times New Roman"/>
                <w:bCs/>
                <w:kern w:val="2"/>
                <w:sz w:val="21"/>
                <w:szCs w:val="21"/>
              </w:rPr>
              <w:t>.5</w:t>
            </w:r>
          </w:p>
        </w:tc>
        <w:tc>
          <w:tcPr>
            <w:tcW w:w="656"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21.4</w:t>
            </w:r>
          </w:p>
        </w:tc>
        <w:tc>
          <w:tcPr>
            <w:tcW w:w="656"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3.08</w:t>
            </w:r>
          </w:p>
        </w:tc>
        <w:tc>
          <w:tcPr>
            <w:tcW w:w="539"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hint="eastAsia" w:ascii="Times New Roman" w:cs="Times New Roman"/>
                <w:bCs/>
                <w:kern w:val="2"/>
                <w:sz w:val="21"/>
                <w:szCs w:val="21"/>
              </w:rPr>
              <w:t>185</w:t>
            </w:r>
          </w:p>
        </w:tc>
        <w:tc>
          <w:tcPr>
            <w:tcW w:w="1214" w:type="dxa"/>
            <w:tcBorders>
              <w:top w:val="single" w:color="auto" w:sz="4" w:space="0"/>
              <w:left w:val="single" w:color="auto" w:sz="4" w:space="0"/>
              <w:bottom w:val="single" w:color="auto" w:sz="12" w:space="0"/>
            </w:tcBorders>
            <w:vAlign w:val="center"/>
          </w:tcPr>
          <w:p>
            <w:pPr>
              <w:widowControl/>
              <w:topLinePunct w:val="0"/>
              <w:adjustRightInd/>
              <w:spacing w:line="240" w:lineRule="auto"/>
              <w:ind w:left="-120" w:leftChars="-50" w:right="-120" w:rightChars="-50" w:firstLine="0" w:firstLineChars="0"/>
              <w:jc w:val="center"/>
              <w:rPr>
                <w:rFonts w:ascii="Times New Roman" w:hAnsi="宋体" w:cs="Times New Roman"/>
                <w:sz w:val="21"/>
              </w:rPr>
            </w:pPr>
            <w:r>
              <w:rPr>
                <w:rFonts w:ascii="Times New Roman" w:hAnsi="宋体" w:cs="Times New Roman"/>
                <w:sz w:val="21"/>
              </w:rPr>
              <w:t>HCO</w:t>
            </w:r>
            <w:r>
              <w:rPr>
                <w:rFonts w:ascii="Times New Roman" w:hAnsi="宋体" w:cs="Times New Roman"/>
                <w:sz w:val="21"/>
                <w:vertAlign w:val="subscript"/>
              </w:rPr>
              <w:t>3</w:t>
            </w:r>
            <w:r>
              <w:rPr>
                <w:rFonts w:ascii="Times New Roman" w:hAnsi="宋体" w:cs="Times New Roman"/>
                <w:sz w:val="21"/>
              </w:rPr>
              <w:t>-Mg-Ca</w:t>
            </w:r>
          </w:p>
        </w:tc>
      </w:tr>
    </w:tbl>
    <w:p>
      <w:pPr>
        <w:pStyle w:val="37"/>
        <w:ind w:firstLine="470" w:firstLineChars="196"/>
        <w:jc w:val="both"/>
        <w:rPr>
          <w:rFonts w:cs="Times New Roman"/>
          <w:b w:val="0"/>
        </w:rPr>
      </w:pPr>
      <w:r>
        <w:rPr>
          <w:rFonts w:hint="eastAsia"/>
          <w:b w:val="0"/>
          <w:sz w:val="24"/>
        </w:rPr>
        <w:t>根据各水样水化学宏量组分监测结果（表5.5-1），评价区地下水矿化度</w:t>
      </w:r>
      <w:r>
        <w:rPr>
          <w:b w:val="0"/>
          <w:sz w:val="24"/>
        </w:rPr>
        <w:t>≤1g/L</w:t>
      </w:r>
      <w:r>
        <w:rPr>
          <w:rFonts w:hint="eastAsia"/>
          <w:b w:val="0"/>
          <w:sz w:val="24"/>
        </w:rPr>
        <w:t>，总硬度160～176</w:t>
      </w:r>
      <w:r>
        <w:rPr>
          <w:b w:val="0"/>
          <w:sz w:val="24"/>
        </w:rPr>
        <w:t>mg/L</w:t>
      </w:r>
      <w:r>
        <w:rPr>
          <w:rFonts w:hint="eastAsia"/>
          <w:b w:val="0"/>
          <w:sz w:val="24"/>
        </w:rPr>
        <w:t>，属于极软～中硬的低矿化度淡水，</w:t>
      </w:r>
      <w:r>
        <w:rPr>
          <w:b w:val="0"/>
          <w:sz w:val="24"/>
        </w:rPr>
        <w:t>pH</w:t>
      </w:r>
      <w:r>
        <w:rPr>
          <w:rFonts w:hint="eastAsia"/>
          <w:b w:val="0"/>
          <w:sz w:val="24"/>
        </w:rPr>
        <w:t>介于</w:t>
      </w:r>
      <w:r>
        <w:rPr>
          <w:b w:val="0"/>
          <w:sz w:val="24"/>
        </w:rPr>
        <w:t>7.</w:t>
      </w:r>
      <w:r>
        <w:rPr>
          <w:rFonts w:hint="eastAsia"/>
          <w:b w:val="0"/>
          <w:sz w:val="24"/>
        </w:rPr>
        <w:t>6～7.9，呈弱碱性。地下水主要阳离子为</w:t>
      </w:r>
      <w:r>
        <w:rPr>
          <w:b w:val="0"/>
          <w:sz w:val="24"/>
        </w:rPr>
        <w:t>Na</w:t>
      </w:r>
      <w:r>
        <w:rPr>
          <w:b w:val="0"/>
          <w:sz w:val="24"/>
          <w:vertAlign w:val="superscript"/>
        </w:rPr>
        <w:t>+</w:t>
      </w:r>
      <w:r>
        <w:rPr>
          <w:rFonts w:hint="eastAsia"/>
          <w:b w:val="0"/>
          <w:sz w:val="24"/>
        </w:rPr>
        <w:t>、</w:t>
      </w:r>
      <w:r>
        <w:rPr>
          <w:b w:val="0"/>
          <w:sz w:val="24"/>
        </w:rPr>
        <w:t>Ca</w:t>
      </w:r>
      <w:r>
        <w:rPr>
          <w:b w:val="0"/>
          <w:sz w:val="24"/>
          <w:vertAlign w:val="superscript"/>
        </w:rPr>
        <w:t>2+</w:t>
      </w:r>
      <w:r>
        <w:rPr>
          <w:rFonts w:hint="eastAsia"/>
          <w:b w:val="0"/>
          <w:sz w:val="24"/>
        </w:rPr>
        <w:t>和</w:t>
      </w:r>
      <w:r>
        <w:rPr>
          <w:b w:val="0"/>
          <w:sz w:val="24"/>
        </w:rPr>
        <w:t>Mg</w:t>
      </w:r>
      <w:r>
        <w:rPr>
          <w:b w:val="0"/>
          <w:sz w:val="24"/>
          <w:vertAlign w:val="superscript"/>
        </w:rPr>
        <w:t>2+</w:t>
      </w:r>
      <w:r>
        <w:rPr>
          <w:rFonts w:hint="eastAsia"/>
          <w:b w:val="0"/>
          <w:sz w:val="24"/>
        </w:rPr>
        <w:t>，主要阴离子为</w:t>
      </w:r>
      <w:r>
        <w:rPr>
          <w:b w:val="0"/>
          <w:sz w:val="24"/>
        </w:rPr>
        <w:t>HCO</w:t>
      </w:r>
      <w:r>
        <w:rPr>
          <w:b w:val="0"/>
          <w:sz w:val="24"/>
          <w:vertAlign w:val="subscript"/>
        </w:rPr>
        <w:t>3</w:t>
      </w:r>
      <w:r>
        <w:rPr>
          <w:b w:val="0"/>
          <w:sz w:val="24"/>
          <w:vertAlign w:val="superscript"/>
        </w:rPr>
        <w:t>-</w:t>
      </w:r>
      <w:r>
        <w:rPr>
          <w:rFonts w:hint="eastAsia"/>
          <w:b w:val="0"/>
          <w:sz w:val="24"/>
        </w:rPr>
        <w:t>，水化学类型以</w:t>
      </w:r>
      <w:r>
        <w:rPr>
          <w:b w:val="0"/>
          <w:sz w:val="24"/>
        </w:rPr>
        <w:t>HCO</w:t>
      </w:r>
      <w:r>
        <w:rPr>
          <w:b w:val="0"/>
          <w:sz w:val="24"/>
          <w:vertAlign w:val="subscript"/>
        </w:rPr>
        <w:t>3</w:t>
      </w:r>
      <w:r>
        <w:rPr>
          <w:b w:val="0"/>
          <w:sz w:val="24"/>
        </w:rPr>
        <w:t>-Mg-Ca</w:t>
      </w:r>
      <w:r>
        <w:rPr>
          <w:rFonts w:hint="eastAsia"/>
          <w:b w:val="0"/>
          <w:sz w:val="24"/>
        </w:rPr>
        <w:t>为主。</w:t>
      </w:r>
    </w:p>
    <w:p>
      <w:pPr>
        <w:pStyle w:val="37"/>
        <w:rPr>
          <w:rFonts w:cs="Times New Roman"/>
        </w:rPr>
      </w:pPr>
      <w:r>
        <w:rPr>
          <w:rFonts w:cs="Times New Roman"/>
        </w:rPr>
        <w:t>表5.5-1  地下水环境质量现状监测结果</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62"/>
        <w:gridCol w:w="1142"/>
        <w:gridCol w:w="749"/>
        <w:gridCol w:w="748"/>
        <w:gridCol w:w="953"/>
        <w:gridCol w:w="748"/>
        <w:gridCol w:w="953"/>
        <w:gridCol w:w="8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362" w:type="dxa"/>
            <w:vMerge w:val="restart"/>
            <w:vAlign w:val="center"/>
          </w:tcPr>
          <w:p>
            <w:pPr>
              <w:widowControl/>
              <w:topLinePunct w:val="0"/>
              <w:adjustRightInd/>
              <w:spacing w:line="240" w:lineRule="auto"/>
              <w:ind w:firstLine="0" w:firstLineChars="0"/>
              <w:jc w:val="center"/>
              <w:rPr>
                <w:rFonts w:ascii="Times New Roman" w:hAnsi="宋体" w:cs="Times New Roman"/>
                <w:b/>
                <w:sz w:val="21"/>
              </w:rPr>
            </w:pPr>
            <w:r>
              <w:rPr>
                <w:rFonts w:ascii="Times New Roman" w:hAnsi="宋体" w:cs="Times New Roman"/>
                <w:b/>
                <w:sz w:val="21"/>
              </w:rPr>
              <w:t>项目</w:t>
            </w:r>
          </w:p>
        </w:tc>
        <w:tc>
          <w:tcPr>
            <w:tcW w:w="1142" w:type="dxa"/>
            <w:vMerge w:val="restart"/>
            <w:vAlign w:val="center"/>
          </w:tcPr>
          <w:p>
            <w:pPr>
              <w:widowControl/>
              <w:topLinePunct w:val="0"/>
              <w:adjustRightInd/>
              <w:spacing w:line="240" w:lineRule="auto"/>
              <w:ind w:firstLine="0" w:firstLineChars="0"/>
              <w:jc w:val="center"/>
              <w:rPr>
                <w:rFonts w:ascii="Times New Roman" w:hAnsi="宋体" w:cs="Times New Roman"/>
                <w:b/>
                <w:sz w:val="21"/>
              </w:rPr>
            </w:pPr>
            <w:r>
              <w:rPr>
                <w:rFonts w:ascii="Times New Roman" w:hAnsi="宋体" w:cs="Times New Roman"/>
                <w:b/>
                <w:sz w:val="21"/>
              </w:rPr>
              <w:t>单位</w:t>
            </w:r>
          </w:p>
        </w:tc>
        <w:tc>
          <w:tcPr>
            <w:tcW w:w="4151" w:type="dxa"/>
            <w:gridSpan w:val="5"/>
          </w:tcPr>
          <w:p>
            <w:pPr>
              <w:widowControl/>
              <w:topLinePunct w:val="0"/>
              <w:adjustRightInd/>
              <w:spacing w:line="240" w:lineRule="auto"/>
              <w:ind w:firstLine="0" w:firstLineChars="0"/>
              <w:jc w:val="center"/>
              <w:rPr>
                <w:rFonts w:ascii="Times New Roman" w:hAnsi="宋体" w:cs="Times New Roman"/>
                <w:b/>
                <w:sz w:val="21"/>
              </w:rPr>
            </w:pPr>
            <w:r>
              <w:rPr>
                <w:rFonts w:ascii="Times New Roman" w:hAnsi="宋体" w:cs="Times New Roman"/>
                <w:b/>
                <w:sz w:val="21"/>
              </w:rPr>
              <w:t>监测值</w:t>
            </w:r>
          </w:p>
        </w:tc>
        <w:tc>
          <w:tcPr>
            <w:tcW w:w="867" w:type="dxa"/>
            <w:vMerge w:val="restart"/>
            <w:vAlign w:val="center"/>
          </w:tcPr>
          <w:p>
            <w:pPr>
              <w:widowControl/>
              <w:topLinePunct w:val="0"/>
              <w:adjustRightInd/>
              <w:spacing w:line="240" w:lineRule="auto"/>
              <w:ind w:firstLine="0" w:firstLineChars="0"/>
              <w:jc w:val="center"/>
              <w:rPr>
                <w:rFonts w:ascii="Times New Roman" w:hAnsi="宋体" w:cs="Times New Roman"/>
                <w:b/>
                <w:sz w:val="21"/>
              </w:rPr>
            </w:pPr>
            <w:r>
              <w:rPr>
                <w:rFonts w:ascii="Times New Roman" w:hAnsi="宋体" w:cs="Times New Roman"/>
                <w:b/>
                <w:sz w:val="21"/>
              </w:rPr>
              <w:t>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362" w:type="dxa"/>
            <w:vMerge w:val="continue"/>
            <w:vAlign w:val="center"/>
          </w:tcPr>
          <w:p>
            <w:pPr>
              <w:widowControl/>
              <w:topLinePunct w:val="0"/>
              <w:adjustRightInd/>
              <w:spacing w:line="240" w:lineRule="auto"/>
              <w:ind w:firstLine="0" w:firstLineChars="0"/>
              <w:jc w:val="left"/>
              <w:rPr>
                <w:rFonts w:ascii="Times New Roman" w:hAnsi="宋体" w:cs="Times New Roman"/>
                <w:b/>
                <w:sz w:val="21"/>
              </w:rPr>
            </w:pPr>
          </w:p>
        </w:tc>
        <w:tc>
          <w:tcPr>
            <w:tcW w:w="1142" w:type="dxa"/>
            <w:vMerge w:val="continue"/>
            <w:vAlign w:val="center"/>
          </w:tcPr>
          <w:p>
            <w:pPr>
              <w:widowControl/>
              <w:topLinePunct w:val="0"/>
              <w:adjustRightInd/>
              <w:spacing w:line="240" w:lineRule="auto"/>
              <w:ind w:firstLine="0" w:firstLineChars="0"/>
              <w:jc w:val="left"/>
              <w:rPr>
                <w:rFonts w:ascii="Times New Roman" w:hAnsi="宋体" w:cs="Times New Roman"/>
                <w:b/>
                <w:sz w:val="21"/>
              </w:rPr>
            </w:pPr>
          </w:p>
        </w:tc>
        <w:tc>
          <w:tcPr>
            <w:tcW w:w="749" w:type="dxa"/>
            <w:vAlign w:val="center"/>
          </w:tcPr>
          <w:p>
            <w:pPr>
              <w:widowControl/>
              <w:topLinePunct w:val="0"/>
              <w:adjustRightInd/>
              <w:spacing w:line="240" w:lineRule="auto"/>
              <w:ind w:firstLine="0" w:firstLineChars="0"/>
              <w:jc w:val="center"/>
              <w:rPr>
                <w:rFonts w:ascii="Times New Roman" w:hAnsi="宋体" w:cs="Times New Roman"/>
                <w:b/>
                <w:sz w:val="21"/>
              </w:rPr>
            </w:pPr>
            <w:r>
              <w:rPr>
                <w:rFonts w:hint="eastAsia" w:ascii="Times New Roman" w:hAnsi="宋体" w:cs="Times New Roman"/>
                <w:b/>
                <w:sz w:val="21"/>
              </w:rPr>
              <w:t>WX</w:t>
            </w:r>
            <w:r>
              <w:rPr>
                <w:rFonts w:ascii="Times New Roman" w:hAnsi="宋体" w:cs="Times New Roman"/>
                <w:b/>
                <w:sz w:val="21"/>
              </w:rPr>
              <w:t>1</w:t>
            </w:r>
          </w:p>
        </w:tc>
        <w:tc>
          <w:tcPr>
            <w:tcW w:w="748" w:type="dxa"/>
            <w:vAlign w:val="center"/>
          </w:tcPr>
          <w:p>
            <w:pPr>
              <w:widowControl/>
              <w:topLinePunct w:val="0"/>
              <w:adjustRightInd/>
              <w:spacing w:line="240" w:lineRule="auto"/>
              <w:ind w:firstLine="0" w:firstLineChars="0"/>
              <w:jc w:val="center"/>
              <w:rPr>
                <w:rFonts w:ascii="Times New Roman" w:hAnsi="宋体" w:cs="Times New Roman"/>
                <w:b/>
                <w:sz w:val="21"/>
              </w:rPr>
            </w:pPr>
            <w:r>
              <w:rPr>
                <w:rFonts w:hint="eastAsia" w:ascii="Times New Roman" w:hAnsi="宋体" w:cs="Times New Roman"/>
                <w:b/>
                <w:sz w:val="21"/>
              </w:rPr>
              <w:t>WX</w:t>
            </w:r>
            <w:r>
              <w:rPr>
                <w:rFonts w:ascii="Times New Roman" w:hAnsi="宋体" w:cs="Times New Roman"/>
                <w:b/>
                <w:sz w:val="21"/>
              </w:rPr>
              <w:t>2</w:t>
            </w:r>
          </w:p>
        </w:tc>
        <w:tc>
          <w:tcPr>
            <w:tcW w:w="953" w:type="dxa"/>
            <w:vAlign w:val="center"/>
          </w:tcPr>
          <w:p>
            <w:pPr>
              <w:widowControl/>
              <w:topLinePunct w:val="0"/>
              <w:adjustRightInd/>
              <w:spacing w:line="240" w:lineRule="auto"/>
              <w:ind w:firstLine="0" w:firstLineChars="0"/>
              <w:jc w:val="center"/>
              <w:rPr>
                <w:rFonts w:ascii="Times New Roman" w:hAnsi="宋体" w:cs="Times New Roman"/>
                <w:b/>
                <w:sz w:val="21"/>
              </w:rPr>
            </w:pPr>
            <w:r>
              <w:rPr>
                <w:rFonts w:hint="eastAsia" w:ascii="Times New Roman" w:hAnsi="宋体" w:cs="Times New Roman"/>
                <w:b/>
                <w:sz w:val="21"/>
              </w:rPr>
              <w:t>WX</w:t>
            </w:r>
            <w:r>
              <w:rPr>
                <w:rFonts w:ascii="Times New Roman" w:hAnsi="宋体" w:cs="Times New Roman"/>
                <w:b/>
                <w:sz w:val="21"/>
              </w:rPr>
              <w:t>3</w:t>
            </w:r>
          </w:p>
        </w:tc>
        <w:tc>
          <w:tcPr>
            <w:tcW w:w="748" w:type="dxa"/>
            <w:vAlign w:val="center"/>
          </w:tcPr>
          <w:p>
            <w:pPr>
              <w:widowControl/>
              <w:topLinePunct w:val="0"/>
              <w:adjustRightInd/>
              <w:spacing w:line="240" w:lineRule="auto"/>
              <w:ind w:firstLine="0" w:firstLineChars="0"/>
              <w:jc w:val="center"/>
              <w:rPr>
                <w:rFonts w:ascii="Times New Roman" w:hAnsi="宋体" w:cs="Times New Roman"/>
                <w:b/>
                <w:sz w:val="21"/>
              </w:rPr>
            </w:pPr>
            <w:r>
              <w:rPr>
                <w:rFonts w:hint="eastAsia" w:ascii="Times New Roman" w:hAnsi="宋体" w:cs="Times New Roman"/>
                <w:b/>
                <w:sz w:val="21"/>
              </w:rPr>
              <w:t>WX</w:t>
            </w:r>
            <w:r>
              <w:rPr>
                <w:rFonts w:ascii="Times New Roman" w:hAnsi="宋体" w:cs="Times New Roman"/>
                <w:b/>
                <w:sz w:val="21"/>
              </w:rPr>
              <w:t>4</w:t>
            </w:r>
          </w:p>
        </w:tc>
        <w:tc>
          <w:tcPr>
            <w:tcW w:w="953" w:type="dxa"/>
            <w:vAlign w:val="center"/>
          </w:tcPr>
          <w:p>
            <w:pPr>
              <w:widowControl/>
              <w:topLinePunct w:val="0"/>
              <w:adjustRightInd/>
              <w:spacing w:line="240" w:lineRule="auto"/>
              <w:ind w:firstLine="0" w:firstLineChars="0"/>
              <w:jc w:val="center"/>
              <w:rPr>
                <w:rFonts w:ascii="Times New Roman" w:hAnsi="宋体" w:cs="Times New Roman"/>
                <w:b/>
                <w:sz w:val="21"/>
              </w:rPr>
            </w:pPr>
            <w:r>
              <w:rPr>
                <w:rFonts w:hint="eastAsia" w:ascii="Times New Roman" w:hAnsi="宋体" w:cs="Times New Roman"/>
                <w:b/>
                <w:sz w:val="21"/>
              </w:rPr>
              <w:t>WX</w:t>
            </w:r>
            <w:r>
              <w:rPr>
                <w:rFonts w:ascii="Times New Roman" w:hAnsi="宋体" w:cs="Times New Roman"/>
                <w:b/>
                <w:sz w:val="21"/>
              </w:rPr>
              <w:t>5</w:t>
            </w:r>
          </w:p>
        </w:tc>
        <w:tc>
          <w:tcPr>
            <w:tcW w:w="867" w:type="dxa"/>
            <w:vMerge w:val="continue"/>
            <w:vAlign w:val="center"/>
          </w:tcPr>
          <w:p>
            <w:pPr>
              <w:widowControl/>
              <w:topLinePunct w:val="0"/>
              <w:adjustRightInd/>
              <w:spacing w:line="240" w:lineRule="auto"/>
              <w:ind w:firstLine="0" w:firstLineChars="0"/>
              <w:jc w:val="center"/>
              <w:rPr>
                <w:rFonts w:ascii="Times New Roman" w:hAnsi="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36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pH</w:t>
            </w:r>
          </w:p>
        </w:tc>
        <w:tc>
          <w:tcPr>
            <w:tcW w:w="114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无量纲</w:t>
            </w:r>
          </w:p>
        </w:tc>
        <w:tc>
          <w:tcPr>
            <w:tcW w:w="749" w:type="dxa"/>
            <w:vAlign w:val="center"/>
          </w:tcPr>
          <w:p>
            <w:pPr>
              <w:snapToGrid w:val="0"/>
              <w:ind w:firstLine="0" w:firstLineChars="0"/>
              <w:jc w:val="center"/>
              <w:rPr>
                <w:rFonts w:ascii="Times New Roman" w:cs="Times New Roman"/>
                <w:kern w:val="2"/>
                <w:sz w:val="21"/>
                <w:szCs w:val="21"/>
              </w:rPr>
            </w:pPr>
            <w:r>
              <w:rPr>
                <w:rFonts w:ascii="Times New Roman" w:hAnsi="宋体" w:cs="Times New Roman"/>
                <w:sz w:val="21"/>
              </w:rPr>
              <w:t>7.</w:t>
            </w:r>
            <w:r>
              <w:rPr>
                <w:rFonts w:hint="eastAsia" w:ascii="Times New Roman" w:hAnsi="宋体" w:cs="Times New Roman"/>
                <w:sz w:val="21"/>
              </w:rPr>
              <w:t>7</w:t>
            </w:r>
          </w:p>
        </w:tc>
        <w:tc>
          <w:tcPr>
            <w:tcW w:w="748"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7.9</w:t>
            </w:r>
          </w:p>
        </w:tc>
        <w:tc>
          <w:tcPr>
            <w:tcW w:w="953"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7.9</w:t>
            </w:r>
          </w:p>
        </w:tc>
        <w:tc>
          <w:tcPr>
            <w:tcW w:w="748"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7.9</w:t>
            </w:r>
          </w:p>
        </w:tc>
        <w:tc>
          <w:tcPr>
            <w:tcW w:w="953"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7.6</w:t>
            </w:r>
          </w:p>
        </w:tc>
        <w:tc>
          <w:tcPr>
            <w:tcW w:w="867"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36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总硬度（以CaCO</w:t>
            </w:r>
            <w:r>
              <w:rPr>
                <w:rFonts w:ascii="Times New Roman" w:hAnsi="宋体" w:cs="Times New Roman"/>
                <w:sz w:val="21"/>
                <w:vertAlign w:val="subscript"/>
              </w:rPr>
              <w:t>3</w:t>
            </w:r>
            <w:r>
              <w:rPr>
                <w:rFonts w:ascii="Times New Roman" w:hAnsi="宋体" w:cs="Times New Roman"/>
                <w:sz w:val="21"/>
              </w:rPr>
              <w:t>计）</w:t>
            </w:r>
          </w:p>
        </w:tc>
        <w:tc>
          <w:tcPr>
            <w:tcW w:w="114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（mg/L）</w:t>
            </w:r>
          </w:p>
        </w:tc>
        <w:tc>
          <w:tcPr>
            <w:tcW w:w="749"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17</w:t>
            </w:r>
            <w:r>
              <w:rPr>
                <w:rFonts w:ascii="Times New Roman" w:cs="Times New Roman"/>
                <w:bCs/>
                <w:kern w:val="2"/>
                <w:sz w:val="21"/>
                <w:szCs w:val="21"/>
              </w:rPr>
              <w:t>5</w:t>
            </w:r>
          </w:p>
        </w:tc>
        <w:tc>
          <w:tcPr>
            <w:tcW w:w="748"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kern w:val="2"/>
                <w:sz w:val="21"/>
                <w:szCs w:val="21"/>
              </w:rPr>
              <w:t>176</w:t>
            </w:r>
          </w:p>
        </w:tc>
        <w:tc>
          <w:tcPr>
            <w:tcW w:w="953"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kern w:val="2"/>
                <w:sz w:val="21"/>
                <w:szCs w:val="21"/>
              </w:rPr>
              <w:t>172</w:t>
            </w:r>
          </w:p>
        </w:tc>
        <w:tc>
          <w:tcPr>
            <w:tcW w:w="748"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kern w:val="2"/>
                <w:sz w:val="21"/>
                <w:szCs w:val="21"/>
              </w:rPr>
              <w:t>174</w:t>
            </w:r>
          </w:p>
        </w:tc>
        <w:tc>
          <w:tcPr>
            <w:tcW w:w="953"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kern w:val="2"/>
                <w:sz w:val="21"/>
                <w:szCs w:val="21"/>
              </w:rPr>
              <w:t>160</w:t>
            </w:r>
          </w:p>
        </w:tc>
        <w:tc>
          <w:tcPr>
            <w:tcW w:w="867"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36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溶解性总固体</w:t>
            </w:r>
          </w:p>
        </w:tc>
        <w:tc>
          <w:tcPr>
            <w:tcW w:w="114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（mg/L）</w:t>
            </w:r>
          </w:p>
        </w:tc>
        <w:tc>
          <w:tcPr>
            <w:tcW w:w="749"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200</w:t>
            </w:r>
          </w:p>
        </w:tc>
        <w:tc>
          <w:tcPr>
            <w:tcW w:w="748"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bCs/>
                <w:kern w:val="2"/>
                <w:sz w:val="21"/>
                <w:szCs w:val="21"/>
              </w:rPr>
              <w:t>190</w:t>
            </w:r>
          </w:p>
        </w:tc>
        <w:tc>
          <w:tcPr>
            <w:tcW w:w="953"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kern w:val="2"/>
                <w:sz w:val="21"/>
                <w:szCs w:val="21"/>
              </w:rPr>
              <w:t>195</w:t>
            </w:r>
          </w:p>
        </w:tc>
        <w:tc>
          <w:tcPr>
            <w:tcW w:w="748"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kern w:val="2"/>
                <w:sz w:val="21"/>
                <w:szCs w:val="21"/>
              </w:rPr>
              <w:t>188</w:t>
            </w:r>
          </w:p>
        </w:tc>
        <w:tc>
          <w:tcPr>
            <w:tcW w:w="953"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kern w:val="2"/>
                <w:sz w:val="21"/>
                <w:szCs w:val="21"/>
              </w:rPr>
              <w:t>185</w:t>
            </w:r>
          </w:p>
        </w:tc>
        <w:tc>
          <w:tcPr>
            <w:tcW w:w="867"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36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氯化物</w:t>
            </w:r>
          </w:p>
        </w:tc>
        <w:tc>
          <w:tcPr>
            <w:tcW w:w="114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（mg/L）</w:t>
            </w:r>
          </w:p>
        </w:tc>
        <w:tc>
          <w:tcPr>
            <w:tcW w:w="749"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18.0</w:t>
            </w:r>
          </w:p>
        </w:tc>
        <w:tc>
          <w:tcPr>
            <w:tcW w:w="748"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28.3</w:t>
            </w:r>
          </w:p>
        </w:tc>
        <w:tc>
          <w:tcPr>
            <w:tcW w:w="953"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6.38</w:t>
            </w:r>
          </w:p>
        </w:tc>
        <w:tc>
          <w:tcPr>
            <w:tcW w:w="748"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bCs/>
                <w:kern w:val="2"/>
                <w:sz w:val="21"/>
                <w:szCs w:val="21"/>
              </w:rPr>
              <w:t>4.63</w:t>
            </w:r>
          </w:p>
        </w:tc>
        <w:tc>
          <w:tcPr>
            <w:tcW w:w="953"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kern w:val="2"/>
                <w:sz w:val="21"/>
                <w:szCs w:val="21"/>
              </w:rPr>
              <w:t>13.5</w:t>
            </w:r>
          </w:p>
        </w:tc>
        <w:tc>
          <w:tcPr>
            <w:tcW w:w="867"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36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铁（Fe）</w:t>
            </w:r>
          </w:p>
        </w:tc>
        <w:tc>
          <w:tcPr>
            <w:tcW w:w="114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（mg/L）</w:t>
            </w:r>
          </w:p>
        </w:tc>
        <w:tc>
          <w:tcPr>
            <w:tcW w:w="749"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748"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953"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748"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953"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867"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36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锰（Mn）</w:t>
            </w:r>
          </w:p>
        </w:tc>
        <w:tc>
          <w:tcPr>
            <w:tcW w:w="114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（mg/L）</w:t>
            </w:r>
          </w:p>
        </w:tc>
        <w:tc>
          <w:tcPr>
            <w:tcW w:w="749"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748"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953"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748"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953"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867"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36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挥发酚</w:t>
            </w:r>
          </w:p>
        </w:tc>
        <w:tc>
          <w:tcPr>
            <w:tcW w:w="114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（mg/L）</w:t>
            </w:r>
          </w:p>
        </w:tc>
        <w:tc>
          <w:tcPr>
            <w:tcW w:w="749"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748"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953"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0.0003</w:t>
            </w:r>
          </w:p>
        </w:tc>
        <w:tc>
          <w:tcPr>
            <w:tcW w:w="748"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cs="Times New Roman"/>
                <w:bCs/>
                <w:kern w:val="2"/>
                <w:sz w:val="21"/>
                <w:szCs w:val="21"/>
              </w:rPr>
              <w:t>未检出</w:t>
            </w:r>
          </w:p>
        </w:tc>
        <w:tc>
          <w:tcPr>
            <w:tcW w:w="953"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0.0003</w:t>
            </w:r>
          </w:p>
        </w:tc>
        <w:tc>
          <w:tcPr>
            <w:tcW w:w="867"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36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硝酸盐（以N计）</w:t>
            </w:r>
          </w:p>
        </w:tc>
        <w:tc>
          <w:tcPr>
            <w:tcW w:w="114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（mg/L）</w:t>
            </w:r>
          </w:p>
        </w:tc>
        <w:tc>
          <w:tcPr>
            <w:tcW w:w="749"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2.15</w:t>
            </w:r>
          </w:p>
        </w:tc>
        <w:tc>
          <w:tcPr>
            <w:tcW w:w="748"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3.68</w:t>
            </w:r>
          </w:p>
        </w:tc>
        <w:tc>
          <w:tcPr>
            <w:tcW w:w="953"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0.998</w:t>
            </w:r>
          </w:p>
        </w:tc>
        <w:tc>
          <w:tcPr>
            <w:tcW w:w="748"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1.58</w:t>
            </w:r>
          </w:p>
        </w:tc>
        <w:tc>
          <w:tcPr>
            <w:tcW w:w="953"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2.89</w:t>
            </w:r>
          </w:p>
        </w:tc>
        <w:tc>
          <w:tcPr>
            <w:tcW w:w="867"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36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亚硝酸盐（以N计）</w:t>
            </w:r>
          </w:p>
        </w:tc>
        <w:tc>
          <w:tcPr>
            <w:tcW w:w="114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（mg/L）</w:t>
            </w:r>
          </w:p>
        </w:tc>
        <w:tc>
          <w:tcPr>
            <w:tcW w:w="749"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748"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953"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748"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953"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867"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36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硫酸盐</w:t>
            </w:r>
          </w:p>
        </w:tc>
        <w:tc>
          <w:tcPr>
            <w:tcW w:w="114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（mg/L）</w:t>
            </w:r>
          </w:p>
        </w:tc>
        <w:tc>
          <w:tcPr>
            <w:tcW w:w="749"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20.6</w:t>
            </w:r>
          </w:p>
        </w:tc>
        <w:tc>
          <w:tcPr>
            <w:tcW w:w="748" w:type="dxa"/>
            <w:vAlign w:val="center"/>
          </w:tcPr>
          <w:p>
            <w:pPr>
              <w:snapToGrid w:val="0"/>
              <w:ind w:firstLine="0" w:firstLineChars="0"/>
              <w:jc w:val="center"/>
              <w:rPr>
                <w:rFonts w:ascii="Times New Roman" w:cs="Times New Roman"/>
                <w:kern w:val="2"/>
                <w:sz w:val="21"/>
                <w:szCs w:val="21"/>
              </w:rPr>
            </w:pPr>
            <w:r>
              <w:rPr>
                <w:rFonts w:ascii="Times New Roman" w:cs="Times New Roman"/>
                <w:bCs/>
                <w:kern w:val="2"/>
                <w:sz w:val="21"/>
                <w:szCs w:val="21"/>
              </w:rPr>
              <w:t>2</w:t>
            </w:r>
            <w:r>
              <w:rPr>
                <w:rFonts w:hint="eastAsia" w:ascii="Times New Roman" w:cs="Times New Roman"/>
                <w:bCs/>
                <w:kern w:val="2"/>
                <w:sz w:val="21"/>
                <w:szCs w:val="21"/>
              </w:rPr>
              <w:t>3.4</w:t>
            </w:r>
          </w:p>
        </w:tc>
        <w:tc>
          <w:tcPr>
            <w:tcW w:w="953"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bCs/>
                <w:kern w:val="2"/>
                <w:sz w:val="21"/>
                <w:szCs w:val="21"/>
              </w:rPr>
              <w:t>16.6</w:t>
            </w:r>
          </w:p>
        </w:tc>
        <w:tc>
          <w:tcPr>
            <w:tcW w:w="748"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bCs/>
                <w:kern w:val="2"/>
                <w:sz w:val="21"/>
                <w:szCs w:val="21"/>
              </w:rPr>
              <w:t>29.5</w:t>
            </w:r>
          </w:p>
        </w:tc>
        <w:tc>
          <w:tcPr>
            <w:tcW w:w="953"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kern w:val="2"/>
                <w:sz w:val="21"/>
                <w:szCs w:val="21"/>
              </w:rPr>
              <w:t>21.4</w:t>
            </w:r>
          </w:p>
        </w:tc>
        <w:tc>
          <w:tcPr>
            <w:tcW w:w="867"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kern w:val="2"/>
                <w:sz w:val="21"/>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362" w:type="dxa"/>
            <w:vAlign w:val="center"/>
          </w:tcPr>
          <w:p>
            <w:pPr>
              <w:widowControl/>
              <w:topLinePunct w:val="0"/>
              <w:adjustRightInd/>
              <w:spacing w:line="240" w:lineRule="auto"/>
              <w:ind w:firstLine="0" w:firstLineChars="0"/>
              <w:jc w:val="center"/>
              <w:rPr>
                <w:rFonts w:ascii="Times New Roman" w:hAnsi="宋体" w:cs="Times New Roman"/>
                <w:kern w:val="2"/>
                <w:sz w:val="21"/>
              </w:rPr>
            </w:pPr>
            <w:r>
              <w:rPr>
                <w:rFonts w:ascii="Times New Roman" w:hAnsi="宋体" w:cs="Times New Roman"/>
                <w:sz w:val="21"/>
              </w:rPr>
              <w:t>总大肠菌群</w:t>
            </w:r>
          </w:p>
        </w:tc>
        <w:tc>
          <w:tcPr>
            <w:tcW w:w="1142" w:type="dxa"/>
            <w:vAlign w:val="center"/>
          </w:tcPr>
          <w:p>
            <w:pPr>
              <w:widowControl/>
              <w:topLinePunct w:val="0"/>
              <w:adjustRightInd/>
              <w:spacing w:line="240" w:lineRule="auto"/>
              <w:ind w:firstLine="0" w:firstLineChars="0"/>
              <w:jc w:val="center"/>
              <w:rPr>
                <w:rFonts w:ascii="Times New Roman" w:hAnsi="宋体" w:cs="Times New Roman"/>
                <w:spacing w:val="-11"/>
                <w:kern w:val="2"/>
                <w:sz w:val="21"/>
              </w:rPr>
            </w:pPr>
            <w:r>
              <w:rPr>
                <w:rFonts w:ascii="Times New Roman" w:hAnsi="宋体" w:cs="Times New Roman"/>
                <w:spacing w:val="-11"/>
                <w:sz w:val="21"/>
              </w:rPr>
              <w:t>MPN/100ml</w:t>
            </w:r>
          </w:p>
        </w:tc>
        <w:tc>
          <w:tcPr>
            <w:tcW w:w="749" w:type="dxa"/>
            <w:vAlign w:val="center"/>
          </w:tcPr>
          <w:p>
            <w:pPr>
              <w:topLinePunct w:val="0"/>
              <w:snapToGrid w:val="0"/>
              <w:spacing w:line="240" w:lineRule="auto"/>
              <w:ind w:firstLine="0" w:firstLineChars="0"/>
              <w:jc w:val="center"/>
              <w:rPr>
                <w:rFonts w:ascii="Times New Roman" w:hAnsi="宋体" w:cs="Times New Roman"/>
                <w:bCs/>
                <w:kern w:val="2"/>
                <w:sz w:val="21"/>
              </w:rPr>
            </w:pPr>
            <w:r>
              <w:rPr>
                <w:rFonts w:hint="eastAsia" w:ascii="Times New Roman" w:hAnsi="宋体" w:cs="Times New Roman"/>
                <w:bCs/>
                <w:kern w:val="2"/>
                <w:sz w:val="21"/>
              </w:rPr>
              <w:t>&lt;2</w:t>
            </w:r>
          </w:p>
        </w:tc>
        <w:tc>
          <w:tcPr>
            <w:tcW w:w="748" w:type="dxa"/>
            <w:vAlign w:val="center"/>
          </w:tcPr>
          <w:p>
            <w:pPr>
              <w:topLinePunct w:val="0"/>
              <w:snapToGrid w:val="0"/>
              <w:spacing w:line="240" w:lineRule="auto"/>
              <w:ind w:firstLine="0" w:firstLineChars="0"/>
              <w:jc w:val="center"/>
              <w:rPr>
                <w:rFonts w:ascii="Times New Roman" w:hAnsi="宋体" w:cs="Times New Roman"/>
                <w:bCs/>
                <w:kern w:val="2"/>
                <w:sz w:val="21"/>
              </w:rPr>
            </w:pPr>
            <w:r>
              <w:rPr>
                <w:rFonts w:hint="eastAsia" w:ascii="Times New Roman" w:hAnsi="宋体" w:cs="Times New Roman"/>
                <w:bCs/>
                <w:kern w:val="2"/>
                <w:sz w:val="21"/>
              </w:rPr>
              <w:t>&lt;2</w:t>
            </w:r>
          </w:p>
        </w:tc>
        <w:tc>
          <w:tcPr>
            <w:tcW w:w="953" w:type="dxa"/>
            <w:vAlign w:val="center"/>
          </w:tcPr>
          <w:p>
            <w:pPr>
              <w:topLinePunct w:val="0"/>
              <w:snapToGrid w:val="0"/>
              <w:spacing w:line="240" w:lineRule="auto"/>
              <w:ind w:firstLine="0" w:firstLineChars="0"/>
              <w:jc w:val="center"/>
              <w:rPr>
                <w:rFonts w:ascii="Times New Roman" w:hAnsi="宋体" w:cs="Times New Roman"/>
                <w:bCs/>
                <w:kern w:val="2"/>
                <w:sz w:val="21"/>
              </w:rPr>
            </w:pPr>
            <w:r>
              <w:rPr>
                <w:rFonts w:hint="eastAsia" w:ascii="Times New Roman" w:hAnsi="宋体" w:cs="Times New Roman"/>
                <w:bCs/>
                <w:kern w:val="2"/>
                <w:sz w:val="21"/>
              </w:rPr>
              <w:t>&lt;2</w:t>
            </w:r>
          </w:p>
        </w:tc>
        <w:tc>
          <w:tcPr>
            <w:tcW w:w="748" w:type="dxa"/>
            <w:vAlign w:val="center"/>
          </w:tcPr>
          <w:p>
            <w:pPr>
              <w:topLinePunct w:val="0"/>
              <w:snapToGrid w:val="0"/>
              <w:spacing w:line="240" w:lineRule="auto"/>
              <w:ind w:firstLine="0" w:firstLineChars="0"/>
              <w:jc w:val="center"/>
              <w:rPr>
                <w:rFonts w:ascii="Times New Roman" w:hAnsi="宋体" w:cs="Times New Roman"/>
                <w:bCs/>
                <w:kern w:val="2"/>
                <w:sz w:val="21"/>
              </w:rPr>
            </w:pPr>
            <w:r>
              <w:rPr>
                <w:rFonts w:hint="eastAsia" w:ascii="Times New Roman" w:hAnsi="宋体" w:cs="Times New Roman"/>
                <w:bCs/>
                <w:kern w:val="2"/>
                <w:sz w:val="21"/>
              </w:rPr>
              <w:t>&lt;2</w:t>
            </w:r>
          </w:p>
        </w:tc>
        <w:tc>
          <w:tcPr>
            <w:tcW w:w="953" w:type="dxa"/>
            <w:vAlign w:val="center"/>
          </w:tcPr>
          <w:p>
            <w:pPr>
              <w:topLinePunct w:val="0"/>
              <w:snapToGrid w:val="0"/>
              <w:spacing w:line="240" w:lineRule="auto"/>
              <w:ind w:firstLine="0" w:firstLineChars="0"/>
              <w:jc w:val="center"/>
              <w:rPr>
                <w:rFonts w:ascii="Times New Roman" w:hAnsi="宋体" w:cs="Times New Roman"/>
                <w:bCs/>
                <w:kern w:val="2"/>
                <w:sz w:val="21"/>
              </w:rPr>
            </w:pPr>
            <w:r>
              <w:rPr>
                <w:rFonts w:hint="eastAsia" w:ascii="Times New Roman" w:hAnsi="宋体" w:cs="Times New Roman"/>
                <w:bCs/>
                <w:kern w:val="2"/>
                <w:sz w:val="21"/>
              </w:rPr>
              <w:t>&lt;2</w:t>
            </w:r>
          </w:p>
        </w:tc>
        <w:tc>
          <w:tcPr>
            <w:tcW w:w="867" w:type="dxa"/>
            <w:vAlign w:val="center"/>
          </w:tcPr>
          <w:p>
            <w:pPr>
              <w:widowControl/>
              <w:topLinePunct w:val="0"/>
              <w:adjustRightInd/>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36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菌落总数</w:t>
            </w:r>
          </w:p>
        </w:tc>
        <w:tc>
          <w:tcPr>
            <w:tcW w:w="1142" w:type="dxa"/>
            <w:vAlign w:val="center"/>
          </w:tcPr>
          <w:p>
            <w:pPr>
              <w:widowControl/>
              <w:topLinePunct w:val="0"/>
              <w:adjustRightInd/>
              <w:spacing w:line="240" w:lineRule="auto"/>
              <w:ind w:firstLine="0" w:firstLineChars="0"/>
              <w:jc w:val="center"/>
              <w:rPr>
                <w:rFonts w:ascii="Times New Roman" w:hAnsi="宋体" w:cs="Times New Roman"/>
                <w:spacing w:val="-11"/>
                <w:kern w:val="2"/>
                <w:sz w:val="21"/>
              </w:rPr>
            </w:pPr>
            <w:r>
              <w:rPr>
                <w:rFonts w:ascii="Times New Roman" w:hAnsi="宋体" w:cs="Times New Roman"/>
                <w:spacing w:val="-11"/>
                <w:sz w:val="21"/>
              </w:rPr>
              <w:t>CFU/ml</w:t>
            </w:r>
          </w:p>
        </w:tc>
        <w:tc>
          <w:tcPr>
            <w:tcW w:w="749"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18</w:t>
            </w:r>
          </w:p>
        </w:tc>
        <w:tc>
          <w:tcPr>
            <w:tcW w:w="748"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15</w:t>
            </w:r>
          </w:p>
        </w:tc>
        <w:tc>
          <w:tcPr>
            <w:tcW w:w="953"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22</w:t>
            </w:r>
          </w:p>
        </w:tc>
        <w:tc>
          <w:tcPr>
            <w:tcW w:w="748"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14</w:t>
            </w:r>
          </w:p>
        </w:tc>
        <w:tc>
          <w:tcPr>
            <w:tcW w:w="953"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22</w:t>
            </w:r>
          </w:p>
        </w:tc>
        <w:tc>
          <w:tcPr>
            <w:tcW w:w="867" w:type="dxa"/>
            <w:vAlign w:val="center"/>
          </w:tcPr>
          <w:p>
            <w:pPr>
              <w:widowControl/>
              <w:topLinePunct w:val="0"/>
              <w:adjustRightInd/>
              <w:spacing w:line="240" w:lineRule="auto"/>
              <w:ind w:firstLine="0" w:firstLineChars="0"/>
              <w:jc w:val="center"/>
              <w:rPr>
                <w:rFonts w:ascii="Times New Roman" w:hAnsi="宋体" w:cs="Times New Roman"/>
                <w:kern w:val="2"/>
                <w:sz w:val="21"/>
              </w:rPr>
            </w:pPr>
            <w:r>
              <w:rPr>
                <w:rFonts w:ascii="Times New Roman" w:hAnsi="宋体" w:cs="Times New Roman"/>
                <w:kern w:val="2"/>
                <w:sz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36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氨氮</w:t>
            </w:r>
          </w:p>
        </w:tc>
        <w:tc>
          <w:tcPr>
            <w:tcW w:w="114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（mg/L）</w:t>
            </w:r>
          </w:p>
        </w:tc>
        <w:tc>
          <w:tcPr>
            <w:tcW w:w="749" w:type="dxa"/>
            <w:vAlign w:val="center"/>
          </w:tcPr>
          <w:p>
            <w:pPr>
              <w:snapToGrid w:val="0"/>
              <w:ind w:firstLine="0" w:firstLineChars="0"/>
              <w:jc w:val="center"/>
              <w:rPr>
                <w:rFonts w:ascii="Times New Roman" w:cs="Times New Roman"/>
                <w:bCs/>
                <w:kern w:val="2"/>
                <w:sz w:val="21"/>
                <w:szCs w:val="21"/>
              </w:rPr>
            </w:pPr>
            <w:r>
              <w:rPr>
                <w:rFonts w:ascii="Times New Roman" w:cs="Times New Roman"/>
                <w:bCs/>
                <w:kern w:val="2"/>
                <w:sz w:val="21"/>
                <w:szCs w:val="21"/>
              </w:rPr>
              <w:t>0.</w:t>
            </w:r>
            <w:r>
              <w:rPr>
                <w:rFonts w:hint="eastAsia" w:ascii="Times New Roman" w:cs="Times New Roman"/>
                <w:bCs/>
                <w:kern w:val="2"/>
                <w:sz w:val="21"/>
                <w:szCs w:val="21"/>
              </w:rPr>
              <w:t>290</w:t>
            </w:r>
          </w:p>
        </w:tc>
        <w:tc>
          <w:tcPr>
            <w:tcW w:w="748" w:type="dxa"/>
            <w:vAlign w:val="center"/>
          </w:tcPr>
          <w:p>
            <w:pPr>
              <w:snapToGrid w:val="0"/>
              <w:ind w:firstLine="0" w:firstLineChars="0"/>
              <w:jc w:val="center"/>
              <w:rPr>
                <w:rFonts w:ascii="Times New Roman" w:cs="Times New Roman"/>
                <w:bCs/>
                <w:kern w:val="2"/>
                <w:sz w:val="21"/>
                <w:szCs w:val="21"/>
              </w:rPr>
            </w:pPr>
            <w:r>
              <w:rPr>
                <w:rFonts w:ascii="Times New Roman" w:cs="Times New Roman"/>
                <w:bCs/>
                <w:kern w:val="2"/>
                <w:sz w:val="21"/>
                <w:szCs w:val="21"/>
              </w:rPr>
              <w:t>0.</w:t>
            </w:r>
            <w:r>
              <w:rPr>
                <w:rFonts w:hint="eastAsia" w:ascii="Times New Roman" w:cs="Times New Roman"/>
                <w:bCs/>
                <w:kern w:val="2"/>
                <w:sz w:val="21"/>
                <w:szCs w:val="21"/>
              </w:rPr>
              <w:t>450</w:t>
            </w:r>
          </w:p>
        </w:tc>
        <w:tc>
          <w:tcPr>
            <w:tcW w:w="953"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0.273</w:t>
            </w:r>
          </w:p>
        </w:tc>
        <w:tc>
          <w:tcPr>
            <w:tcW w:w="748" w:type="dxa"/>
            <w:vAlign w:val="center"/>
          </w:tcPr>
          <w:p>
            <w:pPr>
              <w:snapToGrid w:val="0"/>
              <w:ind w:firstLine="0" w:firstLineChars="0"/>
              <w:jc w:val="center"/>
              <w:rPr>
                <w:rFonts w:ascii="Times New Roman" w:cs="Times New Roman"/>
                <w:bCs/>
                <w:kern w:val="2"/>
                <w:sz w:val="21"/>
                <w:szCs w:val="21"/>
              </w:rPr>
            </w:pPr>
            <w:r>
              <w:rPr>
                <w:rFonts w:ascii="Times New Roman" w:cs="Times New Roman"/>
                <w:bCs/>
                <w:kern w:val="2"/>
                <w:sz w:val="21"/>
                <w:szCs w:val="21"/>
              </w:rPr>
              <w:t>0.</w:t>
            </w:r>
            <w:r>
              <w:rPr>
                <w:rFonts w:hint="eastAsia" w:ascii="Times New Roman" w:cs="Times New Roman"/>
                <w:bCs/>
                <w:kern w:val="2"/>
                <w:sz w:val="21"/>
                <w:szCs w:val="21"/>
              </w:rPr>
              <w:t>314</w:t>
            </w:r>
          </w:p>
        </w:tc>
        <w:tc>
          <w:tcPr>
            <w:tcW w:w="953" w:type="dxa"/>
            <w:vAlign w:val="center"/>
          </w:tcPr>
          <w:p>
            <w:pPr>
              <w:snapToGrid w:val="0"/>
              <w:ind w:firstLine="0" w:firstLineChars="0"/>
              <w:jc w:val="center"/>
              <w:rPr>
                <w:rFonts w:ascii="Times New Roman" w:cs="Times New Roman"/>
                <w:bCs/>
                <w:kern w:val="2"/>
                <w:sz w:val="21"/>
                <w:szCs w:val="21"/>
              </w:rPr>
            </w:pPr>
            <w:r>
              <w:rPr>
                <w:rFonts w:ascii="Times New Roman" w:cs="Times New Roman"/>
                <w:bCs/>
                <w:kern w:val="2"/>
                <w:sz w:val="21"/>
                <w:szCs w:val="21"/>
              </w:rPr>
              <w:t>0.</w:t>
            </w:r>
            <w:r>
              <w:rPr>
                <w:rFonts w:hint="eastAsia" w:ascii="Times New Roman" w:cs="Times New Roman"/>
                <w:bCs/>
                <w:kern w:val="2"/>
                <w:sz w:val="21"/>
                <w:szCs w:val="21"/>
              </w:rPr>
              <w:t>348</w:t>
            </w:r>
          </w:p>
        </w:tc>
        <w:tc>
          <w:tcPr>
            <w:tcW w:w="867"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36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氟化物</w:t>
            </w:r>
          </w:p>
        </w:tc>
        <w:tc>
          <w:tcPr>
            <w:tcW w:w="114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（mg/L）</w:t>
            </w:r>
          </w:p>
        </w:tc>
        <w:tc>
          <w:tcPr>
            <w:tcW w:w="749" w:type="dxa"/>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0.</w:t>
            </w:r>
            <w:r>
              <w:rPr>
                <w:rFonts w:hint="eastAsia" w:ascii="Times New Roman" w:hAnsi="宋体" w:cs="Times New Roman"/>
                <w:sz w:val="21"/>
              </w:rPr>
              <w:t>128</w:t>
            </w:r>
          </w:p>
        </w:tc>
        <w:tc>
          <w:tcPr>
            <w:tcW w:w="748"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0.</w:t>
            </w:r>
            <w:r>
              <w:rPr>
                <w:rFonts w:hint="eastAsia" w:ascii="Times New Roman" w:hAnsi="宋体" w:cs="Times New Roman"/>
                <w:sz w:val="21"/>
              </w:rPr>
              <w:t>106</w:t>
            </w:r>
          </w:p>
        </w:tc>
        <w:tc>
          <w:tcPr>
            <w:tcW w:w="953"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0.</w:t>
            </w:r>
            <w:r>
              <w:rPr>
                <w:rFonts w:hint="eastAsia" w:ascii="Times New Roman" w:hAnsi="宋体" w:cs="Times New Roman"/>
                <w:sz w:val="21"/>
              </w:rPr>
              <w:t>181</w:t>
            </w:r>
          </w:p>
        </w:tc>
        <w:tc>
          <w:tcPr>
            <w:tcW w:w="748"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0.</w:t>
            </w:r>
            <w:r>
              <w:rPr>
                <w:rFonts w:hint="eastAsia" w:ascii="Times New Roman" w:hAnsi="宋体" w:cs="Times New Roman"/>
                <w:sz w:val="21"/>
              </w:rPr>
              <w:t>174</w:t>
            </w:r>
          </w:p>
        </w:tc>
        <w:tc>
          <w:tcPr>
            <w:tcW w:w="953"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0.</w:t>
            </w:r>
            <w:r>
              <w:rPr>
                <w:rFonts w:hint="eastAsia" w:ascii="Times New Roman" w:hAnsi="宋体" w:cs="Times New Roman"/>
                <w:sz w:val="21"/>
              </w:rPr>
              <w:t>190</w:t>
            </w:r>
          </w:p>
        </w:tc>
        <w:tc>
          <w:tcPr>
            <w:tcW w:w="867"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36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氰化物</w:t>
            </w:r>
          </w:p>
        </w:tc>
        <w:tc>
          <w:tcPr>
            <w:tcW w:w="114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（mg/L）</w:t>
            </w:r>
          </w:p>
        </w:tc>
        <w:tc>
          <w:tcPr>
            <w:tcW w:w="749" w:type="dxa"/>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bCs/>
                <w:kern w:val="2"/>
                <w:sz w:val="21"/>
              </w:rPr>
              <w:t>&lt;0.002</w:t>
            </w:r>
          </w:p>
        </w:tc>
        <w:tc>
          <w:tcPr>
            <w:tcW w:w="748"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bCs/>
                <w:kern w:val="2"/>
                <w:sz w:val="21"/>
              </w:rPr>
              <w:t>&lt;0.002</w:t>
            </w:r>
          </w:p>
        </w:tc>
        <w:tc>
          <w:tcPr>
            <w:tcW w:w="953"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bCs/>
                <w:kern w:val="2"/>
                <w:sz w:val="21"/>
              </w:rPr>
              <w:t>&lt;0.002</w:t>
            </w:r>
          </w:p>
        </w:tc>
        <w:tc>
          <w:tcPr>
            <w:tcW w:w="748"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bCs/>
                <w:kern w:val="2"/>
                <w:sz w:val="21"/>
              </w:rPr>
              <w:t>&lt;0.002</w:t>
            </w:r>
          </w:p>
        </w:tc>
        <w:tc>
          <w:tcPr>
            <w:tcW w:w="953"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bCs/>
                <w:kern w:val="2"/>
                <w:sz w:val="21"/>
              </w:rPr>
              <w:t>&lt;0.002</w:t>
            </w:r>
          </w:p>
        </w:tc>
        <w:tc>
          <w:tcPr>
            <w:tcW w:w="867"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36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汞（Hg）</w:t>
            </w:r>
          </w:p>
        </w:tc>
        <w:tc>
          <w:tcPr>
            <w:tcW w:w="114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（mg/L）</w:t>
            </w:r>
          </w:p>
        </w:tc>
        <w:tc>
          <w:tcPr>
            <w:tcW w:w="749"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kern w:val="2"/>
                <w:sz w:val="21"/>
                <w:szCs w:val="21"/>
              </w:rPr>
              <w:t>2.5</w:t>
            </w:r>
            <w:r>
              <w:rPr>
                <w:rFonts w:ascii="Times New Roman" w:cs="Times New Roman"/>
                <w:kern w:val="2"/>
                <w:sz w:val="21"/>
                <w:szCs w:val="21"/>
              </w:rPr>
              <w:t>×</w:t>
            </w:r>
            <w:r>
              <w:rPr>
                <w:rFonts w:ascii="Times New Roman" w:cs="Times New Roman"/>
                <w:bCs/>
                <w:kern w:val="2"/>
                <w:sz w:val="21"/>
                <w:szCs w:val="21"/>
              </w:rPr>
              <w:t>10</w:t>
            </w:r>
            <w:r>
              <w:rPr>
                <w:rFonts w:ascii="Times New Roman" w:cs="Times New Roman"/>
                <w:bCs/>
                <w:kern w:val="2"/>
                <w:sz w:val="21"/>
                <w:szCs w:val="21"/>
                <w:vertAlign w:val="superscript"/>
              </w:rPr>
              <w:t>-</w:t>
            </w:r>
            <w:r>
              <w:rPr>
                <w:rFonts w:hint="eastAsia" w:ascii="Times New Roman" w:cs="Times New Roman"/>
                <w:bCs/>
                <w:kern w:val="2"/>
                <w:sz w:val="21"/>
                <w:szCs w:val="21"/>
                <w:vertAlign w:val="superscript"/>
              </w:rPr>
              <w:t>4</w:t>
            </w:r>
          </w:p>
        </w:tc>
        <w:tc>
          <w:tcPr>
            <w:tcW w:w="748"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kern w:val="2"/>
                <w:sz w:val="21"/>
                <w:szCs w:val="21"/>
              </w:rPr>
              <w:t>6.0</w:t>
            </w:r>
            <w:r>
              <w:rPr>
                <w:rFonts w:ascii="Times New Roman" w:cs="Times New Roman"/>
                <w:kern w:val="2"/>
                <w:sz w:val="21"/>
                <w:szCs w:val="21"/>
              </w:rPr>
              <w:t>×</w:t>
            </w:r>
            <w:r>
              <w:rPr>
                <w:rFonts w:ascii="Times New Roman" w:cs="Times New Roman"/>
                <w:bCs/>
                <w:kern w:val="2"/>
                <w:sz w:val="21"/>
                <w:szCs w:val="21"/>
              </w:rPr>
              <w:t>10</w:t>
            </w:r>
            <w:r>
              <w:rPr>
                <w:rFonts w:ascii="Times New Roman" w:cs="Times New Roman"/>
                <w:bCs/>
                <w:kern w:val="2"/>
                <w:sz w:val="21"/>
                <w:szCs w:val="21"/>
                <w:vertAlign w:val="superscript"/>
              </w:rPr>
              <w:t>-</w:t>
            </w:r>
            <w:r>
              <w:rPr>
                <w:rFonts w:hint="eastAsia" w:ascii="Times New Roman" w:cs="Times New Roman"/>
                <w:bCs/>
                <w:kern w:val="2"/>
                <w:sz w:val="21"/>
                <w:szCs w:val="21"/>
                <w:vertAlign w:val="superscript"/>
              </w:rPr>
              <w:t>5</w:t>
            </w:r>
          </w:p>
        </w:tc>
        <w:tc>
          <w:tcPr>
            <w:tcW w:w="953"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748"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kern w:val="2"/>
                <w:sz w:val="21"/>
                <w:szCs w:val="21"/>
              </w:rPr>
              <w:t>4.0</w:t>
            </w:r>
            <w:r>
              <w:rPr>
                <w:rFonts w:ascii="Times New Roman" w:cs="Times New Roman"/>
                <w:kern w:val="2"/>
                <w:sz w:val="21"/>
                <w:szCs w:val="21"/>
              </w:rPr>
              <w:t>×</w:t>
            </w:r>
            <w:r>
              <w:rPr>
                <w:rFonts w:ascii="Times New Roman" w:cs="Times New Roman"/>
                <w:bCs/>
                <w:kern w:val="2"/>
                <w:sz w:val="21"/>
                <w:szCs w:val="21"/>
              </w:rPr>
              <w:t>10</w:t>
            </w:r>
            <w:r>
              <w:rPr>
                <w:rFonts w:ascii="Times New Roman" w:cs="Times New Roman"/>
                <w:bCs/>
                <w:kern w:val="2"/>
                <w:sz w:val="21"/>
                <w:szCs w:val="21"/>
                <w:vertAlign w:val="superscript"/>
              </w:rPr>
              <w:t>-</w:t>
            </w:r>
            <w:r>
              <w:rPr>
                <w:rFonts w:hint="eastAsia" w:ascii="Times New Roman" w:cs="Times New Roman"/>
                <w:bCs/>
                <w:kern w:val="2"/>
                <w:sz w:val="21"/>
                <w:szCs w:val="21"/>
                <w:vertAlign w:val="superscript"/>
              </w:rPr>
              <w:t>5</w:t>
            </w:r>
          </w:p>
        </w:tc>
        <w:tc>
          <w:tcPr>
            <w:tcW w:w="953"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kern w:val="2"/>
                <w:sz w:val="21"/>
                <w:szCs w:val="21"/>
              </w:rPr>
              <w:t>1.8</w:t>
            </w:r>
            <w:r>
              <w:rPr>
                <w:rFonts w:ascii="Times New Roman" w:cs="Times New Roman"/>
                <w:kern w:val="2"/>
                <w:sz w:val="21"/>
                <w:szCs w:val="21"/>
              </w:rPr>
              <w:t>×</w:t>
            </w:r>
            <w:r>
              <w:rPr>
                <w:rFonts w:ascii="Times New Roman" w:cs="Times New Roman"/>
                <w:bCs/>
                <w:kern w:val="2"/>
                <w:sz w:val="21"/>
                <w:szCs w:val="21"/>
              </w:rPr>
              <w:t>10</w:t>
            </w:r>
            <w:r>
              <w:rPr>
                <w:rFonts w:ascii="Times New Roman" w:cs="Times New Roman"/>
                <w:bCs/>
                <w:kern w:val="2"/>
                <w:sz w:val="21"/>
                <w:szCs w:val="21"/>
                <w:vertAlign w:val="superscript"/>
              </w:rPr>
              <w:t>-</w:t>
            </w:r>
            <w:r>
              <w:rPr>
                <w:rFonts w:hint="eastAsia" w:ascii="Times New Roman" w:cs="Times New Roman"/>
                <w:bCs/>
                <w:kern w:val="2"/>
                <w:sz w:val="21"/>
                <w:szCs w:val="21"/>
                <w:vertAlign w:val="superscript"/>
              </w:rPr>
              <w:t>4</w:t>
            </w:r>
          </w:p>
        </w:tc>
        <w:tc>
          <w:tcPr>
            <w:tcW w:w="867"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36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砷（As）</w:t>
            </w:r>
          </w:p>
        </w:tc>
        <w:tc>
          <w:tcPr>
            <w:tcW w:w="114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（mg/L）</w:t>
            </w:r>
          </w:p>
        </w:tc>
        <w:tc>
          <w:tcPr>
            <w:tcW w:w="749"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748"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953"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748"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953"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867"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36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镉（Cd）</w:t>
            </w:r>
          </w:p>
        </w:tc>
        <w:tc>
          <w:tcPr>
            <w:tcW w:w="114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（mg/L）</w:t>
            </w:r>
          </w:p>
        </w:tc>
        <w:tc>
          <w:tcPr>
            <w:tcW w:w="749"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cs="Times New Roman"/>
                <w:kern w:val="2"/>
                <w:sz w:val="21"/>
                <w:szCs w:val="21"/>
              </w:rPr>
              <w:t>1.0</w:t>
            </w:r>
            <w:r>
              <w:rPr>
                <w:rFonts w:ascii="Times New Roman" w:cs="Times New Roman"/>
                <w:kern w:val="2"/>
                <w:sz w:val="21"/>
                <w:szCs w:val="21"/>
              </w:rPr>
              <w:t>×</w:t>
            </w:r>
            <w:r>
              <w:rPr>
                <w:rFonts w:ascii="Times New Roman" w:cs="Times New Roman"/>
                <w:bCs/>
                <w:kern w:val="2"/>
                <w:sz w:val="21"/>
                <w:szCs w:val="21"/>
              </w:rPr>
              <w:t>10</w:t>
            </w:r>
            <w:r>
              <w:rPr>
                <w:rFonts w:ascii="Times New Roman" w:cs="Times New Roman"/>
                <w:bCs/>
                <w:kern w:val="2"/>
                <w:sz w:val="21"/>
                <w:szCs w:val="21"/>
                <w:vertAlign w:val="superscript"/>
              </w:rPr>
              <w:t>-</w:t>
            </w:r>
            <w:r>
              <w:rPr>
                <w:rFonts w:hint="eastAsia" w:ascii="Times New Roman" w:cs="Times New Roman"/>
                <w:bCs/>
                <w:kern w:val="2"/>
                <w:sz w:val="21"/>
                <w:szCs w:val="21"/>
                <w:vertAlign w:val="superscript"/>
              </w:rPr>
              <w:t>4</w:t>
            </w:r>
          </w:p>
        </w:tc>
        <w:tc>
          <w:tcPr>
            <w:tcW w:w="748"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cs="Times New Roman"/>
                <w:kern w:val="2"/>
                <w:sz w:val="21"/>
                <w:szCs w:val="21"/>
              </w:rPr>
              <w:t>1.0</w:t>
            </w:r>
            <w:r>
              <w:rPr>
                <w:rFonts w:ascii="Times New Roman" w:cs="Times New Roman"/>
                <w:kern w:val="2"/>
                <w:sz w:val="21"/>
                <w:szCs w:val="21"/>
              </w:rPr>
              <w:t>×</w:t>
            </w:r>
            <w:r>
              <w:rPr>
                <w:rFonts w:ascii="Times New Roman" w:cs="Times New Roman"/>
                <w:bCs/>
                <w:kern w:val="2"/>
                <w:sz w:val="21"/>
                <w:szCs w:val="21"/>
              </w:rPr>
              <w:t>10</w:t>
            </w:r>
            <w:r>
              <w:rPr>
                <w:rFonts w:ascii="Times New Roman" w:cs="Times New Roman"/>
                <w:bCs/>
                <w:kern w:val="2"/>
                <w:sz w:val="21"/>
                <w:szCs w:val="21"/>
                <w:vertAlign w:val="superscript"/>
              </w:rPr>
              <w:t>-</w:t>
            </w:r>
            <w:r>
              <w:rPr>
                <w:rFonts w:hint="eastAsia" w:ascii="Times New Roman" w:cs="Times New Roman"/>
                <w:bCs/>
                <w:kern w:val="2"/>
                <w:sz w:val="21"/>
                <w:szCs w:val="21"/>
                <w:vertAlign w:val="superscript"/>
              </w:rPr>
              <w:t>4</w:t>
            </w:r>
          </w:p>
        </w:tc>
        <w:tc>
          <w:tcPr>
            <w:tcW w:w="953"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cs="Times New Roman"/>
                <w:kern w:val="2"/>
                <w:sz w:val="21"/>
                <w:szCs w:val="21"/>
              </w:rPr>
              <w:t>1.0</w:t>
            </w:r>
            <w:r>
              <w:rPr>
                <w:rFonts w:ascii="Times New Roman" w:cs="Times New Roman"/>
                <w:kern w:val="2"/>
                <w:sz w:val="21"/>
                <w:szCs w:val="21"/>
              </w:rPr>
              <w:t>×</w:t>
            </w:r>
            <w:r>
              <w:rPr>
                <w:rFonts w:ascii="Times New Roman" w:cs="Times New Roman"/>
                <w:bCs/>
                <w:kern w:val="2"/>
                <w:sz w:val="21"/>
                <w:szCs w:val="21"/>
              </w:rPr>
              <w:t>10</w:t>
            </w:r>
            <w:r>
              <w:rPr>
                <w:rFonts w:ascii="Times New Roman" w:cs="Times New Roman"/>
                <w:bCs/>
                <w:kern w:val="2"/>
                <w:sz w:val="21"/>
                <w:szCs w:val="21"/>
                <w:vertAlign w:val="superscript"/>
              </w:rPr>
              <w:t>-</w:t>
            </w:r>
            <w:r>
              <w:rPr>
                <w:rFonts w:hint="eastAsia" w:ascii="Times New Roman" w:cs="Times New Roman"/>
                <w:bCs/>
                <w:kern w:val="2"/>
                <w:sz w:val="21"/>
                <w:szCs w:val="21"/>
                <w:vertAlign w:val="superscript"/>
              </w:rPr>
              <w:t>4</w:t>
            </w:r>
          </w:p>
        </w:tc>
        <w:tc>
          <w:tcPr>
            <w:tcW w:w="748"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cs="Times New Roman"/>
                <w:kern w:val="2"/>
                <w:sz w:val="21"/>
                <w:szCs w:val="21"/>
              </w:rPr>
              <w:t>1.0</w:t>
            </w:r>
            <w:r>
              <w:rPr>
                <w:rFonts w:ascii="Times New Roman" w:cs="Times New Roman"/>
                <w:kern w:val="2"/>
                <w:sz w:val="21"/>
                <w:szCs w:val="21"/>
              </w:rPr>
              <w:t>×</w:t>
            </w:r>
            <w:r>
              <w:rPr>
                <w:rFonts w:ascii="Times New Roman" w:cs="Times New Roman"/>
                <w:bCs/>
                <w:kern w:val="2"/>
                <w:sz w:val="21"/>
                <w:szCs w:val="21"/>
              </w:rPr>
              <w:t>10</w:t>
            </w:r>
            <w:r>
              <w:rPr>
                <w:rFonts w:ascii="Times New Roman" w:cs="Times New Roman"/>
                <w:bCs/>
                <w:kern w:val="2"/>
                <w:sz w:val="21"/>
                <w:szCs w:val="21"/>
                <w:vertAlign w:val="superscript"/>
              </w:rPr>
              <w:t>-</w:t>
            </w:r>
            <w:r>
              <w:rPr>
                <w:rFonts w:hint="eastAsia" w:ascii="Times New Roman" w:cs="Times New Roman"/>
                <w:bCs/>
                <w:kern w:val="2"/>
                <w:sz w:val="21"/>
                <w:szCs w:val="21"/>
                <w:vertAlign w:val="superscript"/>
              </w:rPr>
              <w:t>4</w:t>
            </w:r>
          </w:p>
        </w:tc>
        <w:tc>
          <w:tcPr>
            <w:tcW w:w="953"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cs="Times New Roman"/>
                <w:kern w:val="2"/>
                <w:sz w:val="21"/>
                <w:szCs w:val="21"/>
              </w:rPr>
              <w:t>1.0</w:t>
            </w:r>
            <w:r>
              <w:rPr>
                <w:rFonts w:ascii="Times New Roman" w:cs="Times New Roman"/>
                <w:kern w:val="2"/>
                <w:sz w:val="21"/>
                <w:szCs w:val="21"/>
              </w:rPr>
              <w:t>×</w:t>
            </w:r>
            <w:r>
              <w:rPr>
                <w:rFonts w:ascii="Times New Roman" w:cs="Times New Roman"/>
                <w:bCs/>
                <w:kern w:val="2"/>
                <w:sz w:val="21"/>
                <w:szCs w:val="21"/>
              </w:rPr>
              <w:t>10</w:t>
            </w:r>
            <w:r>
              <w:rPr>
                <w:rFonts w:ascii="Times New Roman" w:cs="Times New Roman"/>
                <w:bCs/>
                <w:kern w:val="2"/>
                <w:sz w:val="21"/>
                <w:szCs w:val="21"/>
                <w:vertAlign w:val="superscript"/>
              </w:rPr>
              <w:t>-</w:t>
            </w:r>
            <w:r>
              <w:rPr>
                <w:rFonts w:hint="eastAsia" w:ascii="Times New Roman" w:cs="Times New Roman"/>
                <w:bCs/>
                <w:kern w:val="2"/>
                <w:sz w:val="21"/>
                <w:szCs w:val="21"/>
                <w:vertAlign w:val="superscript"/>
              </w:rPr>
              <w:t>4</w:t>
            </w:r>
          </w:p>
        </w:tc>
        <w:tc>
          <w:tcPr>
            <w:tcW w:w="867"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36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铬（六价）（Cr</w:t>
            </w:r>
            <w:r>
              <w:rPr>
                <w:rFonts w:ascii="Times New Roman" w:hAnsi="宋体" w:cs="Times New Roman"/>
                <w:sz w:val="21"/>
                <w:vertAlign w:val="superscript"/>
              </w:rPr>
              <w:t>6+</w:t>
            </w:r>
            <w:r>
              <w:rPr>
                <w:rFonts w:ascii="Times New Roman" w:hAnsi="宋体" w:cs="Times New Roman"/>
                <w:sz w:val="21"/>
              </w:rPr>
              <w:t>）</w:t>
            </w:r>
          </w:p>
        </w:tc>
        <w:tc>
          <w:tcPr>
            <w:tcW w:w="114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（mg/L）</w:t>
            </w:r>
          </w:p>
        </w:tc>
        <w:tc>
          <w:tcPr>
            <w:tcW w:w="749" w:type="dxa"/>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bCs/>
                <w:kern w:val="2"/>
                <w:sz w:val="21"/>
              </w:rPr>
              <w:t>&lt;0.004</w:t>
            </w:r>
          </w:p>
        </w:tc>
        <w:tc>
          <w:tcPr>
            <w:tcW w:w="748"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bCs/>
                <w:kern w:val="2"/>
                <w:sz w:val="21"/>
              </w:rPr>
              <w:t>&lt;0.004</w:t>
            </w:r>
          </w:p>
        </w:tc>
        <w:tc>
          <w:tcPr>
            <w:tcW w:w="953"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bCs/>
                <w:kern w:val="2"/>
                <w:sz w:val="21"/>
              </w:rPr>
              <w:t>&lt;0.004</w:t>
            </w:r>
          </w:p>
        </w:tc>
        <w:tc>
          <w:tcPr>
            <w:tcW w:w="748"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bCs/>
                <w:kern w:val="2"/>
                <w:sz w:val="21"/>
              </w:rPr>
              <w:t>&lt;0.004</w:t>
            </w:r>
          </w:p>
        </w:tc>
        <w:tc>
          <w:tcPr>
            <w:tcW w:w="953"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bCs/>
                <w:kern w:val="2"/>
                <w:sz w:val="21"/>
              </w:rPr>
              <w:t>&lt;0.004</w:t>
            </w:r>
          </w:p>
        </w:tc>
        <w:tc>
          <w:tcPr>
            <w:tcW w:w="867"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36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铅（Pb）</w:t>
            </w:r>
          </w:p>
        </w:tc>
        <w:tc>
          <w:tcPr>
            <w:tcW w:w="114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（mg/L）</w:t>
            </w:r>
          </w:p>
        </w:tc>
        <w:tc>
          <w:tcPr>
            <w:tcW w:w="749"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kern w:val="2"/>
                <w:sz w:val="21"/>
                <w:szCs w:val="21"/>
              </w:rPr>
              <w:t>1</w:t>
            </w:r>
            <w:r>
              <w:rPr>
                <w:rFonts w:ascii="Times New Roman" w:cs="Times New Roman"/>
                <w:kern w:val="2"/>
                <w:sz w:val="21"/>
                <w:szCs w:val="21"/>
              </w:rPr>
              <w:t>×</w:t>
            </w:r>
            <w:r>
              <w:rPr>
                <w:rFonts w:ascii="Times New Roman" w:cs="Times New Roman"/>
                <w:bCs/>
                <w:kern w:val="2"/>
                <w:sz w:val="21"/>
                <w:szCs w:val="21"/>
              </w:rPr>
              <w:t>10</w:t>
            </w:r>
            <w:r>
              <w:rPr>
                <w:rFonts w:ascii="Times New Roman" w:cs="Times New Roman"/>
                <w:bCs/>
                <w:kern w:val="2"/>
                <w:sz w:val="21"/>
                <w:szCs w:val="21"/>
                <w:vertAlign w:val="superscript"/>
              </w:rPr>
              <w:t>-</w:t>
            </w:r>
            <w:r>
              <w:rPr>
                <w:rFonts w:hint="eastAsia" w:ascii="Times New Roman" w:cs="Times New Roman"/>
                <w:bCs/>
                <w:kern w:val="2"/>
                <w:sz w:val="21"/>
                <w:szCs w:val="21"/>
                <w:vertAlign w:val="superscript"/>
              </w:rPr>
              <w:t>3</w:t>
            </w:r>
          </w:p>
        </w:tc>
        <w:tc>
          <w:tcPr>
            <w:tcW w:w="748"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kern w:val="2"/>
                <w:sz w:val="21"/>
                <w:szCs w:val="21"/>
              </w:rPr>
              <w:t>1</w:t>
            </w:r>
            <w:r>
              <w:rPr>
                <w:rFonts w:ascii="Times New Roman" w:cs="Times New Roman"/>
                <w:kern w:val="2"/>
                <w:sz w:val="21"/>
                <w:szCs w:val="21"/>
              </w:rPr>
              <w:t>×</w:t>
            </w:r>
            <w:r>
              <w:rPr>
                <w:rFonts w:ascii="Times New Roman" w:cs="Times New Roman"/>
                <w:bCs/>
                <w:kern w:val="2"/>
                <w:sz w:val="21"/>
                <w:szCs w:val="21"/>
              </w:rPr>
              <w:t>10</w:t>
            </w:r>
            <w:r>
              <w:rPr>
                <w:rFonts w:ascii="Times New Roman" w:cs="Times New Roman"/>
                <w:bCs/>
                <w:kern w:val="2"/>
                <w:sz w:val="21"/>
                <w:szCs w:val="21"/>
                <w:vertAlign w:val="superscript"/>
              </w:rPr>
              <w:t>-</w:t>
            </w:r>
            <w:r>
              <w:rPr>
                <w:rFonts w:hint="eastAsia" w:ascii="Times New Roman" w:cs="Times New Roman"/>
                <w:bCs/>
                <w:kern w:val="2"/>
                <w:sz w:val="21"/>
                <w:szCs w:val="21"/>
                <w:vertAlign w:val="superscript"/>
              </w:rPr>
              <w:t>3</w:t>
            </w:r>
          </w:p>
        </w:tc>
        <w:tc>
          <w:tcPr>
            <w:tcW w:w="953"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kern w:val="2"/>
                <w:sz w:val="21"/>
                <w:szCs w:val="21"/>
              </w:rPr>
              <w:t>1</w:t>
            </w:r>
            <w:r>
              <w:rPr>
                <w:rFonts w:ascii="Times New Roman" w:cs="Times New Roman"/>
                <w:kern w:val="2"/>
                <w:sz w:val="21"/>
                <w:szCs w:val="21"/>
              </w:rPr>
              <w:t>×</w:t>
            </w:r>
            <w:r>
              <w:rPr>
                <w:rFonts w:ascii="Times New Roman" w:cs="Times New Roman"/>
                <w:bCs/>
                <w:kern w:val="2"/>
                <w:sz w:val="21"/>
                <w:szCs w:val="21"/>
              </w:rPr>
              <w:t>10</w:t>
            </w:r>
            <w:r>
              <w:rPr>
                <w:rFonts w:ascii="Times New Roman" w:cs="Times New Roman"/>
                <w:bCs/>
                <w:kern w:val="2"/>
                <w:sz w:val="21"/>
                <w:szCs w:val="21"/>
                <w:vertAlign w:val="superscript"/>
              </w:rPr>
              <w:t>-</w:t>
            </w:r>
            <w:r>
              <w:rPr>
                <w:rFonts w:hint="eastAsia" w:ascii="Times New Roman" w:cs="Times New Roman"/>
                <w:bCs/>
                <w:kern w:val="2"/>
                <w:sz w:val="21"/>
                <w:szCs w:val="21"/>
                <w:vertAlign w:val="superscript"/>
              </w:rPr>
              <w:t>3</w:t>
            </w:r>
          </w:p>
        </w:tc>
        <w:tc>
          <w:tcPr>
            <w:tcW w:w="748"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kern w:val="2"/>
                <w:sz w:val="21"/>
                <w:szCs w:val="21"/>
              </w:rPr>
              <w:t>1</w:t>
            </w:r>
            <w:r>
              <w:rPr>
                <w:rFonts w:ascii="Times New Roman" w:cs="Times New Roman"/>
                <w:kern w:val="2"/>
                <w:sz w:val="21"/>
                <w:szCs w:val="21"/>
              </w:rPr>
              <w:t>×</w:t>
            </w:r>
            <w:r>
              <w:rPr>
                <w:rFonts w:ascii="Times New Roman" w:cs="Times New Roman"/>
                <w:bCs/>
                <w:kern w:val="2"/>
                <w:sz w:val="21"/>
                <w:szCs w:val="21"/>
              </w:rPr>
              <w:t>10</w:t>
            </w:r>
            <w:r>
              <w:rPr>
                <w:rFonts w:ascii="Times New Roman" w:cs="Times New Roman"/>
                <w:bCs/>
                <w:kern w:val="2"/>
                <w:sz w:val="21"/>
                <w:szCs w:val="21"/>
                <w:vertAlign w:val="superscript"/>
              </w:rPr>
              <w:t>-</w:t>
            </w:r>
            <w:r>
              <w:rPr>
                <w:rFonts w:hint="eastAsia" w:ascii="Times New Roman" w:cs="Times New Roman"/>
                <w:bCs/>
                <w:kern w:val="2"/>
                <w:sz w:val="21"/>
                <w:szCs w:val="21"/>
                <w:vertAlign w:val="superscript"/>
              </w:rPr>
              <w:t>3</w:t>
            </w:r>
          </w:p>
        </w:tc>
        <w:tc>
          <w:tcPr>
            <w:tcW w:w="953"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kern w:val="2"/>
                <w:sz w:val="21"/>
                <w:szCs w:val="21"/>
              </w:rPr>
              <w:t>1</w:t>
            </w:r>
            <w:r>
              <w:rPr>
                <w:rFonts w:ascii="Times New Roman" w:cs="Times New Roman"/>
                <w:kern w:val="2"/>
                <w:sz w:val="21"/>
                <w:szCs w:val="21"/>
              </w:rPr>
              <w:t>×</w:t>
            </w:r>
            <w:r>
              <w:rPr>
                <w:rFonts w:ascii="Times New Roman" w:cs="Times New Roman"/>
                <w:bCs/>
                <w:kern w:val="2"/>
                <w:sz w:val="21"/>
                <w:szCs w:val="21"/>
              </w:rPr>
              <w:t>10</w:t>
            </w:r>
            <w:r>
              <w:rPr>
                <w:rFonts w:ascii="Times New Roman" w:cs="Times New Roman"/>
                <w:bCs/>
                <w:kern w:val="2"/>
                <w:sz w:val="21"/>
                <w:szCs w:val="21"/>
                <w:vertAlign w:val="superscript"/>
              </w:rPr>
              <w:t>-</w:t>
            </w:r>
            <w:r>
              <w:rPr>
                <w:rFonts w:hint="eastAsia" w:ascii="Times New Roman" w:cs="Times New Roman"/>
                <w:bCs/>
                <w:kern w:val="2"/>
                <w:sz w:val="21"/>
                <w:szCs w:val="21"/>
                <w:vertAlign w:val="superscript"/>
              </w:rPr>
              <w:t>3</w:t>
            </w:r>
          </w:p>
        </w:tc>
        <w:tc>
          <w:tcPr>
            <w:tcW w:w="867"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36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石油类</w:t>
            </w:r>
          </w:p>
        </w:tc>
        <w:tc>
          <w:tcPr>
            <w:tcW w:w="114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（mg/L）</w:t>
            </w:r>
          </w:p>
        </w:tc>
        <w:tc>
          <w:tcPr>
            <w:tcW w:w="749"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748"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953"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748"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953"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867"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36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sz w:val="21"/>
              </w:rPr>
              <w:t>硫化物</w:t>
            </w:r>
          </w:p>
        </w:tc>
        <w:tc>
          <w:tcPr>
            <w:tcW w:w="114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（mg/L）</w:t>
            </w:r>
          </w:p>
        </w:tc>
        <w:tc>
          <w:tcPr>
            <w:tcW w:w="749"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748"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953"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748"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953"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bCs/>
                <w:kern w:val="2"/>
                <w:sz w:val="21"/>
                <w:szCs w:val="21"/>
              </w:rPr>
              <w:t>未检出</w:t>
            </w:r>
          </w:p>
        </w:tc>
        <w:tc>
          <w:tcPr>
            <w:tcW w:w="867"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r>
              <w:rPr>
                <w:rFonts w:hint="eastAsia" w:ascii="Times New Roman" w:hAnsi="宋体" w:cs="Times New Roman"/>
                <w:sz w:val="21"/>
              </w:rPr>
              <w:t>0.02</w:t>
            </w:r>
          </w:p>
        </w:tc>
      </w:tr>
    </w:tbl>
    <w:p>
      <w:pPr>
        <w:ind w:firstLine="0" w:firstLineChars="0"/>
        <w:jc w:val="center"/>
        <w:rPr>
          <w:rFonts w:ascii="Times New Roman" w:cs="Times New Roman"/>
          <w:b/>
        </w:rPr>
      </w:pPr>
      <w:r>
        <w:rPr>
          <w:rFonts w:ascii="Times New Roman" w:cs="Times New Roman"/>
          <w:b/>
        </w:rPr>
        <w:t>表5.5-</w:t>
      </w:r>
      <w:r>
        <w:rPr>
          <w:rFonts w:hint="eastAsia" w:ascii="Times New Roman" w:cs="Times New Roman"/>
          <w:b/>
        </w:rPr>
        <w:t>2</w:t>
      </w:r>
      <w:r>
        <w:rPr>
          <w:rFonts w:ascii="Times New Roman" w:cs="Times New Roman"/>
          <w:b/>
        </w:rPr>
        <w:t xml:space="preserve">  地下水环境质量现状评价结果</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66"/>
        <w:gridCol w:w="1010"/>
        <w:gridCol w:w="1010"/>
        <w:gridCol w:w="1012"/>
        <w:gridCol w:w="1012"/>
        <w:gridCol w:w="10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466" w:type="dxa"/>
            <w:vMerge w:val="restart"/>
            <w:vAlign w:val="center"/>
          </w:tcPr>
          <w:p>
            <w:pPr>
              <w:widowControl/>
              <w:topLinePunct w:val="0"/>
              <w:adjustRightInd/>
              <w:spacing w:line="240" w:lineRule="auto"/>
              <w:ind w:firstLine="0" w:firstLineChars="0"/>
              <w:jc w:val="center"/>
              <w:rPr>
                <w:rFonts w:ascii="Times New Roman" w:hAnsi="宋体" w:cs="Times New Roman"/>
                <w:b/>
                <w:sz w:val="21"/>
              </w:rPr>
            </w:pPr>
            <w:r>
              <w:rPr>
                <w:rFonts w:ascii="Times New Roman" w:hAnsi="宋体" w:cs="Times New Roman"/>
                <w:b/>
                <w:sz w:val="21"/>
              </w:rPr>
              <w:t>项目</w:t>
            </w:r>
          </w:p>
        </w:tc>
        <w:tc>
          <w:tcPr>
            <w:tcW w:w="5056" w:type="dxa"/>
            <w:gridSpan w:val="5"/>
          </w:tcPr>
          <w:p>
            <w:pPr>
              <w:widowControl/>
              <w:topLinePunct w:val="0"/>
              <w:adjustRightInd/>
              <w:spacing w:line="240" w:lineRule="auto"/>
              <w:ind w:firstLine="0" w:firstLineChars="0"/>
              <w:jc w:val="center"/>
              <w:rPr>
                <w:rFonts w:ascii="Times New Roman" w:hAnsi="宋体" w:cs="Times New Roman"/>
                <w:b/>
                <w:sz w:val="21"/>
              </w:rPr>
            </w:pPr>
            <w:r>
              <w:rPr>
                <w:rFonts w:ascii="Times New Roman" w:hAnsi="宋体" w:cs="Times New Roman"/>
                <w:b/>
                <w:sz w:val="21"/>
              </w:rPr>
              <w:t>评价值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66" w:type="dxa"/>
            <w:vMerge w:val="continue"/>
            <w:vAlign w:val="center"/>
          </w:tcPr>
          <w:p>
            <w:pPr>
              <w:widowControl/>
              <w:topLinePunct w:val="0"/>
              <w:adjustRightInd/>
              <w:spacing w:line="240" w:lineRule="auto"/>
              <w:ind w:firstLine="0" w:firstLineChars="0"/>
              <w:jc w:val="left"/>
              <w:rPr>
                <w:rFonts w:ascii="Times New Roman" w:hAnsi="宋体" w:cs="Times New Roman"/>
                <w:b/>
                <w:sz w:val="21"/>
              </w:rPr>
            </w:pPr>
          </w:p>
        </w:tc>
        <w:tc>
          <w:tcPr>
            <w:tcW w:w="1010" w:type="dxa"/>
            <w:vAlign w:val="center"/>
          </w:tcPr>
          <w:p>
            <w:pPr>
              <w:widowControl/>
              <w:topLinePunct w:val="0"/>
              <w:adjustRightInd/>
              <w:spacing w:line="240" w:lineRule="auto"/>
              <w:ind w:firstLine="0" w:firstLineChars="0"/>
              <w:jc w:val="center"/>
              <w:rPr>
                <w:rFonts w:ascii="Times New Roman" w:cs="Times New Roman"/>
                <w:b/>
                <w:sz w:val="21"/>
                <w:szCs w:val="21"/>
              </w:rPr>
            </w:pPr>
            <w:r>
              <w:rPr>
                <w:rFonts w:ascii="Times New Roman" w:cs="Times New Roman"/>
                <w:b/>
                <w:sz w:val="21"/>
                <w:szCs w:val="21"/>
              </w:rPr>
              <w:t>WX1</w:t>
            </w:r>
          </w:p>
        </w:tc>
        <w:tc>
          <w:tcPr>
            <w:tcW w:w="1010" w:type="dxa"/>
            <w:vAlign w:val="center"/>
          </w:tcPr>
          <w:p>
            <w:pPr>
              <w:widowControl/>
              <w:topLinePunct w:val="0"/>
              <w:adjustRightInd/>
              <w:spacing w:line="240" w:lineRule="auto"/>
              <w:ind w:firstLine="0" w:firstLineChars="0"/>
              <w:jc w:val="center"/>
              <w:rPr>
                <w:rFonts w:ascii="Times New Roman" w:cs="Times New Roman"/>
                <w:b/>
                <w:sz w:val="21"/>
                <w:szCs w:val="21"/>
              </w:rPr>
            </w:pPr>
            <w:r>
              <w:rPr>
                <w:rFonts w:ascii="Times New Roman" w:cs="Times New Roman"/>
                <w:b/>
                <w:sz w:val="21"/>
                <w:szCs w:val="21"/>
              </w:rPr>
              <w:t>WX2</w:t>
            </w:r>
          </w:p>
        </w:tc>
        <w:tc>
          <w:tcPr>
            <w:tcW w:w="1012" w:type="dxa"/>
            <w:vAlign w:val="center"/>
          </w:tcPr>
          <w:p>
            <w:pPr>
              <w:widowControl/>
              <w:topLinePunct w:val="0"/>
              <w:adjustRightInd/>
              <w:spacing w:line="240" w:lineRule="auto"/>
              <w:ind w:firstLine="0" w:firstLineChars="0"/>
              <w:jc w:val="center"/>
              <w:rPr>
                <w:rFonts w:ascii="Times New Roman" w:cs="Times New Roman"/>
                <w:b/>
                <w:sz w:val="21"/>
                <w:szCs w:val="21"/>
              </w:rPr>
            </w:pPr>
            <w:r>
              <w:rPr>
                <w:rFonts w:ascii="Times New Roman" w:cs="Times New Roman"/>
                <w:b/>
                <w:sz w:val="21"/>
                <w:szCs w:val="21"/>
              </w:rPr>
              <w:t>WX3</w:t>
            </w:r>
          </w:p>
        </w:tc>
        <w:tc>
          <w:tcPr>
            <w:tcW w:w="1012" w:type="dxa"/>
            <w:vAlign w:val="center"/>
          </w:tcPr>
          <w:p>
            <w:pPr>
              <w:widowControl/>
              <w:topLinePunct w:val="0"/>
              <w:adjustRightInd/>
              <w:spacing w:line="240" w:lineRule="auto"/>
              <w:ind w:firstLine="0" w:firstLineChars="0"/>
              <w:jc w:val="center"/>
              <w:rPr>
                <w:rFonts w:ascii="Times New Roman" w:cs="Times New Roman"/>
                <w:b/>
                <w:sz w:val="21"/>
                <w:szCs w:val="21"/>
              </w:rPr>
            </w:pPr>
            <w:r>
              <w:rPr>
                <w:rFonts w:ascii="Times New Roman" w:cs="Times New Roman"/>
                <w:b/>
                <w:sz w:val="21"/>
                <w:szCs w:val="21"/>
              </w:rPr>
              <w:t>WX4</w:t>
            </w:r>
          </w:p>
        </w:tc>
        <w:tc>
          <w:tcPr>
            <w:tcW w:w="1012" w:type="dxa"/>
            <w:vAlign w:val="center"/>
          </w:tcPr>
          <w:p>
            <w:pPr>
              <w:widowControl/>
              <w:topLinePunct w:val="0"/>
              <w:adjustRightInd/>
              <w:spacing w:line="240" w:lineRule="auto"/>
              <w:ind w:firstLine="0" w:firstLineChars="0"/>
              <w:jc w:val="center"/>
              <w:rPr>
                <w:rFonts w:ascii="Times New Roman" w:cs="Times New Roman"/>
                <w:b/>
                <w:sz w:val="21"/>
                <w:szCs w:val="21"/>
              </w:rPr>
            </w:pPr>
            <w:r>
              <w:rPr>
                <w:rFonts w:ascii="Times New Roman" w:cs="Times New Roman"/>
                <w:b/>
                <w:sz w:val="21"/>
                <w:szCs w:val="21"/>
              </w:rPr>
              <w:t>WX5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466"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pH</w:t>
            </w:r>
          </w:p>
        </w:tc>
        <w:tc>
          <w:tcPr>
            <w:tcW w:w="1010" w:type="dxa"/>
            <w:vAlign w:val="center"/>
          </w:tcPr>
          <w:p>
            <w:pPr>
              <w:snapToGrid w:val="0"/>
              <w:ind w:firstLine="0" w:firstLineChars="0"/>
              <w:jc w:val="center"/>
              <w:rPr>
                <w:rFonts w:ascii="Times New Roman" w:cs="Times New Roman"/>
                <w:kern w:val="2"/>
                <w:sz w:val="21"/>
                <w:szCs w:val="21"/>
              </w:rPr>
            </w:pPr>
            <w:r>
              <w:rPr>
                <w:rFonts w:hint="eastAsia" w:ascii="Times New Roman" w:hAnsi="宋体" w:cs="Times New Roman"/>
                <w:sz w:val="21"/>
              </w:rPr>
              <w:t>0.47</w:t>
            </w:r>
          </w:p>
        </w:tc>
        <w:tc>
          <w:tcPr>
            <w:tcW w:w="1010"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0.6</w:t>
            </w:r>
          </w:p>
        </w:tc>
        <w:tc>
          <w:tcPr>
            <w:tcW w:w="1012"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0.6</w:t>
            </w:r>
          </w:p>
        </w:tc>
        <w:tc>
          <w:tcPr>
            <w:tcW w:w="1012"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0.6</w:t>
            </w:r>
          </w:p>
        </w:tc>
        <w:tc>
          <w:tcPr>
            <w:tcW w:w="1012"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466"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总硬度（以CaCO</w:t>
            </w:r>
            <w:r>
              <w:rPr>
                <w:rFonts w:ascii="Times New Roman" w:hAnsi="宋体" w:cs="Times New Roman"/>
                <w:sz w:val="21"/>
                <w:vertAlign w:val="subscript"/>
              </w:rPr>
              <w:t>3</w:t>
            </w:r>
            <w:r>
              <w:rPr>
                <w:rFonts w:ascii="Times New Roman" w:hAnsi="宋体" w:cs="Times New Roman"/>
                <w:sz w:val="21"/>
              </w:rPr>
              <w:t>计）</w:t>
            </w:r>
          </w:p>
        </w:tc>
        <w:tc>
          <w:tcPr>
            <w:tcW w:w="1010"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0.389</w:t>
            </w:r>
          </w:p>
        </w:tc>
        <w:tc>
          <w:tcPr>
            <w:tcW w:w="1010"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kern w:val="2"/>
                <w:sz w:val="21"/>
                <w:szCs w:val="21"/>
              </w:rPr>
              <w:t>0.391</w:t>
            </w:r>
          </w:p>
        </w:tc>
        <w:tc>
          <w:tcPr>
            <w:tcW w:w="1012"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kern w:val="2"/>
                <w:sz w:val="21"/>
                <w:szCs w:val="21"/>
              </w:rPr>
              <w:t>0.382</w:t>
            </w:r>
          </w:p>
        </w:tc>
        <w:tc>
          <w:tcPr>
            <w:tcW w:w="1012"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kern w:val="2"/>
                <w:sz w:val="21"/>
                <w:szCs w:val="21"/>
              </w:rPr>
              <w:t>0.387</w:t>
            </w:r>
          </w:p>
        </w:tc>
        <w:tc>
          <w:tcPr>
            <w:tcW w:w="1012"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kern w:val="2"/>
                <w:sz w:val="21"/>
                <w:szCs w:val="21"/>
              </w:rPr>
              <w:t>0.356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466"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溶解性总固体</w:t>
            </w:r>
          </w:p>
        </w:tc>
        <w:tc>
          <w:tcPr>
            <w:tcW w:w="1010"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0.2</w:t>
            </w:r>
          </w:p>
        </w:tc>
        <w:tc>
          <w:tcPr>
            <w:tcW w:w="1010"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bCs/>
                <w:kern w:val="2"/>
                <w:sz w:val="21"/>
                <w:szCs w:val="21"/>
              </w:rPr>
              <w:t>0.19</w:t>
            </w:r>
          </w:p>
        </w:tc>
        <w:tc>
          <w:tcPr>
            <w:tcW w:w="1012"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kern w:val="2"/>
                <w:sz w:val="21"/>
                <w:szCs w:val="21"/>
              </w:rPr>
              <w:t>0.195</w:t>
            </w:r>
          </w:p>
        </w:tc>
        <w:tc>
          <w:tcPr>
            <w:tcW w:w="1012"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kern w:val="2"/>
                <w:sz w:val="21"/>
                <w:szCs w:val="21"/>
              </w:rPr>
              <w:t>0.188</w:t>
            </w:r>
          </w:p>
        </w:tc>
        <w:tc>
          <w:tcPr>
            <w:tcW w:w="1012"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kern w:val="2"/>
                <w:sz w:val="21"/>
                <w:szCs w:val="21"/>
              </w:rPr>
              <w:t>0.185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466"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氯化物</w:t>
            </w:r>
          </w:p>
        </w:tc>
        <w:tc>
          <w:tcPr>
            <w:tcW w:w="1010"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0.072</w:t>
            </w:r>
          </w:p>
        </w:tc>
        <w:tc>
          <w:tcPr>
            <w:tcW w:w="1010"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0.113</w:t>
            </w:r>
          </w:p>
        </w:tc>
        <w:tc>
          <w:tcPr>
            <w:tcW w:w="1012"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0.026</w:t>
            </w:r>
          </w:p>
        </w:tc>
        <w:tc>
          <w:tcPr>
            <w:tcW w:w="1012"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bCs/>
                <w:kern w:val="2"/>
                <w:sz w:val="21"/>
                <w:szCs w:val="21"/>
              </w:rPr>
              <w:t>0.019</w:t>
            </w:r>
          </w:p>
        </w:tc>
        <w:tc>
          <w:tcPr>
            <w:tcW w:w="1012"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kern w:val="2"/>
                <w:sz w:val="21"/>
                <w:szCs w:val="21"/>
              </w:rPr>
              <w:t>0.054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466"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铁（Fe）</w:t>
            </w:r>
          </w:p>
        </w:tc>
        <w:tc>
          <w:tcPr>
            <w:tcW w:w="1010" w:type="dxa"/>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0" w:type="dxa"/>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466"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锰（Mn）</w:t>
            </w:r>
          </w:p>
        </w:tc>
        <w:tc>
          <w:tcPr>
            <w:tcW w:w="1010" w:type="dxa"/>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0" w:type="dxa"/>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466"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挥发酚</w:t>
            </w:r>
          </w:p>
        </w:tc>
        <w:tc>
          <w:tcPr>
            <w:tcW w:w="1010" w:type="dxa"/>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0" w:type="dxa"/>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sz w:val="21"/>
              </w:rPr>
              <w:t>0.15</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sz w:val="21"/>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466"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硝酸盐（以N计）</w:t>
            </w:r>
          </w:p>
        </w:tc>
        <w:tc>
          <w:tcPr>
            <w:tcW w:w="1010"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0.108</w:t>
            </w:r>
          </w:p>
        </w:tc>
        <w:tc>
          <w:tcPr>
            <w:tcW w:w="1010"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0.184</w:t>
            </w:r>
          </w:p>
        </w:tc>
        <w:tc>
          <w:tcPr>
            <w:tcW w:w="1012"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0.05</w:t>
            </w:r>
          </w:p>
        </w:tc>
        <w:tc>
          <w:tcPr>
            <w:tcW w:w="1012"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0.079</w:t>
            </w:r>
          </w:p>
        </w:tc>
        <w:tc>
          <w:tcPr>
            <w:tcW w:w="1012"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0.145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466"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亚硝酸盐（以N计）</w:t>
            </w:r>
          </w:p>
        </w:tc>
        <w:tc>
          <w:tcPr>
            <w:tcW w:w="1010" w:type="dxa"/>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0" w:type="dxa"/>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466"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硫酸盐</w:t>
            </w:r>
          </w:p>
        </w:tc>
        <w:tc>
          <w:tcPr>
            <w:tcW w:w="1010"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0.082</w:t>
            </w:r>
          </w:p>
        </w:tc>
        <w:tc>
          <w:tcPr>
            <w:tcW w:w="1010"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bCs/>
                <w:kern w:val="2"/>
                <w:sz w:val="21"/>
                <w:szCs w:val="21"/>
              </w:rPr>
              <w:t>0.094</w:t>
            </w:r>
          </w:p>
        </w:tc>
        <w:tc>
          <w:tcPr>
            <w:tcW w:w="1012"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bCs/>
                <w:kern w:val="2"/>
                <w:sz w:val="21"/>
                <w:szCs w:val="21"/>
              </w:rPr>
              <w:t>0.066</w:t>
            </w:r>
          </w:p>
        </w:tc>
        <w:tc>
          <w:tcPr>
            <w:tcW w:w="1012"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bCs/>
                <w:kern w:val="2"/>
                <w:sz w:val="21"/>
                <w:szCs w:val="21"/>
              </w:rPr>
              <w:t>0.118</w:t>
            </w:r>
          </w:p>
        </w:tc>
        <w:tc>
          <w:tcPr>
            <w:tcW w:w="1012" w:type="dxa"/>
            <w:vAlign w:val="center"/>
          </w:tcPr>
          <w:p>
            <w:pPr>
              <w:snapToGrid w:val="0"/>
              <w:ind w:firstLine="0" w:firstLineChars="0"/>
              <w:jc w:val="center"/>
              <w:rPr>
                <w:rFonts w:ascii="Times New Roman" w:cs="Times New Roman"/>
                <w:kern w:val="2"/>
                <w:sz w:val="21"/>
                <w:szCs w:val="21"/>
              </w:rPr>
            </w:pPr>
            <w:r>
              <w:rPr>
                <w:rFonts w:hint="eastAsia" w:ascii="Times New Roman" w:cs="Times New Roman"/>
                <w:kern w:val="2"/>
                <w:sz w:val="21"/>
                <w:szCs w:val="21"/>
              </w:rPr>
              <w:t>0.086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466" w:type="dxa"/>
            <w:vAlign w:val="center"/>
          </w:tcPr>
          <w:p>
            <w:pPr>
              <w:widowControl/>
              <w:topLinePunct w:val="0"/>
              <w:adjustRightInd/>
              <w:spacing w:line="240" w:lineRule="auto"/>
              <w:ind w:firstLine="0" w:firstLineChars="0"/>
              <w:jc w:val="center"/>
              <w:rPr>
                <w:rFonts w:ascii="Times New Roman" w:hAnsi="宋体" w:cs="Times New Roman"/>
                <w:kern w:val="2"/>
                <w:sz w:val="21"/>
              </w:rPr>
            </w:pPr>
            <w:r>
              <w:rPr>
                <w:rFonts w:ascii="Times New Roman" w:hAnsi="宋体" w:cs="Times New Roman"/>
                <w:sz w:val="21"/>
              </w:rPr>
              <w:t>总大肠菌群</w:t>
            </w:r>
          </w:p>
        </w:tc>
        <w:tc>
          <w:tcPr>
            <w:tcW w:w="1010" w:type="dxa"/>
            <w:vAlign w:val="center"/>
          </w:tcPr>
          <w:p>
            <w:pPr>
              <w:topLinePunct w:val="0"/>
              <w:snapToGrid w:val="0"/>
              <w:spacing w:line="240" w:lineRule="auto"/>
              <w:ind w:firstLine="0" w:firstLineChars="0"/>
              <w:jc w:val="center"/>
              <w:rPr>
                <w:rFonts w:ascii="Times New Roman" w:hAnsi="宋体" w:cs="Times New Roman"/>
                <w:bCs/>
                <w:kern w:val="2"/>
                <w:sz w:val="21"/>
              </w:rPr>
            </w:pPr>
            <w:r>
              <w:rPr>
                <w:rFonts w:hint="eastAsia" w:ascii="Times New Roman" w:hAnsi="宋体" w:cs="Times New Roman"/>
                <w:bCs/>
                <w:kern w:val="2"/>
                <w:sz w:val="21"/>
              </w:rPr>
              <w:t>0.67</w:t>
            </w:r>
          </w:p>
        </w:tc>
        <w:tc>
          <w:tcPr>
            <w:tcW w:w="1010" w:type="dxa"/>
            <w:vAlign w:val="center"/>
          </w:tcPr>
          <w:p>
            <w:pPr>
              <w:topLinePunct w:val="0"/>
              <w:snapToGrid w:val="0"/>
              <w:spacing w:line="240" w:lineRule="auto"/>
              <w:ind w:firstLine="0" w:firstLineChars="0"/>
              <w:jc w:val="center"/>
              <w:rPr>
                <w:rFonts w:ascii="Times New Roman" w:hAnsi="宋体" w:cs="Times New Roman"/>
                <w:bCs/>
                <w:kern w:val="2"/>
                <w:sz w:val="21"/>
              </w:rPr>
            </w:pPr>
            <w:r>
              <w:rPr>
                <w:rFonts w:hint="eastAsia" w:ascii="Times New Roman" w:hAnsi="宋体" w:cs="Times New Roman"/>
                <w:bCs/>
                <w:kern w:val="2"/>
                <w:sz w:val="21"/>
              </w:rPr>
              <w:t>0.67</w:t>
            </w:r>
          </w:p>
        </w:tc>
        <w:tc>
          <w:tcPr>
            <w:tcW w:w="1012" w:type="dxa"/>
            <w:vAlign w:val="center"/>
          </w:tcPr>
          <w:p>
            <w:pPr>
              <w:topLinePunct w:val="0"/>
              <w:snapToGrid w:val="0"/>
              <w:spacing w:line="240" w:lineRule="auto"/>
              <w:ind w:firstLine="0" w:firstLineChars="0"/>
              <w:jc w:val="center"/>
              <w:rPr>
                <w:rFonts w:ascii="Times New Roman" w:hAnsi="宋体" w:cs="Times New Roman"/>
                <w:bCs/>
                <w:kern w:val="2"/>
                <w:sz w:val="21"/>
              </w:rPr>
            </w:pPr>
            <w:r>
              <w:rPr>
                <w:rFonts w:hint="eastAsia" w:ascii="Times New Roman" w:hAnsi="宋体" w:cs="Times New Roman"/>
                <w:bCs/>
                <w:kern w:val="2"/>
                <w:sz w:val="21"/>
              </w:rPr>
              <w:t>0.67</w:t>
            </w:r>
          </w:p>
        </w:tc>
        <w:tc>
          <w:tcPr>
            <w:tcW w:w="1012" w:type="dxa"/>
            <w:vAlign w:val="center"/>
          </w:tcPr>
          <w:p>
            <w:pPr>
              <w:topLinePunct w:val="0"/>
              <w:snapToGrid w:val="0"/>
              <w:spacing w:line="240" w:lineRule="auto"/>
              <w:ind w:firstLine="0" w:firstLineChars="0"/>
              <w:jc w:val="center"/>
              <w:rPr>
                <w:rFonts w:ascii="Times New Roman" w:hAnsi="宋体" w:cs="Times New Roman"/>
                <w:bCs/>
                <w:kern w:val="2"/>
                <w:sz w:val="21"/>
              </w:rPr>
            </w:pPr>
            <w:r>
              <w:rPr>
                <w:rFonts w:hint="eastAsia" w:ascii="Times New Roman" w:hAnsi="宋体" w:cs="Times New Roman"/>
                <w:bCs/>
                <w:kern w:val="2"/>
                <w:sz w:val="21"/>
              </w:rPr>
              <w:t>0.67</w:t>
            </w:r>
          </w:p>
        </w:tc>
        <w:tc>
          <w:tcPr>
            <w:tcW w:w="1012" w:type="dxa"/>
            <w:vAlign w:val="center"/>
          </w:tcPr>
          <w:p>
            <w:pPr>
              <w:topLinePunct w:val="0"/>
              <w:snapToGrid w:val="0"/>
              <w:spacing w:line="240" w:lineRule="auto"/>
              <w:ind w:firstLine="0" w:firstLineChars="0"/>
              <w:jc w:val="center"/>
              <w:rPr>
                <w:rFonts w:ascii="Times New Roman" w:hAnsi="宋体" w:cs="Times New Roman"/>
                <w:bCs/>
                <w:kern w:val="2"/>
                <w:sz w:val="21"/>
              </w:rPr>
            </w:pPr>
            <w:r>
              <w:rPr>
                <w:rFonts w:hint="eastAsia" w:ascii="Times New Roman" w:hAnsi="宋体" w:cs="Times New Roman"/>
                <w:bCs/>
                <w:kern w:val="2"/>
                <w:sz w:val="21"/>
              </w:rPr>
              <w:t>0.67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466"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菌落总数</w:t>
            </w:r>
          </w:p>
        </w:tc>
        <w:tc>
          <w:tcPr>
            <w:tcW w:w="1010"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0.18</w:t>
            </w:r>
          </w:p>
        </w:tc>
        <w:tc>
          <w:tcPr>
            <w:tcW w:w="1010"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0.15</w:t>
            </w:r>
          </w:p>
        </w:tc>
        <w:tc>
          <w:tcPr>
            <w:tcW w:w="1012"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0.22</w:t>
            </w:r>
          </w:p>
        </w:tc>
        <w:tc>
          <w:tcPr>
            <w:tcW w:w="1012"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0.14</w:t>
            </w:r>
          </w:p>
        </w:tc>
        <w:tc>
          <w:tcPr>
            <w:tcW w:w="1012"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466"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氨氮</w:t>
            </w:r>
          </w:p>
        </w:tc>
        <w:tc>
          <w:tcPr>
            <w:tcW w:w="1010" w:type="dxa"/>
            <w:vAlign w:val="center"/>
          </w:tcPr>
          <w:p>
            <w:pPr>
              <w:snapToGrid w:val="0"/>
              <w:ind w:firstLine="0" w:firstLineChars="0"/>
              <w:jc w:val="center"/>
              <w:rPr>
                <w:rFonts w:ascii="Times New Roman" w:cs="Times New Roman"/>
                <w:bCs/>
                <w:kern w:val="2"/>
                <w:sz w:val="21"/>
                <w:szCs w:val="21"/>
              </w:rPr>
            </w:pPr>
            <w:r>
              <w:rPr>
                <w:rFonts w:ascii="Times New Roman" w:cs="Times New Roman"/>
                <w:bCs/>
                <w:kern w:val="2"/>
                <w:sz w:val="21"/>
                <w:szCs w:val="21"/>
              </w:rPr>
              <w:t>0.</w:t>
            </w:r>
            <w:r>
              <w:rPr>
                <w:rFonts w:hint="eastAsia" w:ascii="Times New Roman" w:cs="Times New Roman"/>
                <w:bCs/>
                <w:kern w:val="2"/>
                <w:sz w:val="21"/>
                <w:szCs w:val="21"/>
              </w:rPr>
              <w:t>58</w:t>
            </w:r>
          </w:p>
        </w:tc>
        <w:tc>
          <w:tcPr>
            <w:tcW w:w="1010" w:type="dxa"/>
            <w:vAlign w:val="center"/>
          </w:tcPr>
          <w:p>
            <w:pPr>
              <w:snapToGrid w:val="0"/>
              <w:ind w:firstLine="0" w:firstLineChars="0"/>
              <w:jc w:val="center"/>
              <w:rPr>
                <w:rFonts w:ascii="Times New Roman" w:cs="Times New Roman"/>
                <w:bCs/>
                <w:kern w:val="2"/>
                <w:sz w:val="21"/>
                <w:szCs w:val="21"/>
              </w:rPr>
            </w:pPr>
            <w:r>
              <w:rPr>
                <w:rFonts w:ascii="Times New Roman" w:cs="Times New Roman"/>
                <w:bCs/>
                <w:kern w:val="2"/>
                <w:sz w:val="21"/>
                <w:szCs w:val="21"/>
              </w:rPr>
              <w:t>0.</w:t>
            </w:r>
            <w:r>
              <w:rPr>
                <w:rFonts w:hint="eastAsia" w:ascii="Times New Roman" w:cs="Times New Roman"/>
                <w:bCs/>
                <w:kern w:val="2"/>
                <w:sz w:val="21"/>
                <w:szCs w:val="21"/>
              </w:rPr>
              <w:t>9</w:t>
            </w:r>
          </w:p>
        </w:tc>
        <w:tc>
          <w:tcPr>
            <w:tcW w:w="1012" w:type="dxa"/>
            <w:vAlign w:val="center"/>
          </w:tcPr>
          <w:p>
            <w:pPr>
              <w:snapToGrid w:val="0"/>
              <w:ind w:firstLine="0" w:firstLineChars="0"/>
              <w:jc w:val="center"/>
              <w:rPr>
                <w:rFonts w:ascii="Times New Roman" w:cs="Times New Roman"/>
                <w:bCs/>
                <w:kern w:val="2"/>
                <w:sz w:val="21"/>
                <w:szCs w:val="21"/>
              </w:rPr>
            </w:pPr>
            <w:r>
              <w:rPr>
                <w:rFonts w:hint="eastAsia" w:ascii="Times New Roman" w:cs="Times New Roman"/>
                <w:bCs/>
                <w:kern w:val="2"/>
                <w:sz w:val="21"/>
                <w:szCs w:val="21"/>
              </w:rPr>
              <w:t>0.546</w:t>
            </w:r>
          </w:p>
        </w:tc>
        <w:tc>
          <w:tcPr>
            <w:tcW w:w="1012" w:type="dxa"/>
            <w:vAlign w:val="center"/>
          </w:tcPr>
          <w:p>
            <w:pPr>
              <w:snapToGrid w:val="0"/>
              <w:ind w:firstLine="0" w:firstLineChars="0"/>
              <w:jc w:val="center"/>
              <w:rPr>
                <w:rFonts w:ascii="Times New Roman" w:cs="Times New Roman"/>
                <w:bCs/>
                <w:kern w:val="2"/>
                <w:sz w:val="21"/>
                <w:szCs w:val="21"/>
              </w:rPr>
            </w:pPr>
            <w:r>
              <w:rPr>
                <w:rFonts w:ascii="Times New Roman" w:cs="Times New Roman"/>
                <w:bCs/>
                <w:kern w:val="2"/>
                <w:sz w:val="21"/>
                <w:szCs w:val="21"/>
              </w:rPr>
              <w:t>0.</w:t>
            </w:r>
            <w:r>
              <w:rPr>
                <w:rFonts w:hint="eastAsia" w:ascii="Times New Roman" w:cs="Times New Roman"/>
                <w:bCs/>
                <w:kern w:val="2"/>
                <w:sz w:val="21"/>
                <w:szCs w:val="21"/>
              </w:rPr>
              <w:t>628</w:t>
            </w:r>
          </w:p>
        </w:tc>
        <w:tc>
          <w:tcPr>
            <w:tcW w:w="1012" w:type="dxa"/>
            <w:vAlign w:val="center"/>
          </w:tcPr>
          <w:p>
            <w:pPr>
              <w:snapToGrid w:val="0"/>
              <w:ind w:firstLine="0" w:firstLineChars="0"/>
              <w:jc w:val="center"/>
              <w:rPr>
                <w:rFonts w:ascii="Times New Roman" w:cs="Times New Roman"/>
                <w:bCs/>
                <w:kern w:val="2"/>
                <w:sz w:val="21"/>
                <w:szCs w:val="21"/>
              </w:rPr>
            </w:pPr>
            <w:r>
              <w:rPr>
                <w:rFonts w:ascii="Times New Roman" w:cs="Times New Roman"/>
                <w:bCs/>
                <w:kern w:val="2"/>
                <w:sz w:val="21"/>
                <w:szCs w:val="21"/>
              </w:rPr>
              <w:t>0.</w:t>
            </w:r>
            <w:r>
              <w:rPr>
                <w:rFonts w:hint="eastAsia" w:ascii="Times New Roman" w:cs="Times New Roman"/>
                <w:bCs/>
                <w:kern w:val="2"/>
                <w:sz w:val="21"/>
                <w:szCs w:val="21"/>
              </w:rPr>
              <w:t>696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466"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氟化物</w:t>
            </w:r>
          </w:p>
        </w:tc>
        <w:tc>
          <w:tcPr>
            <w:tcW w:w="1010" w:type="dxa"/>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0.</w:t>
            </w:r>
            <w:r>
              <w:rPr>
                <w:rFonts w:hint="eastAsia" w:ascii="Times New Roman" w:hAnsi="宋体" w:cs="Times New Roman"/>
                <w:sz w:val="21"/>
              </w:rPr>
              <w:t>128</w:t>
            </w:r>
          </w:p>
        </w:tc>
        <w:tc>
          <w:tcPr>
            <w:tcW w:w="1010"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0.</w:t>
            </w:r>
            <w:r>
              <w:rPr>
                <w:rFonts w:hint="eastAsia" w:ascii="Times New Roman" w:hAnsi="宋体" w:cs="Times New Roman"/>
                <w:sz w:val="21"/>
              </w:rPr>
              <w:t>106</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0.</w:t>
            </w:r>
            <w:r>
              <w:rPr>
                <w:rFonts w:hint="eastAsia" w:ascii="Times New Roman" w:hAnsi="宋体" w:cs="Times New Roman"/>
                <w:sz w:val="21"/>
              </w:rPr>
              <w:t>181</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0.</w:t>
            </w:r>
            <w:r>
              <w:rPr>
                <w:rFonts w:hint="eastAsia" w:ascii="Times New Roman" w:hAnsi="宋体" w:cs="Times New Roman"/>
                <w:sz w:val="21"/>
              </w:rPr>
              <w:t>174</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0.</w:t>
            </w:r>
            <w:r>
              <w:rPr>
                <w:rFonts w:hint="eastAsia" w:ascii="Times New Roman" w:hAnsi="宋体" w:cs="Times New Roman"/>
                <w:sz w:val="21"/>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466"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氰化物</w:t>
            </w:r>
          </w:p>
        </w:tc>
        <w:tc>
          <w:tcPr>
            <w:tcW w:w="1010" w:type="dxa"/>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bCs/>
                <w:kern w:val="2"/>
                <w:sz w:val="21"/>
              </w:rPr>
              <w:t>0.04</w:t>
            </w:r>
          </w:p>
        </w:tc>
        <w:tc>
          <w:tcPr>
            <w:tcW w:w="1010"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bCs/>
                <w:kern w:val="2"/>
                <w:sz w:val="21"/>
              </w:rPr>
              <w:t>0.04</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bCs/>
                <w:kern w:val="2"/>
                <w:sz w:val="21"/>
              </w:rPr>
              <w:t>0.04</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bCs/>
                <w:kern w:val="2"/>
                <w:sz w:val="21"/>
              </w:rPr>
              <w:t>0.04</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bCs/>
                <w:kern w:val="2"/>
                <w:sz w:val="21"/>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466"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汞（Hg）</w:t>
            </w:r>
          </w:p>
        </w:tc>
        <w:tc>
          <w:tcPr>
            <w:tcW w:w="1010"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kern w:val="2"/>
                <w:sz w:val="21"/>
                <w:szCs w:val="21"/>
              </w:rPr>
              <w:t>0.25</w:t>
            </w:r>
          </w:p>
        </w:tc>
        <w:tc>
          <w:tcPr>
            <w:tcW w:w="1010"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kern w:val="2"/>
                <w:sz w:val="21"/>
                <w:szCs w:val="21"/>
              </w:rPr>
              <w:t>0.06</w:t>
            </w:r>
          </w:p>
        </w:tc>
        <w:tc>
          <w:tcPr>
            <w:tcW w:w="1012"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ascii="Times New Roman" w:hAnsi="宋体" w:cs="Times New Roman"/>
                <w:sz w:val="21"/>
              </w:rPr>
              <w:t>/</w:t>
            </w:r>
          </w:p>
        </w:tc>
        <w:tc>
          <w:tcPr>
            <w:tcW w:w="1012"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kern w:val="2"/>
                <w:sz w:val="21"/>
                <w:szCs w:val="21"/>
              </w:rPr>
              <w:t>0.04</w:t>
            </w:r>
          </w:p>
        </w:tc>
        <w:tc>
          <w:tcPr>
            <w:tcW w:w="1012" w:type="dxa"/>
            <w:vAlign w:val="center"/>
          </w:tcPr>
          <w:p>
            <w:pPr>
              <w:topLinePunct w:val="0"/>
              <w:snapToGrid w:val="0"/>
              <w:spacing w:line="240" w:lineRule="auto"/>
              <w:ind w:firstLine="0" w:firstLineChars="0"/>
              <w:jc w:val="center"/>
              <w:rPr>
                <w:rFonts w:ascii="Times New Roman" w:cs="Times New Roman"/>
                <w:bCs/>
                <w:kern w:val="2"/>
                <w:sz w:val="21"/>
                <w:szCs w:val="21"/>
              </w:rPr>
            </w:pPr>
            <w:r>
              <w:rPr>
                <w:rFonts w:hint="eastAsia" w:ascii="Times New Roman" w:cs="Times New Roman"/>
                <w:kern w:val="2"/>
                <w:sz w:val="21"/>
                <w:szCs w:val="21"/>
              </w:rPr>
              <w:t>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466"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砷（As）</w:t>
            </w:r>
          </w:p>
        </w:tc>
        <w:tc>
          <w:tcPr>
            <w:tcW w:w="1010" w:type="dxa"/>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0" w:type="dxa"/>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466"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镉（Cd）</w:t>
            </w:r>
          </w:p>
        </w:tc>
        <w:tc>
          <w:tcPr>
            <w:tcW w:w="1010"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cs="Times New Roman"/>
                <w:kern w:val="2"/>
                <w:sz w:val="21"/>
                <w:szCs w:val="21"/>
              </w:rPr>
              <w:t>0.02</w:t>
            </w:r>
          </w:p>
        </w:tc>
        <w:tc>
          <w:tcPr>
            <w:tcW w:w="1010"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cs="Times New Roman"/>
                <w:kern w:val="2"/>
                <w:sz w:val="21"/>
                <w:szCs w:val="21"/>
              </w:rPr>
              <w:t>0.02</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cs="Times New Roman"/>
                <w:kern w:val="2"/>
                <w:sz w:val="21"/>
                <w:szCs w:val="21"/>
              </w:rPr>
              <w:t>0.02</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cs="Times New Roman"/>
                <w:kern w:val="2"/>
                <w:sz w:val="21"/>
                <w:szCs w:val="21"/>
              </w:rPr>
              <w:t>0.02</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cs="Times New Roman"/>
                <w:kern w:val="2"/>
                <w:sz w:val="21"/>
                <w:szCs w:val="21"/>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466"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铬（六价）（Cr</w:t>
            </w:r>
            <w:r>
              <w:rPr>
                <w:rFonts w:ascii="Times New Roman" w:hAnsi="宋体" w:cs="Times New Roman"/>
                <w:sz w:val="21"/>
                <w:vertAlign w:val="superscript"/>
              </w:rPr>
              <w:t>6+</w:t>
            </w:r>
            <w:r>
              <w:rPr>
                <w:rFonts w:ascii="Times New Roman" w:hAnsi="宋体" w:cs="Times New Roman"/>
                <w:sz w:val="21"/>
              </w:rPr>
              <w:t>）</w:t>
            </w:r>
          </w:p>
        </w:tc>
        <w:tc>
          <w:tcPr>
            <w:tcW w:w="1010" w:type="dxa"/>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sz w:val="21"/>
              </w:rPr>
              <w:t>0.08</w:t>
            </w:r>
          </w:p>
        </w:tc>
        <w:tc>
          <w:tcPr>
            <w:tcW w:w="1010" w:type="dxa"/>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sz w:val="21"/>
              </w:rPr>
              <w:t>0.08</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sz w:val="21"/>
              </w:rPr>
              <w:t>0.08</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sz w:val="21"/>
              </w:rPr>
              <w:t>0.08</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sz w:val="21"/>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466"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铅（Pb）</w:t>
            </w:r>
          </w:p>
        </w:tc>
        <w:tc>
          <w:tcPr>
            <w:tcW w:w="1010" w:type="dxa"/>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sz w:val="21"/>
              </w:rPr>
              <w:t>0.1</w:t>
            </w:r>
          </w:p>
        </w:tc>
        <w:tc>
          <w:tcPr>
            <w:tcW w:w="1010" w:type="dxa"/>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sz w:val="21"/>
              </w:rPr>
              <w:t>0.1</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sz w:val="21"/>
              </w:rPr>
              <w:t>0.1</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sz w:val="21"/>
              </w:rPr>
              <w:t>0.1</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hint="eastAsia" w:ascii="Times New Roman" w:hAnsi="宋体" w:cs="Times New Roman"/>
                <w:sz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466"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石油类</w:t>
            </w:r>
          </w:p>
        </w:tc>
        <w:tc>
          <w:tcPr>
            <w:tcW w:w="1010" w:type="dxa"/>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0" w:type="dxa"/>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466"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硫化物</w:t>
            </w:r>
          </w:p>
        </w:tc>
        <w:tc>
          <w:tcPr>
            <w:tcW w:w="1010" w:type="dxa"/>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0" w:type="dxa"/>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c>
          <w:tcPr>
            <w:tcW w:w="1012" w:type="dxa"/>
            <w:vAlign w:val="center"/>
          </w:tcPr>
          <w:p>
            <w:pPr>
              <w:widowControl/>
              <w:topLinePunct w:val="0"/>
              <w:adjustRightInd/>
              <w:spacing w:line="240" w:lineRule="auto"/>
              <w:ind w:firstLine="0" w:firstLineChars="0"/>
              <w:jc w:val="center"/>
              <w:rPr>
                <w:rFonts w:ascii="Times New Roman" w:hAnsi="宋体" w:cs="Times New Roman"/>
                <w:sz w:val="21"/>
              </w:rPr>
            </w:pPr>
            <w:r>
              <w:rPr>
                <w:rFonts w:ascii="Times New Roman" w:hAnsi="宋体" w:cs="Times New Roman"/>
                <w:sz w:val="21"/>
              </w:rPr>
              <w:t>/</w:t>
            </w:r>
          </w:p>
        </w:tc>
      </w:tr>
    </w:tbl>
    <w:p>
      <w:pPr>
        <w:pStyle w:val="37"/>
        <w:rPr>
          <w:rFonts w:cs="Times New Roman"/>
        </w:rPr>
      </w:pPr>
      <w:r>
        <w:rPr>
          <w:rFonts w:cs="Times New Roman"/>
        </w:rPr>
        <w:t>表5.5-</w:t>
      </w:r>
      <w:r>
        <w:rPr>
          <w:rFonts w:hint="eastAsia" w:cs="Times New Roman"/>
        </w:rPr>
        <w:t>3</w:t>
      </w:r>
      <w:r>
        <w:rPr>
          <w:rFonts w:cs="Times New Roman"/>
        </w:rPr>
        <w:t xml:space="preserve">  地下水水位调查结果</w:t>
      </w:r>
    </w:p>
    <w:tbl>
      <w:tblPr>
        <w:tblStyle w:val="5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992"/>
        <w:gridCol w:w="1075"/>
        <w:gridCol w:w="1236"/>
        <w:gridCol w:w="1371"/>
        <w:gridCol w:w="1376"/>
        <w:gridCol w:w="137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 w:hRule="atLeast"/>
          <w:jc w:val="center"/>
        </w:trPr>
        <w:tc>
          <w:tcPr>
            <w:tcW w:w="1101" w:type="dxa"/>
            <w:vAlign w:val="center"/>
          </w:tcPr>
          <w:p>
            <w:pPr>
              <w:pStyle w:val="539"/>
              <w:rPr>
                <w:b/>
                <w:bCs/>
              </w:rPr>
            </w:pPr>
            <w:r>
              <w:rPr>
                <w:b/>
                <w:bCs/>
              </w:rPr>
              <w:t>点位</w:t>
            </w:r>
          </w:p>
        </w:tc>
        <w:tc>
          <w:tcPr>
            <w:tcW w:w="992" w:type="dxa"/>
            <w:vAlign w:val="center"/>
          </w:tcPr>
          <w:p>
            <w:pPr>
              <w:pStyle w:val="539"/>
              <w:rPr>
                <w:b/>
                <w:bCs/>
              </w:rPr>
            </w:pPr>
            <w:r>
              <w:rPr>
                <w:rFonts w:hint="eastAsia"/>
                <w:b/>
                <w:bCs/>
              </w:rPr>
              <w:t>WX</w:t>
            </w:r>
            <w:r>
              <w:rPr>
                <w:b/>
                <w:bCs/>
              </w:rPr>
              <w:t>1</w:t>
            </w:r>
          </w:p>
        </w:tc>
        <w:tc>
          <w:tcPr>
            <w:tcW w:w="1075" w:type="dxa"/>
            <w:vAlign w:val="center"/>
          </w:tcPr>
          <w:p>
            <w:pPr>
              <w:pStyle w:val="539"/>
              <w:rPr>
                <w:b/>
                <w:bCs/>
              </w:rPr>
            </w:pPr>
            <w:r>
              <w:rPr>
                <w:rFonts w:hint="eastAsia"/>
                <w:b/>
                <w:bCs/>
              </w:rPr>
              <w:t>WX</w:t>
            </w:r>
            <w:r>
              <w:rPr>
                <w:b/>
                <w:bCs/>
              </w:rPr>
              <w:t>2</w:t>
            </w:r>
          </w:p>
        </w:tc>
        <w:tc>
          <w:tcPr>
            <w:tcW w:w="1236" w:type="dxa"/>
            <w:vAlign w:val="center"/>
          </w:tcPr>
          <w:p>
            <w:pPr>
              <w:pStyle w:val="539"/>
              <w:rPr>
                <w:b/>
                <w:bCs/>
              </w:rPr>
            </w:pPr>
            <w:r>
              <w:rPr>
                <w:rFonts w:hint="eastAsia"/>
                <w:b/>
                <w:bCs/>
              </w:rPr>
              <w:t>WX3</w:t>
            </w:r>
          </w:p>
        </w:tc>
        <w:tc>
          <w:tcPr>
            <w:tcW w:w="1371" w:type="dxa"/>
            <w:vAlign w:val="center"/>
          </w:tcPr>
          <w:p>
            <w:pPr>
              <w:pStyle w:val="539"/>
              <w:rPr>
                <w:b/>
                <w:bCs/>
              </w:rPr>
            </w:pPr>
            <w:r>
              <w:rPr>
                <w:rFonts w:hint="eastAsia"/>
                <w:b/>
                <w:bCs/>
              </w:rPr>
              <w:t>WX</w:t>
            </w:r>
            <w:r>
              <w:rPr>
                <w:b/>
                <w:bCs/>
              </w:rPr>
              <w:t>4</w:t>
            </w:r>
          </w:p>
        </w:tc>
        <w:tc>
          <w:tcPr>
            <w:tcW w:w="1376" w:type="dxa"/>
            <w:vAlign w:val="center"/>
          </w:tcPr>
          <w:p>
            <w:pPr>
              <w:pStyle w:val="539"/>
              <w:rPr>
                <w:b/>
                <w:bCs/>
              </w:rPr>
            </w:pPr>
            <w:r>
              <w:rPr>
                <w:rFonts w:hint="eastAsia"/>
                <w:b/>
                <w:bCs/>
              </w:rPr>
              <w:t>WX</w:t>
            </w:r>
            <w:r>
              <w:rPr>
                <w:b/>
                <w:bCs/>
              </w:rPr>
              <w:t>5</w:t>
            </w:r>
          </w:p>
        </w:tc>
        <w:tc>
          <w:tcPr>
            <w:tcW w:w="1371" w:type="dxa"/>
            <w:vAlign w:val="center"/>
          </w:tcPr>
          <w:p>
            <w:pPr>
              <w:pStyle w:val="539"/>
              <w:rPr>
                <w:b/>
                <w:bCs/>
              </w:rPr>
            </w:pPr>
            <w:r>
              <w:rPr>
                <w:rFonts w:hint="eastAsia"/>
                <w:b/>
                <w:bCs/>
              </w:rPr>
              <w:t>WX</w:t>
            </w:r>
            <w:r>
              <w:rPr>
                <w:b/>
                <w:bCs/>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1101" w:type="dxa"/>
            <w:vAlign w:val="center"/>
          </w:tcPr>
          <w:p>
            <w:pPr>
              <w:pStyle w:val="539"/>
            </w:pPr>
            <w:r>
              <w:t>井深</w:t>
            </w:r>
            <w:r>
              <w:rPr>
                <w:rFonts w:hint="eastAsia"/>
              </w:rPr>
              <w:t>（m）</w:t>
            </w:r>
          </w:p>
        </w:tc>
        <w:tc>
          <w:tcPr>
            <w:tcW w:w="992" w:type="dxa"/>
            <w:vAlign w:val="center"/>
          </w:tcPr>
          <w:p>
            <w:pPr>
              <w:pStyle w:val="539"/>
            </w:pPr>
            <w:r>
              <w:rPr>
                <w:rFonts w:hint="eastAsia"/>
              </w:rPr>
              <w:t>1.5</w:t>
            </w:r>
          </w:p>
        </w:tc>
        <w:tc>
          <w:tcPr>
            <w:tcW w:w="1075" w:type="dxa"/>
            <w:vAlign w:val="center"/>
          </w:tcPr>
          <w:p>
            <w:pPr>
              <w:pStyle w:val="539"/>
            </w:pPr>
            <w:r>
              <w:rPr>
                <w:rFonts w:hint="eastAsia"/>
              </w:rPr>
              <w:t>0.9</w:t>
            </w:r>
          </w:p>
        </w:tc>
        <w:tc>
          <w:tcPr>
            <w:tcW w:w="1236" w:type="dxa"/>
            <w:vAlign w:val="center"/>
          </w:tcPr>
          <w:p>
            <w:pPr>
              <w:pStyle w:val="539"/>
            </w:pPr>
            <w:r>
              <w:rPr>
                <w:rFonts w:hint="eastAsia"/>
              </w:rPr>
              <w:t>0.7</w:t>
            </w:r>
          </w:p>
        </w:tc>
        <w:tc>
          <w:tcPr>
            <w:tcW w:w="1371" w:type="dxa"/>
            <w:vAlign w:val="center"/>
          </w:tcPr>
          <w:p>
            <w:pPr>
              <w:pStyle w:val="539"/>
            </w:pPr>
            <w:r>
              <w:rPr>
                <w:rFonts w:hint="eastAsia"/>
              </w:rPr>
              <w:t>1.6</w:t>
            </w:r>
          </w:p>
        </w:tc>
        <w:tc>
          <w:tcPr>
            <w:tcW w:w="1376" w:type="dxa"/>
            <w:vAlign w:val="center"/>
          </w:tcPr>
          <w:p>
            <w:pPr>
              <w:pStyle w:val="539"/>
            </w:pPr>
            <w:r>
              <w:rPr>
                <w:rFonts w:hint="eastAsia"/>
              </w:rPr>
              <w:t>1.4</w:t>
            </w:r>
          </w:p>
        </w:tc>
        <w:tc>
          <w:tcPr>
            <w:tcW w:w="1371" w:type="dxa"/>
            <w:vAlign w:val="center"/>
          </w:tcPr>
          <w:p>
            <w:pPr>
              <w:pStyle w:val="539"/>
            </w:pPr>
            <w:r>
              <w:rPr>
                <w:rFonts w:hint="eastAsia"/>
              </w:rPr>
              <w:t>2.1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1101" w:type="dxa"/>
            <w:vAlign w:val="center"/>
          </w:tcPr>
          <w:p>
            <w:pPr>
              <w:pStyle w:val="539"/>
            </w:pPr>
            <w:r>
              <w:t>水位</w:t>
            </w:r>
            <w:r>
              <w:rPr>
                <w:rFonts w:hint="eastAsia"/>
              </w:rPr>
              <w:t>（m）</w:t>
            </w:r>
          </w:p>
        </w:tc>
        <w:tc>
          <w:tcPr>
            <w:tcW w:w="992" w:type="dxa"/>
            <w:vAlign w:val="center"/>
          </w:tcPr>
          <w:p>
            <w:pPr>
              <w:pStyle w:val="539"/>
            </w:pPr>
            <w:r>
              <w:rPr>
                <w:rFonts w:hint="eastAsia"/>
              </w:rPr>
              <w:t>646</w:t>
            </w:r>
          </w:p>
        </w:tc>
        <w:tc>
          <w:tcPr>
            <w:tcW w:w="1075" w:type="dxa"/>
            <w:vAlign w:val="center"/>
          </w:tcPr>
          <w:p>
            <w:pPr>
              <w:pStyle w:val="539"/>
            </w:pPr>
            <w:r>
              <w:rPr>
                <w:rFonts w:hint="eastAsia"/>
                <w:bCs/>
                <w:kern w:val="2"/>
                <w:szCs w:val="21"/>
              </w:rPr>
              <w:t>650</w:t>
            </w:r>
          </w:p>
        </w:tc>
        <w:tc>
          <w:tcPr>
            <w:tcW w:w="1236" w:type="dxa"/>
            <w:vAlign w:val="center"/>
          </w:tcPr>
          <w:p>
            <w:pPr>
              <w:pStyle w:val="539"/>
            </w:pPr>
            <w:r>
              <w:rPr>
                <w:rFonts w:hint="eastAsia"/>
                <w:bCs/>
                <w:kern w:val="2"/>
                <w:szCs w:val="21"/>
              </w:rPr>
              <w:t>717</w:t>
            </w:r>
          </w:p>
        </w:tc>
        <w:tc>
          <w:tcPr>
            <w:tcW w:w="1371" w:type="dxa"/>
            <w:vAlign w:val="center"/>
          </w:tcPr>
          <w:p>
            <w:pPr>
              <w:pStyle w:val="539"/>
            </w:pPr>
            <w:r>
              <w:rPr>
                <w:rFonts w:hint="eastAsia"/>
                <w:bCs/>
                <w:kern w:val="2"/>
                <w:szCs w:val="21"/>
              </w:rPr>
              <w:t>386</w:t>
            </w:r>
          </w:p>
        </w:tc>
        <w:tc>
          <w:tcPr>
            <w:tcW w:w="1376" w:type="dxa"/>
            <w:vAlign w:val="center"/>
          </w:tcPr>
          <w:p>
            <w:pPr>
              <w:pStyle w:val="539"/>
            </w:pPr>
            <w:r>
              <w:rPr>
                <w:rFonts w:hint="eastAsia"/>
                <w:bCs/>
                <w:kern w:val="2"/>
                <w:szCs w:val="21"/>
              </w:rPr>
              <w:t>723</w:t>
            </w:r>
          </w:p>
        </w:tc>
        <w:tc>
          <w:tcPr>
            <w:tcW w:w="1371" w:type="dxa"/>
            <w:vAlign w:val="center"/>
          </w:tcPr>
          <w:p>
            <w:pPr>
              <w:pStyle w:val="539"/>
            </w:pPr>
            <w:r>
              <w:rPr>
                <w:rFonts w:hint="eastAsia"/>
                <w:bCs/>
                <w:kern w:val="2"/>
                <w:szCs w:val="21"/>
              </w:rPr>
              <w:t>816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1101" w:type="dxa"/>
            <w:vAlign w:val="center"/>
          </w:tcPr>
          <w:p>
            <w:pPr>
              <w:pStyle w:val="539"/>
            </w:pPr>
            <w:r>
              <w:rPr>
                <w:b/>
                <w:bCs/>
              </w:rPr>
              <w:t>点位</w:t>
            </w:r>
          </w:p>
        </w:tc>
        <w:tc>
          <w:tcPr>
            <w:tcW w:w="992" w:type="dxa"/>
            <w:vAlign w:val="center"/>
          </w:tcPr>
          <w:p>
            <w:pPr>
              <w:pStyle w:val="539"/>
              <w:rPr>
                <w:b/>
                <w:bCs/>
              </w:rPr>
            </w:pPr>
            <w:r>
              <w:rPr>
                <w:rFonts w:hint="eastAsia"/>
                <w:b/>
                <w:bCs/>
              </w:rPr>
              <w:t>WX7</w:t>
            </w:r>
          </w:p>
        </w:tc>
        <w:tc>
          <w:tcPr>
            <w:tcW w:w="1075" w:type="dxa"/>
            <w:vAlign w:val="center"/>
          </w:tcPr>
          <w:p>
            <w:pPr>
              <w:pStyle w:val="539"/>
              <w:rPr>
                <w:b/>
                <w:bCs/>
              </w:rPr>
            </w:pPr>
            <w:r>
              <w:rPr>
                <w:rFonts w:hint="eastAsia"/>
                <w:b/>
                <w:bCs/>
              </w:rPr>
              <w:t>WX8</w:t>
            </w:r>
          </w:p>
        </w:tc>
        <w:tc>
          <w:tcPr>
            <w:tcW w:w="1236" w:type="dxa"/>
            <w:vAlign w:val="center"/>
          </w:tcPr>
          <w:p>
            <w:pPr>
              <w:pStyle w:val="539"/>
              <w:rPr>
                <w:b/>
                <w:bCs/>
              </w:rPr>
            </w:pPr>
            <w:r>
              <w:rPr>
                <w:rFonts w:hint="eastAsia"/>
                <w:b/>
                <w:bCs/>
              </w:rPr>
              <w:t>WX9</w:t>
            </w:r>
          </w:p>
        </w:tc>
        <w:tc>
          <w:tcPr>
            <w:tcW w:w="1371" w:type="dxa"/>
            <w:vAlign w:val="center"/>
          </w:tcPr>
          <w:p>
            <w:pPr>
              <w:pStyle w:val="539"/>
              <w:rPr>
                <w:b/>
                <w:bCs/>
              </w:rPr>
            </w:pPr>
            <w:r>
              <w:rPr>
                <w:rFonts w:hint="eastAsia"/>
                <w:b/>
                <w:bCs/>
              </w:rPr>
              <w:t>WX10</w:t>
            </w:r>
          </w:p>
        </w:tc>
        <w:tc>
          <w:tcPr>
            <w:tcW w:w="1376" w:type="dxa"/>
            <w:vAlign w:val="center"/>
          </w:tcPr>
          <w:p>
            <w:pPr>
              <w:pStyle w:val="539"/>
            </w:pPr>
          </w:p>
        </w:tc>
        <w:tc>
          <w:tcPr>
            <w:tcW w:w="1371" w:type="dxa"/>
            <w:vAlign w:val="center"/>
          </w:tcPr>
          <w:p>
            <w:pPr>
              <w:pStyle w:val="539"/>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1101" w:type="dxa"/>
            <w:vAlign w:val="center"/>
          </w:tcPr>
          <w:p>
            <w:pPr>
              <w:pStyle w:val="539"/>
            </w:pPr>
            <w:r>
              <w:t>井深</w:t>
            </w:r>
            <w:r>
              <w:rPr>
                <w:rFonts w:hint="eastAsia"/>
              </w:rPr>
              <w:t>（m）</w:t>
            </w:r>
          </w:p>
        </w:tc>
        <w:tc>
          <w:tcPr>
            <w:tcW w:w="992" w:type="dxa"/>
            <w:vAlign w:val="center"/>
          </w:tcPr>
          <w:p>
            <w:pPr>
              <w:pStyle w:val="539"/>
              <w:rPr>
                <w:bCs/>
              </w:rPr>
            </w:pPr>
            <w:r>
              <w:rPr>
                <w:rFonts w:hint="eastAsia"/>
                <w:bCs/>
              </w:rPr>
              <w:t>2.2</w:t>
            </w:r>
          </w:p>
        </w:tc>
        <w:tc>
          <w:tcPr>
            <w:tcW w:w="1075" w:type="dxa"/>
            <w:vAlign w:val="center"/>
          </w:tcPr>
          <w:p>
            <w:pPr>
              <w:pStyle w:val="539"/>
              <w:rPr>
                <w:bCs/>
              </w:rPr>
            </w:pPr>
            <w:r>
              <w:rPr>
                <w:rFonts w:hint="eastAsia"/>
                <w:bCs/>
              </w:rPr>
              <w:t>1.3</w:t>
            </w:r>
          </w:p>
        </w:tc>
        <w:tc>
          <w:tcPr>
            <w:tcW w:w="1236" w:type="dxa"/>
            <w:vAlign w:val="center"/>
          </w:tcPr>
          <w:p>
            <w:pPr>
              <w:pStyle w:val="539"/>
              <w:rPr>
                <w:bCs/>
              </w:rPr>
            </w:pPr>
            <w:r>
              <w:rPr>
                <w:rFonts w:hint="eastAsia"/>
                <w:bCs/>
              </w:rPr>
              <w:t>2.4</w:t>
            </w:r>
          </w:p>
        </w:tc>
        <w:tc>
          <w:tcPr>
            <w:tcW w:w="1371" w:type="dxa"/>
            <w:vAlign w:val="center"/>
          </w:tcPr>
          <w:p>
            <w:pPr>
              <w:pStyle w:val="539"/>
              <w:rPr>
                <w:bCs/>
              </w:rPr>
            </w:pPr>
            <w:r>
              <w:rPr>
                <w:rFonts w:hint="eastAsia"/>
                <w:bCs/>
              </w:rPr>
              <w:t>1.7</w:t>
            </w:r>
          </w:p>
        </w:tc>
        <w:tc>
          <w:tcPr>
            <w:tcW w:w="1376" w:type="dxa"/>
            <w:vAlign w:val="center"/>
          </w:tcPr>
          <w:p>
            <w:pPr>
              <w:pStyle w:val="539"/>
            </w:pPr>
          </w:p>
        </w:tc>
        <w:tc>
          <w:tcPr>
            <w:tcW w:w="1371" w:type="dxa"/>
            <w:vAlign w:val="center"/>
          </w:tcPr>
          <w:p>
            <w:pPr>
              <w:pStyle w:val="539"/>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1101" w:type="dxa"/>
            <w:vAlign w:val="center"/>
          </w:tcPr>
          <w:p>
            <w:pPr>
              <w:pStyle w:val="539"/>
            </w:pPr>
            <w:r>
              <w:t>水位</w:t>
            </w:r>
            <w:r>
              <w:rPr>
                <w:rFonts w:hint="eastAsia"/>
              </w:rPr>
              <w:t>（m）</w:t>
            </w:r>
          </w:p>
        </w:tc>
        <w:tc>
          <w:tcPr>
            <w:tcW w:w="992" w:type="dxa"/>
            <w:vAlign w:val="center"/>
          </w:tcPr>
          <w:p>
            <w:pPr>
              <w:pStyle w:val="539"/>
            </w:pPr>
            <w:r>
              <w:rPr>
                <w:rFonts w:hint="eastAsia"/>
                <w:bCs/>
                <w:kern w:val="2"/>
                <w:szCs w:val="21"/>
              </w:rPr>
              <w:t>768</w:t>
            </w:r>
          </w:p>
        </w:tc>
        <w:tc>
          <w:tcPr>
            <w:tcW w:w="1075" w:type="dxa"/>
            <w:vAlign w:val="center"/>
          </w:tcPr>
          <w:p>
            <w:pPr>
              <w:pStyle w:val="539"/>
            </w:pPr>
            <w:r>
              <w:rPr>
                <w:rFonts w:hint="eastAsia"/>
                <w:bCs/>
                <w:kern w:val="2"/>
                <w:szCs w:val="21"/>
              </w:rPr>
              <w:t>345</w:t>
            </w:r>
          </w:p>
        </w:tc>
        <w:tc>
          <w:tcPr>
            <w:tcW w:w="1236" w:type="dxa"/>
            <w:vAlign w:val="center"/>
          </w:tcPr>
          <w:p>
            <w:pPr>
              <w:pStyle w:val="539"/>
            </w:pPr>
            <w:r>
              <w:rPr>
                <w:rFonts w:hint="eastAsia"/>
                <w:bCs/>
                <w:kern w:val="2"/>
                <w:szCs w:val="21"/>
              </w:rPr>
              <w:t>633</w:t>
            </w:r>
          </w:p>
        </w:tc>
        <w:tc>
          <w:tcPr>
            <w:tcW w:w="1371" w:type="dxa"/>
            <w:vAlign w:val="center"/>
          </w:tcPr>
          <w:p>
            <w:pPr>
              <w:pStyle w:val="539"/>
            </w:pPr>
            <w:r>
              <w:rPr>
                <w:rFonts w:hint="eastAsia"/>
                <w:bCs/>
                <w:kern w:val="2"/>
                <w:szCs w:val="21"/>
              </w:rPr>
              <w:t>641</w:t>
            </w:r>
          </w:p>
        </w:tc>
        <w:tc>
          <w:tcPr>
            <w:tcW w:w="1376" w:type="dxa"/>
            <w:vAlign w:val="center"/>
          </w:tcPr>
          <w:p>
            <w:pPr>
              <w:pStyle w:val="539"/>
            </w:pPr>
          </w:p>
        </w:tc>
        <w:tc>
          <w:tcPr>
            <w:tcW w:w="1371" w:type="dxa"/>
            <w:vAlign w:val="center"/>
          </w:tcPr>
          <w:p>
            <w:pPr>
              <w:pStyle w:val="539"/>
            </w:pPr>
          </w:p>
        </w:tc>
      </w:tr>
    </w:tbl>
    <w:p>
      <w:pPr>
        <w:pStyle w:val="112"/>
        <w:ind w:firstLine="480"/>
      </w:pPr>
      <w:r>
        <w:t>根据地下水监测统计结果可知，项目</w:t>
      </w:r>
      <w:r>
        <w:rPr>
          <w:rFonts w:hint="eastAsia"/>
        </w:rPr>
        <w:t>所在地</w:t>
      </w:r>
      <w:r>
        <w:t>各地下水监测点各监测因子标准指数均小于1，满足《地下水质量标准》（GB/T14848-</w:t>
      </w:r>
      <w:r>
        <w:rPr>
          <w:rFonts w:hint="eastAsia"/>
        </w:rPr>
        <w:t>2017</w:t>
      </w:r>
      <w:r>
        <w:t>）Ⅲ类标准要求，石油类满足《地表水环境质量标准》（GB3838-2002）Ⅲ类标准要求。</w:t>
      </w:r>
    </w:p>
    <w:p>
      <w:pPr>
        <w:pStyle w:val="3"/>
        <w:spacing w:before="0"/>
        <w:rPr>
          <w:rFonts w:cs="Times New Roman"/>
        </w:rPr>
      </w:pPr>
      <w:bookmarkStart w:id="442" w:name="_Toc19816017"/>
      <w:bookmarkStart w:id="443" w:name="_Toc81515286"/>
      <w:bookmarkStart w:id="444" w:name="_Toc12288574"/>
      <w:r>
        <w:rPr>
          <w:rFonts w:cs="Times New Roman"/>
        </w:rPr>
        <w:t>5.6 声环境质量现状与评价</w:t>
      </w:r>
      <w:bookmarkEnd w:id="442"/>
      <w:bookmarkEnd w:id="443"/>
      <w:bookmarkEnd w:id="444"/>
    </w:p>
    <w:p>
      <w:pPr>
        <w:pStyle w:val="112"/>
        <w:ind w:firstLine="480"/>
        <w:rPr>
          <w:bCs/>
        </w:rPr>
      </w:pPr>
      <w:r>
        <w:rPr>
          <w:rFonts w:hint="eastAsia"/>
          <w:bCs/>
        </w:rPr>
        <w:t>根据项目工程特点的具体情况，本次评价对项目沿线及场站可能造成声环境影响的附近敏感点及其场界进行声环境质量现状监测。本次评价委托</w:t>
      </w:r>
      <w:r>
        <w:rPr>
          <w:rFonts w:hint="eastAsia"/>
        </w:rPr>
        <w:t>四川省允诺信检测技术有限公司</w:t>
      </w:r>
      <w:r>
        <w:rPr>
          <w:rFonts w:hint="eastAsia"/>
          <w:bCs/>
        </w:rPr>
        <w:t>于2023年8月2日~3日对项目</w:t>
      </w:r>
      <w:r>
        <w:rPr>
          <w:rFonts w:hint="eastAsia"/>
        </w:rPr>
        <w:t>（项目名称原为：普陆 4 井台钻井及试采工程项目）</w:t>
      </w:r>
      <w:r>
        <w:rPr>
          <w:rFonts w:hint="eastAsia"/>
          <w:bCs/>
        </w:rPr>
        <w:t>区域声环境质量进行的现状监测进行评价，布设4个点位。</w:t>
      </w:r>
    </w:p>
    <w:p>
      <w:pPr>
        <w:pStyle w:val="112"/>
        <w:ind w:firstLine="482"/>
        <w:rPr>
          <w:b/>
          <w:bCs/>
        </w:rPr>
      </w:pPr>
      <w:bookmarkStart w:id="445" w:name="_Toc12288575"/>
      <w:r>
        <w:rPr>
          <w:b/>
          <w:bCs/>
        </w:rPr>
        <w:t>1、监测布点</w:t>
      </w:r>
      <w:bookmarkEnd w:id="445"/>
    </w:p>
    <w:p>
      <w:pPr>
        <w:pStyle w:val="112"/>
        <w:ind w:firstLine="480"/>
      </w:pPr>
      <w:r>
        <w:t>共计噪声监测点位</w:t>
      </w:r>
      <w:r>
        <w:rPr>
          <w:rFonts w:hint="eastAsia"/>
        </w:rPr>
        <w:t>4</w:t>
      </w:r>
      <w:r>
        <w:t>个。</w:t>
      </w:r>
    </w:p>
    <w:p>
      <w:pPr>
        <w:pStyle w:val="112"/>
        <w:ind w:firstLine="480"/>
      </w:pPr>
      <w:r>
        <w:rPr>
          <w:rFonts w:hint="eastAsia"/>
        </w:rPr>
        <w:t>1#</w:t>
      </w:r>
      <w:r>
        <w:t>——</w:t>
      </w:r>
      <w:r>
        <w:rPr>
          <w:rFonts w:hint="eastAsia"/>
        </w:rPr>
        <w:t>普陆4井台所在地西侧边界</w:t>
      </w:r>
      <w:r>
        <w:t>；</w:t>
      </w:r>
    </w:p>
    <w:p>
      <w:pPr>
        <w:pStyle w:val="112"/>
        <w:ind w:firstLine="480"/>
      </w:pPr>
      <w:r>
        <w:rPr>
          <w:rFonts w:hint="eastAsia"/>
        </w:rPr>
        <w:t>2#</w:t>
      </w:r>
      <w:r>
        <w:t>——</w:t>
      </w:r>
      <w:r>
        <w:rPr>
          <w:rFonts w:hint="eastAsia"/>
        </w:rPr>
        <w:t>普陆4集气平台所在地东侧边界</w:t>
      </w:r>
      <w:r>
        <w:t>；</w:t>
      </w:r>
    </w:p>
    <w:p>
      <w:pPr>
        <w:pStyle w:val="112"/>
        <w:ind w:firstLine="480"/>
      </w:pPr>
      <w:r>
        <w:rPr>
          <w:rFonts w:hint="eastAsia"/>
        </w:rPr>
        <w:t>3#</w:t>
      </w:r>
      <w:r>
        <w:t>——</w:t>
      </w:r>
      <w:r>
        <w:rPr>
          <w:rFonts w:hint="eastAsia"/>
        </w:rPr>
        <w:t>P107集气站东侧边界；</w:t>
      </w:r>
    </w:p>
    <w:p>
      <w:pPr>
        <w:pStyle w:val="112"/>
        <w:ind w:firstLine="480"/>
      </w:pPr>
      <w:r>
        <w:rPr>
          <w:rFonts w:hint="eastAsia"/>
        </w:rPr>
        <w:t>4#</w:t>
      </w:r>
      <w:r>
        <w:t>——</w:t>
      </w:r>
      <w:r>
        <w:rPr>
          <w:rFonts w:hint="eastAsia"/>
        </w:rPr>
        <w:t>普陆4集气平台所在地南侧220m住户处。</w:t>
      </w:r>
    </w:p>
    <w:p>
      <w:pPr>
        <w:pStyle w:val="112"/>
        <w:ind w:firstLine="480"/>
        <w:rPr>
          <w:b/>
        </w:rPr>
      </w:pPr>
      <w:r>
        <w:t>2</w:t>
      </w:r>
      <w:r>
        <w:rPr>
          <w:b/>
        </w:rPr>
        <w:t>、监测项目</w:t>
      </w:r>
    </w:p>
    <w:p>
      <w:pPr>
        <w:pStyle w:val="112"/>
        <w:ind w:firstLine="480"/>
      </w:pPr>
      <w:r>
        <w:t>昼夜等效连续A声级。</w:t>
      </w:r>
    </w:p>
    <w:p>
      <w:pPr>
        <w:pStyle w:val="112"/>
        <w:ind w:firstLine="482"/>
        <w:rPr>
          <w:b/>
        </w:rPr>
      </w:pPr>
      <w:r>
        <w:rPr>
          <w:b/>
        </w:rPr>
        <w:t>3、监测频次</w:t>
      </w:r>
    </w:p>
    <w:p>
      <w:pPr>
        <w:pStyle w:val="112"/>
        <w:ind w:firstLine="480"/>
      </w:pPr>
      <w:r>
        <w:t>每个监测点位连续监测2天，监测时间为昼夜各一次。</w:t>
      </w:r>
    </w:p>
    <w:p>
      <w:pPr>
        <w:pStyle w:val="112"/>
        <w:ind w:firstLine="482"/>
        <w:rPr>
          <w:b/>
        </w:rPr>
      </w:pPr>
      <w:r>
        <w:rPr>
          <w:b/>
        </w:rPr>
        <w:t>4、采样及分析方法</w:t>
      </w:r>
    </w:p>
    <w:p>
      <w:pPr>
        <w:pStyle w:val="112"/>
        <w:ind w:firstLine="480"/>
      </w:pPr>
      <w:r>
        <w:t>采样及分析方法按国家有关规定进行。</w:t>
      </w:r>
    </w:p>
    <w:p>
      <w:pPr>
        <w:pStyle w:val="112"/>
        <w:ind w:firstLine="482"/>
        <w:rPr>
          <w:b/>
        </w:rPr>
      </w:pPr>
      <w:bookmarkStart w:id="446" w:name="_Toc12288576"/>
      <w:r>
        <w:rPr>
          <w:b/>
        </w:rPr>
        <w:t>5、评价标准</w:t>
      </w:r>
      <w:bookmarkEnd w:id="446"/>
    </w:p>
    <w:p>
      <w:pPr>
        <w:pStyle w:val="112"/>
        <w:ind w:firstLine="480"/>
      </w:pPr>
      <w:r>
        <w:t>声环境执行《声环境质量标准》（GB3096-2008）中的2类标准，即昼间60dB</w:t>
      </w:r>
      <w:r>
        <w:rPr>
          <w:rFonts w:hint="eastAsia"/>
        </w:rPr>
        <w:t>（</w:t>
      </w:r>
      <w:r>
        <w:t>A</w:t>
      </w:r>
      <w:r>
        <w:rPr>
          <w:rFonts w:hint="eastAsia"/>
        </w:rPr>
        <w:t>）</w:t>
      </w:r>
      <w:r>
        <w:t>，夜间50dB</w:t>
      </w:r>
      <w:r>
        <w:rPr>
          <w:rFonts w:hint="eastAsia"/>
        </w:rPr>
        <w:t>（</w:t>
      </w:r>
      <w:r>
        <w:t>A</w:t>
      </w:r>
      <w:r>
        <w:rPr>
          <w:rFonts w:hint="eastAsia"/>
        </w:rPr>
        <w:t>）</w:t>
      </w:r>
      <w:r>
        <w:t>。</w:t>
      </w:r>
      <w:bookmarkStart w:id="447" w:name="_Toc12288577"/>
    </w:p>
    <w:p>
      <w:pPr>
        <w:pStyle w:val="112"/>
        <w:ind w:firstLine="482"/>
        <w:rPr>
          <w:b/>
          <w:bCs/>
        </w:rPr>
      </w:pPr>
      <w:r>
        <w:rPr>
          <w:b/>
          <w:bCs/>
        </w:rPr>
        <w:t>6、监测结果</w:t>
      </w:r>
      <w:bookmarkEnd w:id="447"/>
    </w:p>
    <w:p>
      <w:pPr>
        <w:pStyle w:val="112"/>
        <w:ind w:firstLine="480"/>
      </w:pPr>
      <w:r>
        <w:t>声环境质量现状值监测结果见表5.6-1。</w:t>
      </w:r>
    </w:p>
    <w:p>
      <w:pPr>
        <w:pStyle w:val="37"/>
        <w:rPr>
          <w:rFonts w:cs="Times New Roman"/>
        </w:rPr>
      </w:pPr>
      <w:r>
        <w:rPr>
          <w:rFonts w:cs="Times New Roman"/>
        </w:rPr>
        <w:t>表5.6-1  声环境质量现状监测及评价结果</w:t>
      </w:r>
    </w:p>
    <w:tbl>
      <w:tblPr>
        <w:tblStyle w:val="57"/>
        <w:tblW w:w="5181"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1059"/>
        <w:gridCol w:w="3051"/>
        <w:gridCol w:w="1133"/>
        <w:gridCol w:w="1135"/>
        <w:gridCol w:w="1138"/>
        <w:gridCol w:w="109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5" w:hRule="atLeast"/>
          <w:tblHeader/>
          <w:jc w:val="center"/>
        </w:trPr>
        <w:tc>
          <w:tcPr>
            <w:tcW w:w="615" w:type="pct"/>
            <w:vAlign w:val="center"/>
          </w:tcPr>
          <w:p>
            <w:pPr>
              <w:pStyle w:val="132"/>
              <w:rPr>
                <w:b/>
                <w:bCs/>
              </w:rPr>
            </w:pPr>
            <w:r>
              <w:rPr>
                <w:b/>
                <w:bCs/>
              </w:rPr>
              <w:t>点位编号</w:t>
            </w:r>
          </w:p>
        </w:tc>
        <w:tc>
          <w:tcPr>
            <w:tcW w:w="1772" w:type="pct"/>
            <w:vAlign w:val="center"/>
          </w:tcPr>
          <w:p>
            <w:pPr>
              <w:pStyle w:val="132"/>
              <w:rPr>
                <w:b/>
                <w:bCs/>
              </w:rPr>
            </w:pPr>
            <w:r>
              <w:rPr>
                <w:b/>
                <w:bCs/>
              </w:rPr>
              <w:t>点位名称</w:t>
            </w:r>
          </w:p>
        </w:tc>
        <w:tc>
          <w:tcPr>
            <w:tcW w:w="658" w:type="pct"/>
            <w:vAlign w:val="center"/>
          </w:tcPr>
          <w:p>
            <w:pPr>
              <w:pStyle w:val="132"/>
              <w:rPr>
                <w:b/>
                <w:bCs/>
              </w:rPr>
            </w:pPr>
            <w:r>
              <w:rPr>
                <w:b/>
                <w:bCs/>
              </w:rPr>
              <w:t>监测时间</w:t>
            </w:r>
          </w:p>
        </w:tc>
        <w:tc>
          <w:tcPr>
            <w:tcW w:w="659" w:type="pct"/>
            <w:vAlign w:val="center"/>
          </w:tcPr>
          <w:p>
            <w:pPr>
              <w:pStyle w:val="132"/>
              <w:rPr>
                <w:b/>
                <w:bCs/>
              </w:rPr>
            </w:pPr>
            <w:r>
              <w:rPr>
                <w:b/>
                <w:bCs/>
              </w:rPr>
              <w:t>昼间</w:t>
            </w:r>
          </w:p>
          <w:p>
            <w:pPr>
              <w:pStyle w:val="132"/>
              <w:rPr>
                <w:b/>
                <w:bCs/>
              </w:rPr>
            </w:pPr>
            <w:r>
              <w:rPr>
                <w:b/>
                <w:bCs/>
              </w:rPr>
              <w:t>dB(A)</w:t>
            </w:r>
          </w:p>
        </w:tc>
        <w:tc>
          <w:tcPr>
            <w:tcW w:w="661" w:type="pct"/>
            <w:vAlign w:val="center"/>
          </w:tcPr>
          <w:p>
            <w:pPr>
              <w:pStyle w:val="132"/>
              <w:rPr>
                <w:b/>
                <w:bCs/>
              </w:rPr>
            </w:pPr>
            <w:r>
              <w:rPr>
                <w:b/>
                <w:bCs/>
              </w:rPr>
              <w:t>夜间</w:t>
            </w:r>
          </w:p>
          <w:p>
            <w:pPr>
              <w:pStyle w:val="132"/>
              <w:rPr>
                <w:b/>
                <w:bCs/>
              </w:rPr>
            </w:pPr>
            <w:r>
              <w:rPr>
                <w:b/>
                <w:bCs/>
              </w:rPr>
              <w:t>dB(A)</w:t>
            </w:r>
          </w:p>
        </w:tc>
        <w:tc>
          <w:tcPr>
            <w:tcW w:w="633" w:type="pct"/>
            <w:vAlign w:val="center"/>
          </w:tcPr>
          <w:p>
            <w:pPr>
              <w:pStyle w:val="132"/>
              <w:rPr>
                <w:b/>
                <w:bCs/>
              </w:rPr>
            </w:pPr>
            <w:r>
              <w:rPr>
                <w:b/>
                <w:bCs/>
              </w:rPr>
              <w:t>达标</w:t>
            </w:r>
          </w:p>
          <w:p>
            <w:pPr>
              <w:pStyle w:val="132"/>
              <w:rPr>
                <w:b/>
                <w:bCs/>
              </w:rPr>
            </w:pPr>
            <w:r>
              <w:rPr>
                <w:b/>
                <w:bCs/>
              </w:rPr>
              <w:t>情况</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8" w:hRule="atLeast"/>
          <w:jc w:val="center"/>
        </w:trPr>
        <w:tc>
          <w:tcPr>
            <w:tcW w:w="615" w:type="pct"/>
            <w:vMerge w:val="restart"/>
            <w:vAlign w:val="center"/>
          </w:tcPr>
          <w:p>
            <w:pPr>
              <w:pStyle w:val="132"/>
            </w:pPr>
            <w:r>
              <w:t>1</w:t>
            </w:r>
            <w:r>
              <w:rPr>
                <w:rFonts w:hint="eastAsia"/>
              </w:rPr>
              <w:t>#</w:t>
            </w:r>
          </w:p>
        </w:tc>
        <w:tc>
          <w:tcPr>
            <w:tcW w:w="1772" w:type="pct"/>
            <w:vMerge w:val="restart"/>
            <w:vAlign w:val="center"/>
          </w:tcPr>
          <w:p>
            <w:pPr>
              <w:spacing w:line="0" w:lineRule="atLeast"/>
              <w:ind w:firstLine="0" w:firstLineChars="0"/>
              <w:jc w:val="center"/>
              <w:rPr>
                <w:rFonts w:ascii="Times New Roman" w:cs="Times New Roman"/>
                <w:kern w:val="2"/>
                <w:sz w:val="21"/>
                <w:szCs w:val="21"/>
              </w:rPr>
            </w:pPr>
            <w:r>
              <w:rPr>
                <w:rFonts w:hint="eastAsia" w:ascii="Times New Roman" w:cs="Times New Roman"/>
                <w:kern w:val="2"/>
                <w:sz w:val="21"/>
                <w:szCs w:val="21"/>
              </w:rPr>
              <w:t>普陆4井台所在地西侧边界</w:t>
            </w:r>
          </w:p>
        </w:tc>
        <w:tc>
          <w:tcPr>
            <w:tcW w:w="658" w:type="pct"/>
            <w:vAlign w:val="center"/>
          </w:tcPr>
          <w:p>
            <w:pPr>
              <w:pStyle w:val="132"/>
            </w:pPr>
            <w:r>
              <w:rPr>
                <w:rFonts w:hint="eastAsia"/>
              </w:rPr>
              <w:t>8</w:t>
            </w:r>
            <w:r>
              <w:t>.</w:t>
            </w:r>
            <w:r>
              <w:rPr>
                <w:rFonts w:hint="eastAsia"/>
              </w:rPr>
              <w:t>2</w:t>
            </w:r>
          </w:p>
        </w:tc>
        <w:tc>
          <w:tcPr>
            <w:tcW w:w="659" w:type="pct"/>
            <w:vAlign w:val="center"/>
          </w:tcPr>
          <w:p>
            <w:pPr>
              <w:pStyle w:val="132"/>
            </w:pPr>
            <w:r>
              <w:rPr>
                <w:rFonts w:hint="eastAsia"/>
              </w:rPr>
              <w:t>58</w:t>
            </w:r>
          </w:p>
        </w:tc>
        <w:tc>
          <w:tcPr>
            <w:tcW w:w="661" w:type="pct"/>
            <w:vAlign w:val="center"/>
          </w:tcPr>
          <w:p>
            <w:pPr>
              <w:pStyle w:val="132"/>
            </w:pPr>
            <w:r>
              <w:rPr>
                <w:rFonts w:hint="eastAsia"/>
              </w:rPr>
              <w:t>47</w:t>
            </w:r>
          </w:p>
        </w:tc>
        <w:tc>
          <w:tcPr>
            <w:tcW w:w="633" w:type="pct"/>
            <w:vMerge w:val="restart"/>
            <w:vAlign w:val="center"/>
          </w:tcPr>
          <w:p>
            <w:pPr>
              <w:pStyle w:val="132"/>
            </w:pPr>
            <w: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81" w:hRule="atLeast"/>
          <w:jc w:val="center"/>
        </w:trPr>
        <w:tc>
          <w:tcPr>
            <w:tcW w:w="615" w:type="pct"/>
            <w:vMerge w:val="continue"/>
            <w:vAlign w:val="center"/>
          </w:tcPr>
          <w:p>
            <w:pPr>
              <w:pStyle w:val="132"/>
            </w:pPr>
          </w:p>
        </w:tc>
        <w:tc>
          <w:tcPr>
            <w:tcW w:w="1772" w:type="pct"/>
            <w:vMerge w:val="continue"/>
            <w:vAlign w:val="center"/>
          </w:tcPr>
          <w:p>
            <w:pPr>
              <w:pStyle w:val="132"/>
            </w:pPr>
          </w:p>
        </w:tc>
        <w:tc>
          <w:tcPr>
            <w:tcW w:w="658" w:type="pct"/>
            <w:vAlign w:val="center"/>
          </w:tcPr>
          <w:p>
            <w:pPr>
              <w:pStyle w:val="132"/>
            </w:pPr>
            <w:r>
              <w:rPr>
                <w:rFonts w:hint="eastAsia"/>
              </w:rPr>
              <w:t>8</w:t>
            </w:r>
            <w:r>
              <w:t>.</w:t>
            </w:r>
            <w:r>
              <w:rPr>
                <w:rFonts w:hint="eastAsia"/>
              </w:rPr>
              <w:t>3</w:t>
            </w:r>
          </w:p>
        </w:tc>
        <w:tc>
          <w:tcPr>
            <w:tcW w:w="659" w:type="pct"/>
            <w:vAlign w:val="center"/>
          </w:tcPr>
          <w:p>
            <w:pPr>
              <w:pStyle w:val="132"/>
            </w:pPr>
            <w:r>
              <w:rPr>
                <w:rFonts w:hint="eastAsia"/>
              </w:rPr>
              <w:t>58</w:t>
            </w:r>
          </w:p>
        </w:tc>
        <w:tc>
          <w:tcPr>
            <w:tcW w:w="661" w:type="pct"/>
            <w:vAlign w:val="center"/>
          </w:tcPr>
          <w:p>
            <w:pPr>
              <w:pStyle w:val="132"/>
            </w:pPr>
            <w:r>
              <w:rPr>
                <w:rFonts w:hint="eastAsia"/>
              </w:rPr>
              <w:t>49</w:t>
            </w:r>
          </w:p>
        </w:tc>
        <w:tc>
          <w:tcPr>
            <w:tcW w:w="633" w:type="pct"/>
            <w:vMerge w:val="continue"/>
            <w:vAlign w:val="center"/>
          </w:tcPr>
          <w:p>
            <w:pPr>
              <w:pStyle w:val="132"/>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8" w:hRule="atLeast"/>
          <w:jc w:val="center"/>
        </w:trPr>
        <w:tc>
          <w:tcPr>
            <w:tcW w:w="615" w:type="pct"/>
            <w:vMerge w:val="restart"/>
            <w:vAlign w:val="center"/>
          </w:tcPr>
          <w:p>
            <w:pPr>
              <w:pStyle w:val="132"/>
            </w:pPr>
            <w:r>
              <w:t>2</w:t>
            </w:r>
            <w:r>
              <w:rPr>
                <w:rFonts w:hint="eastAsia"/>
              </w:rPr>
              <w:t>#</w:t>
            </w:r>
          </w:p>
        </w:tc>
        <w:tc>
          <w:tcPr>
            <w:tcW w:w="1772" w:type="pct"/>
            <w:vMerge w:val="restart"/>
            <w:vAlign w:val="center"/>
          </w:tcPr>
          <w:p>
            <w:pPr>
              <w:pStyle w:val="132"/>
            </w:pPr>
            <w:r>
              <w:rPr>
                <w:rFonts w:hint="eastAsia"/>
              </w:rPr>
              <w:t>普陆4集气平台所在地东侧边界</w:t>
            </w:r>
          </w:p>
        </w:tc>
        <w:tc>
          <w:tcPr>
            <w:tcW w:w="658" w:type="pct"/>
            <w:vAlign w:val="center"/>
          </w:tcPr>
          <w:p>
            <w:pPr>
              <w:pStyle w:val="132"/>
            </w:pPr>
            <w:r>
              <w:rPr>
                <w:rFonts w:hint="eastAsia"/>
              </w:rPr>
              <w:t>8</w:t>
            </w:r>
            <w:r>
              <w:t>.</w:t>
            </w:r>
            <w:r>
              <w:rPr>
                <w:rFonts w:hint="eastAsia"/>
              </w:rPr>
              <w:t>2</w:t>
            </w:r>
          </w:p>
        </w:tc>
        <w:tc>
          <w:tcPr>
            <w:tcW w:w="659" w:type="pct"/>
            <w:vAlign w:val="center"/>
          </w:tcPr>
          <w:p>
            <w:pPr>
              <w:pStyle w:val="132"/>
            </w:pPr>
            <w:r>
              <w:rPr>
                <w:rFonts w:hint="eastAsia"/>
              </w:rPr>
              <w:t>57</w:t>
            </w:r>
          </w:p>
        </w:tc>
        <w:tc>
          <w:tcPr>
            <w:tcW w:w="661" w:type="pct"/>
            <w:vAlign w:val="center"/>
          </w:tcPr>
          <w:p>
            <w:pPr>
              <w:pStyle w:val="132"/>
            </w:pPr>
            <w:r>
              <w:rPr>
                <w:rFonts w:hint="eastAsia"/>
              </w:rPr>
              <w:t>47</w:t>
            </w:r>
          </w:p>
        </w:tc>
        <w:tc>
          <w:tcPr>
            <w:tcW w:w="633" w:type="pct"/>
            <w:vMerge w:val="restart"/>
            <w:vAlign w:val="center"/>
          </w:tcPr>
          <w:p>
            <w:pPr>
              <w:pStyle w:val="132"/>
            </w:pPr>
            <w: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8" w:hRule="atLeast"/>
          <w:jc w:val="center"/>
        </w:trPr>
        <w:tc>
          <w:tcPr>
            <w:tcW w:w="615" w:type="pct"/>
            <w:vMerge w:val="continue"/>
            <w:vAlign w:val="center"/>
          </w:tcPr>
          <w:p>
            <w:pPr>
              <w:pStyle w:val="132"/>
            </w:pPr>
          </w:p>
        </w:tc>
        <w:tc>
          <w:tcPr>
            <w:tcW w:w="1772" w:type="pct"/>
            <w:vMerge w:val="continue"/>
            <w:vAlign w:val="center"/>
          </w:tcPr>
          <w:p>
            <w:pPr>
              <w:pStyle w:val="132"/>
            </w:pPr>
          </w:p>
        </w:tc>
        <w:tc>
          <w:tcPr>
            <w:tcW w:w="658" w:type="pct"/>
            <w:vAlign w:val="center"/>
          </w:tcPr>
          <w:p>
            <w:pPr>
              <w:pStyle w:val="132"/>
            </w:pPr>
            <w:r>
              <w:rPr>
                <w:rFonts w:hint="eastAsia"/>
              </w:rPr>
              <w:t>8</w:t>
            </w:r>
            <w:r>
              <w:t>.</w:t>
            </w:r>
            <w:r>
              <w:rPr>
                <w:rFonts w:hint="eastAsia"/>
              </w:rPr>
              <w:t>3</w:t>
            </w:r>
          </w:p>
        </w:tc>
        <w:tc>
          <w:tcPr>
            <w:tcW w:w="659" w:type="pct"/>
            <w:vAlign w:val="center"/>
          </w:tcPr>
          <w:p>
            <w:pPr>
              <w:pStyle w:val="132"/>
            </w:pPr>
            <w:r>
              <w:rPr>
                <w:rFonts w:hint="eastAsia"/>
              </w:rPr>
              <w:t>54</w:t>
            </w:r>
          </w:p>
        </w:tc>
        <w:tc>
          <w:tcPr>
            <w:tcW w:w="661" w:type="pct"/>
            <w:vAlign w:val="center"/>
          </w:tcPr>
          <w:p>
            <w:pPr>
              <w:pStyle w:val="132"/>
            </w:pPr>
            <w:r>
              <w:rPr>
                <w:rFonts w:hint="eastAsia"/>
              </w:rPr>
              <w:t>48</w:t>
            </w:r>
          </w:p>
        </w:tc>
        <w:tc>
          <w:tcPr>
            <w:tcW w:w="633" w:type="pct"/>
            <w:vMerge w:val="continue"/>
            <w:vAlign w:val="center"/>
          </w:tcPr>
          <w:p>
            <w:pPr>
              <w:pStyle w:val="132"/>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8" w:hRule="atLeast"/>
          <w:jc w:val="center"/>
        </w:trPr>
        <w:tc>
          <w:tcPr>
            <w:tcW w:w="615" w:type="pct"/>
            <w:vMerge w:val="restart"/>
            <w:vAlign w:val="center"/>
          </w:tcPr>
          <w:p>
            <w:pPr>
              <w:pStyle w:val="132"/>
            </w:pPr>
            <w:r>
              <w:t>3</w:t>
            </w:r>
            <w:r>
              <w:rPr>
                <w:rFonts w:hint="eastAsia"/>
              </w:rPr>
              <w:t>#</w:t>
            </w:r>
          </w:p>
        </w:tc>
        <w:tc>
          <w:tcPr>
            <w:tcW w:w="1772" w:type="pct"/>
            <w:vMerge w:val="restart"/>
            <w:vAlign w:val="center"/>
          </w:tcPr>
          <w:p>
            <w:pPr>
              <w:pStyle w:val="132"/>
            </w:pPr>
            <w:r>
              <w:rPr>
                <w:rFonts w:hint="eastAsia"/>
              </w:rPr>
              <w:t>P107集气站东侧边界</w:t>
            </w:r>
          </w:p>
        </w:tc>
        <w:tc>
          <w:tcPr>
            <w:tcW w:w="658" w:type="pct"/>
            <w:vAlign w:val="center"/>
          </w:tcPr>
          <w:p>
            <w:pPr>
              <w:pStyle w:val="132"/>
            </w:pPr>
            <w:r>
              <w:rPr>
                <w:rFonts w:hint="eastAsia"/>
              </w:rPr>
              <w:t>8</w:t>
            </w:r>
            <w:r>
              <w:t>.</w:t>
            </w:r>
            <w:r>
              <w:rPr>
                <w:rFonts w:hint="eastAsia"/>
              </w:rPr>
              <w:t>2</w:t>
            </w:r>
          </w:p>
        </w:tc>
        <w:tc>
          <w:tcPr>
            <w:tcW w:w="659" w:type="pct"/>
            <w:vAlign w:val="center"/>
          </w:tcPr>
          <w:p>
            <w:pPr>
              <w:pStyle w:val="132"/>
            </w:pPr>
            <w:r>
              <w:rPr>
                <w:rFonts w:hint="eastAsia"/>
              </w:rPr>
              <w:t>57</w:t>
            </w:r>
          </w:p>
        </w:tc>
        <w:tc>
          <w:tcPr>
            <w:tcW w:w="661" w:type="pct"/>
            <w:vAlign w:val="center"/>
          </w:tcPr>
          <w:p>
            <w:pPr>
              <w:pStyle w:val="132"/>
            </w:pPr>
            <w:r>
              <w:rPr>
                <w:rFonts w:hint="eastAsia"/>
              </w:rPr>
              <w:t>48</w:t>
            </w:r>
          </w:p>
        </w:tc>
        <w:tc>
          <w:tcPr>
            <w:tcW w:w="633" w:type="pct"/>
            <w:vMerge w:val="restart"/>
            <w:vAlign w:val="center"/>
          </w:tcPr>
          <w:p>
            <w:pPr>
              <w:pStyle w:val="132"/>
            </w:pPr>
            <w: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8" w:hRule="atLeast"/>
          <w:jc w:val="center"/>
        </w:trPr>
        <w:tc>
          <w:tcPr>
            <w:tcW w:w="615" w:type="pct"/>
            <w:vMerge w:val="continue"/>
            <w:vAlign w:val="center"/>
          </w:tcPr>
          <w:p>
            <w:pPr>
              <w:pStyle w:val="132"/>
            </w:pPr>
          </w:p>
        </w:tc>
        <w:tc>
          <w:tcPr>
            <w:tcW w:w="1772" w:type="pct"/>
            <w:vMerge w:val="continue"/>
            <w:vAlign w:val="center"/>
          </w:tcPr>
          <w:p>
            <w:pPr>
              <w:pStyle w:val="132"/>
            </w:pPr>
          </w:p>
        </w:tc>
        <w:tc>
          <w:tcPr>
            <w:tcW w:w="658" w:type="pct"/>
            <w:vAlign w:val="center"/>
          </w:tcPr>
          <w:p>
            <w:pPr>
              <w:pStyle w:val="132"/>
            </w:pPr>
            <w:r>
              <w:rPr>
                <w:rFonts w:hint="eastAsia"/>
              </w:rPr>
              <w:t>8</w:t>
            </w:r>
            <w:r>
              <w:t>.</w:t>
            </w:r>
            <w:r>
              <w:rPr>
                <w:rFonts w:hint="eastAsia"/>
              </w:rPr>
              <w:t>3</w:t>
            </w:r>
          </w:p>
        </w:tc>
        <w:tc>
          <w:tcPr>
            <w:tcW w:w="659" w:type="pct"/>
            <w:vAlign w:val="center"/>
          </w:tcPr>
          <w:p>
            <w:pPr>
              <w:pStyle w:val="132"/>
            </w:pPr>
            <w:r>
              <w:rPr>
                <w:rFonts w:hint="eastAsia"/>
              </w:rPr>
              <w:t>57</w:t>
            </w:r>
          </w:p>
        </w:tc>
        <w:tc>
          <w:tcPr>
            <w:tcW w:w="661" w:type="pct"/>
            <w:vAlign w:val="center"/>
          </w:tcPr>
          <w:p>
            <w:pPr>
              <w:pStyle w:val="132"/>
            </w:pPr>
            <w:r>
              <w:rPr>
                <w:rFonts w:hint="eastAsia"/>
              </w:rPr>
              <w:t>46</w:t>
            </w:r>
          </w:p>
        </w:tc>
        <w:tc>
          <w:tcPr>
            <w:tcW w:w="633" w:type="pct"/>
            <w:vMerge w:val="continue"/>
            <w:vAlign w:val="center"/>
          </w:tcPr>
          <w:p>
            <w:pPr>
              <w:pStyle w:val="132"/>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8" w:hRule="atLeast"/>
          <w:jc w:val="center"/>
        </w:trPr>
        <w:tc>
          <w:tcPr>
            <w:tcW w:w="615" w:type="pct"/>
            <w:vMerge w:val="restart"/>
            <w:vAlign w:val="center"/>
          </w:tcPr>
          <w:p>
            <w:pPr>
              <w:pStyle w:val="132"/>
            </w:pPr>
            <w:r>
              <w:rPr>
                <w:rFonts w:hint="eastAsia"/>
              </w:rPr>
              <w:t>4#</w:t>
            </w:r>
          </w:p>
        </w:tc>
        <w:tc>
          <w:tcPr>
            <w:tcW w:w="1772" w:type="pct"/>
            <w:vMerge w:val="restart"/>
            <w:vAlign w:val="center"/>
          </w:tcPr>
          <w:p>
            <w:pPr>
              <w:pStyle w:val="132"/>
            </w:pPr>
            <w:r>
              <w:rPr>
                <w:rFonts w:hint="eastAsia"/>
              </w:rPr>
              <w:t>普陆4集气平台所在地南侧220m住户处</w:t>
            </w:r>
          </w:p>
        </w:tc>
        <w:tc>
          <w:tcPr>
            <w:tcW w:w="658" w:type="pct"/>
            <w:vAlign w:val="center"/>
          </w:tcPr>
          <w:p>
            <w:pPr>
              <w:pStyle w:val="132"/>
            </w:pPr>
            <w:r>
              <w:rPr>
                <w:rFonts w:hint="eastAsia"/>
              </w:rPr>
              <w:t>8</w:t>
            </w:r>
            <w:r>
              <w:t>.</w:t>
            </w:r>
            <w:r>
              <w:rPr>
                <w:rFonts w:hint="eastAsia"/>
              </w:rPr>
              <w:t>2</w:t>
            </w:r>
          </w:p>
        </w:tc>
        <w:tc>
          <w:tcPr>
            <w:tcW w:w="659" w:type="pct"/>
            <w:vAlign w:val="center"/>
          </w:tcPr>
          <w:p>
            <w:pPr>
              <w:pStyle w:val="132"/>
            </w:pPr>
            <w:r>
              <w:rPr>
                <w:rFonts w:hint="eastAsia"/>
              </w:rPr>
              <w:t>57</w:t>
            </w:r>
          </w:p>
        </w:tc>
        <w:tc>
          <w:tcPr>
            <w:tcW w:w="661" w:type="pct"/>
            <w:vAlign w:val="center"/>
          </w:tcPr>
          <w:p>
            <w:pPr>
              <w:pStyle w:val="132"/>
            </w:pPr>
            <w:r>
              <w:rPr>
                <w:rFonts w:hint="eastAsia"/>
              </w:rPr>
              <w:t>46</w:t>
            </w:r>
          </w:p>
        </w:tc>
        <w:tc>
          <w:tcPr>
            <w:tcW w:w="633" w:type="pct"/>
            <w:vMerge w:val="restart"/>
            <w:vAlign w:val="center"/>
          </w:tcPr>
          <w:p>
            <w:pPr>
              <w:pStyle w:val="132"/>
            </w:pPr>
            <w: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8" w:hRule="atLeast"/>
          <w:jc w:val="center"/>
        </w:trPr>
        <w:tc>
          <w:tcPr>
            <w:tcW w:w="615" w:type="pct"/>
            <w:vMerge w:val="continue"/>
            <w:vAlign w:val="center"/>
          </w:tcPr>
          <w:p>
            <w:pPr>
              <w:pStyle w:val="132"/>
            </w:pPr>
          </w:p>
        </w:tc>
        <w:tc>
          <w:tcPr>
            <w:tcW w:w="1772" w:type="pct"/>
            <w:vMerge w:val="continue"/>
            <w:vAlign w:val="center"/>
          </w:tcPr>
          <w:p>
            <w:pPr>
              <w:pStyle w:val="132"/>
            </w:pPr>
          </w:p>
        </w:tc>
        <w:tc>
          <w:tcPr>
            <w:tcW w:w="658" w:type="pct"/>
            <w:vAlign w:val="center"/>
          </w:tcPr>
          <w:p>
            <w:pPr>
              <w:pStyle w:val="132"/>
            </w:pPr>
            <w:r>
              <w:rPr>
                <w:rFonts w:hint="eastAsia"/>
              </w:rPr>
              <w:t>8</w:t>
            </w:r>
            <w:r>
              <w:t>.</w:t>
            </w:r>
            <w:r>
              <w:rPr>
                <w:rFonts w:hint="eastAsia"/>
              </w:rPr>
              <w:t>3</w:t>
            </w:r>
          </w:p>
        </w:tc>
        <w:tc>
          <w:tcPr>
            <w:tcW w:w="659" w:type="pct"/>
            <w:vAlign w:val="center"/>
          </w:tcPr>
          <w:p>
            <w:pPr>
              <w:pStyle w:val="132"/>
            </w:pPr>
            <w:r>
              <w:rPr>
                <w:rFonts w:hint="eastAsia"/>
              </w:rPr>
              <w:t>59</w:t>
            </w:r>
          </w:p>
        </w:tc>
        <w:tc>
          <w:tcPr>
            <w:tcW w:w="661" w:type="pct"/>
            <w:vAlign w:val="center"/>
          </w:tcPr>
          <w:p>
            <w:pPr>
              <w:pStyle w:val="132"/>
            </w:pPr>
            <w:r>
              <w:rPr>
                <w:rFonts w:hint="eastAsia"/>
              </w:rPr>
              <w:t>47</w:t>
            </w:r>
          </w:p>
        </w:tc>
        <w:tc>
          <w:tcPr>
            <w:tcW w:w="633" w:type="pct"/>
            <w:vMerge w:val="continue"/>
            <w:vAlign w:val="center"/>
          </w:tcPr>
          <w:p>
            <w:pPr>
              <w:pStyle w:val="132"/>
            </w:pPr>
          </w:p>
        </w:tc>
      </w:tr>
    </w:tbl>
    <w:p>
      <w:pPr>
        <w:pStyle w:val="112"/>
        <w:ind w:firstLine="480"/>
      </w:pPr>
      <w:r>
        <w:t>从监测结果可知，本项目</w:t>
      </w:r>
      <w:r>
        <w:rPr>
          <w:rFonts w:hint="eastAsia"/>
        </w:rPr>
        <w:t>所在地</w:t>
      </w:r>
      <w:r>
        <w:t>声环境质量良好，监测点位处的昼间和夜间声环境质量现状值均满足《声环境质量标准》（GB3096-2008）中2类环境噪声限值要求。</w:t>
      </w:r>
    </w:p>
    <w:p>
      <w:pPr>
        <w:pStyle w:val="3"/>
        <w:spacing w:before="0"/>
        <w:rPr>
          <w:rFonts w:cs="Times New Roman"/>
        </w:rPr>
      </w:pPr>
      <w:bookmarkStart w:id="448" w:name="_Toc81515287"/>
      <w:r>
        <w:rPr>
          <w:rFonts w:cs="Times New Roman"/>
        </w:rPr>
        <w:t>5.7 土壤环境质量现状与评价</w:t>
      </w:r>
      <w:bookmarkEnd w:id="448"/>
    </w:p>
    <w:p>
      <w:pPr>
        <w:pStyle w:val="112"/>
        <w:ind w:firstLine="480"/>
      </w:pPr>
      <w:r>
        <w:t>为了解项目所在地土壤环境质量现状，</w:t>
      </w:r>
      <w:r>
        <w:rPr>
          <w:rFonts w:hint="eastAsia"/>
        </w:rPr>
        <w:t>本次评价委托四川省允诺信检测技术有限公司于2023年7月31日</w:t>
      </w:r>
      <w:r>
        <w:t>对项目所在地土壤环境质量进行了现状监测。</w:t>
      </w:r>
    </w:p>
    <w:p>
      <w:pPr>
        <w:pStyle w:val="112"/>
        <w:ind w:firstLine="482"/>
        <w:rPr>
          <w:b/>
          <w:bCs/>
        </w:rPr>
      </w:pPr>
      <w:r>
        <w:rPr>
          <w:b/>
          <w:bCs/>
        </w:rPr>
        <w:t>（1）监测方案</w:t>
      </w:r>
    </w:p>
    <w:p>
      <w:pPr>
        <w:pStyle w:val="112"/>
        <w:ind w:firstLine="480"/>
      </w:pPr>
      <w:r>
        <w:t>监测布点：</w:t>
      </w:r>
      <w:r>
        <w:rPr>
          <w:rFonts w:hint="eastAsia"/>
        </w:rPr>
        <w:t>土壤环境监测点设6个，T1~T</w:t>
      </w:r>
      <w:r>
        <w:rPr>
          <w:rFonts w:hint="eastAsia"/>
          <w:bCs/>
        </w:rPr>
        <w:t>4位于普陆4井台所在地内；T5位于普陆4井台所在地东南侧130m处、T6位于普陆4井台所在地东北侧150m处，</w:t>
      </w:r>
      <w:r>
        <w:t>监测布点见附图</w:t>
      </w:r>
      <w:r>
        <w:rPr>
          <w:rFonts w:hint="eastAsia"/>
        </w:rPr>
        <w:t>。</w:t>
      </w:r>
      <w:r>
        <w:t>T1、T2、T3为柱状样点（</w:t>
      </w:r>
      <w:bookmarkStart w:id="449" w:name="OLE_LINK183"/>
      <w:bookmarkStart w:id="450" w:name="OLE_LINK184"/>
      <w:r>
        <w:t>在</w:t>
      </w:r>
      <w:bookmarkStart w:id="451" w:name="OLE_LINK180"/>
      <w:r>
        <w:t>0~0.5m</w:t>
      </w:r>
      <w:bookmarkEnd w:id="451"/>
      <w:r>
        <w:t>、0.5~1.5m、1.5~3m分别取样</w:t>
      </w:r>
      <w:bookmarkEnd w:id="449"/>
      <w:bookmarkEnd w:id="450"/>
      <w:r>
        <w:t>），T4、T5、T6为表层样点（在0~0.2m取样）。</w:t>
      </w:r>
    </w:p>
    <w:p>
      <w:pPr>
        <w:pStyle w:val="112"/>
        <w:ind w:firstLine="480"/>
        <w:rPr>
          <w:b/>
          <w:bCs/>
          <w:sz w:val="21"/>
          <w:szCs w:val="16"/>
        </w:rPr>
      </w:pPr>
      <w:r>
        <w:t>本项目</w:t>
      </w:r>
      <w:r>
        <w:rPr>
          <w:rFonts w:hint="eastAsia"/>
        </w:rPr>
        <w:t>土壤监测布点一览表见表5.7-1</w:t>
      </w:r>
      <w:r>
        <w:t xml:space="preserve">。  </w:t>
      </w:r>
    </w:p>
    <w:p>
      <w:pPr>
        <w:pStyle w:val="37"/>
        <w:rPr>
          <w:rFonts w:cs="Times New Roman"/>
        </w:rPr>
      </w:pPr>
      <w:r>
        <w:rPr>
          <w:rFonts w:cs="Times New Roman"/>
        </w:rPr>
        <w:t>表5.7-</w:t>
      </w:r>
      <w:r>
        <w:rPr>
          <w:rFonts w:hint="eastAsia" w:cs="Times New Roman"/>
        </w:rPr>
        <w:t>1</w:t>
      </w:r>
      <w:r>
        <w:rPr>
          <w:rFonts w:cs="Times New Roman"/>
        </w:rPr>
        <w:t xml:space="preserve">  项目土壤监测布点一览表</w:t>
      </w:r>
    </w:p>
    <w:tbl>
      <w:tblPr>
        <w:tblStyle w:val="57"/>
        <w:tblW w:w="5181"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859"/>
        <w:gridCol w:w="2684"/>
        <w:gridCol w:w="1276"/>
        <w:gridCol w:w="2693"/>
        <w:gridCol w:w="1095"/>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5" w:hRule="atLeast"/>
          <w:tblHeader/>
          <w:jc w:val="center"/>
        </w:trPr>
        <w:tc>
          <w:tcPr>
            <w:tcW w:w="499" w:type="pct"/>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编号</w:t>
            </w:r>
          </w:p>
        </w:tc>
        <w:tc>
          <w:tcPr>
            <w:tcW w:w="1559" w:type="pct"/>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检测点位</w:t>
            </w:r>
          </w:p>
        </w:tc>
        <w:tc>
          <w:tcPr>
            <w:tcW w:w="741" w:type="pct"/>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用地性质</w:t>
            </w:r>
          </w:p>
        </w:tc>
        <w:tc>
          <w:tcPr>
            <w:tcW w:w="1564" w:type="pct"/>
            <w:vAlign w:val="center"/>
          </w:tcPr>
          <w:p>
            <w:pPr>
              <w:pStyle w:val="132"/>
              <w:rPr>
                <w:b/>
                <w:bCs/>
                <w:szCs w:val="21"/>
              </w:rPr>
            </w:pPr>
            <w:r>
              <w:rPr>
                <w:b/>
                <w:bCs/>
                <w:szCs w:val="21"/>
              </w:rPr>
              <w:t>检测项目</w:t>
            </w:r>
          </w:p>
        </w:tc>
        <w:tc>
          <w:tcPr>
            <w:tcW w:w="636" w:type="pct"/>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检测频次</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8" w:hRule="atLeast"/>
          <w:jc w:val="center"/>
        </w:trPr>
        <w:tc>
          <w:tcPr>
            <w:tcW w:w="499" w:type="pct"/>
            <w:vAlign w:val="center"/>
          </w:tcPr>
          <w:p>
            <w:pPr>
              <w:pStyle w:val="132"/>
              <w:rPr>
                <w:szCs w:val="21"/>
              </w:rPr>
            </w:pPr>
            <w:r>
              <w:rPr>
                <w:rFonts w:hint="eastAsia"/>
                <w:szCs w:val="21"/>
              </w:rPr>
              <w:t>T1</w:t>
            </w:r>
            <w:r>
              <w:rPr>
                <w:szCs w:val="21"/>
              </w:rPr>
              <w:t xml:space="preserve"> </w:t>
            </w:r>
          </w:p>
        </w:tc>
        <w:tc>
          <w:tcPr>
            <w:tcW w:w="1559" w:type="pct"/>
            <w:vAlign w:val="center"/>
          </w:tcPr>
          <w:p>
            <w:pPr>
              <w:pStyle w:val="132"/>
              <w:rPr>
                <w:szCs w:val="21"/>
              </w:rPr>
            </w:pPr>
            <w:r>
              <w:rPr>
                <w:rFonts w:hint="eastAsia"/>
                <w:szCs w:val="21"/>
              </w:rPr>
              <w:t>普陆4井台所在地内</w:t>
            </w:r>
          </w:p>
        </w:tc>
        <w:tc>
          <w:tcPr>
            <w:tcW w:w="741" w:type="pct"/>
            <w:vAlign w:val="center"/>
          </w:tcPr>
          <w:p>
            <w:pPr>
              <w:pStyle w:val="132"/>
              <w:rPr>
                <w:szCs w:val="21"/>
              </w:rPr>
            </w:pPr>
            <w:r>
              <w:rPr>
                <w:rFonts w:hint="eastAsia"/>
                <w:szCs w:val="21"/>
              </w:rPr>
              <w:t>建设用地</w:t>
            </w:r>
          </w:p>
        </w:tc>
        <w:tc>
          <w:tcPr>
            <w:tcW w:w="1564" w:type="pct"/>
            <w:vMerge w:val="restart"/>
            <w:vAlign w:val="center"/>
          </w:tcPr>
          <w:p>
            <w:pPr>
              <w:pStyle w:val="132"/>
              <w:rPr>
                <w:szCs w:val="21"/>
              </w:rPr>
            </w:pPr>
            <w:r>
              <w:rPr>
                <w:rFonts w:hint="eastAsia"/>
                <w:szCs w:val="21"/>
              </w:rPr>
              <w:t>六价铬、铜、汞、砷、铅、镉、镍、四氯化碳、氯仿、氯甲烷、1,1-二氯乙烷、1,2-二氯乙烷、1,1-二氯乙烯、顺-1,2-二氯乙烯、反-1,2-二氯乙烯、二氯甲烷、1,2-二氯丙烷、1,1,1,2-四氯乙烷、1,1,2,2-四氯乙烷、四氯乙烯、1,1,1 –三氯乙烷、1,1,2 –三氯乙烷、三氯乙烯、1,2,3 –三氯丙烷、氯乙烯、苯、氯苯、1,2 –二氯苯、1,4 –二氯苯、乙苯、苯乙烯、甲苯、间二甲苯+对二甲苯、邻二甲苯、硝基苯、苯胺、2-氯酚、苯并[a]蒽、苯并[a]芘、苯并[b]荧蒽、苯并[k]荧蒽、䓛、二苯并[a,h]蒽、茚并[1,2,3-cd]芘、萘、石油烃</w:t>
            </w:r>
          </w:p>
        </w:tc>
        <w:tc>
          <w:tcPr>
            <w:tcW w:w="636" w:type="pct"/>
            <w:vMerge w:val="restart"/>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1次/日，</w:t>
            </w:r>
          </w:p>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检测1日</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8" w:hRule="atLeast"/>
          <w:jc w:val="center"/>
        </w:trPr>
        <w:tc>
          <w:tcPr>
            <w:tcW w:w="499" w:type="pct"/>
            <w:vAlign w:val="center"/>
          </w:tcPr>
          <w:p>
            <w:pPr>
              <w:pStyle w:val="132"/>
              <w:rPr>
                <w:szCs w:val="21"/>
              </w:rPr>
            </w:pPr>
            <w:r>
              <w:rPr>
                <w:rFonts w:hint="eastAsia"/>
                <w:szCs w:val="21"/>
              </w:rPr>
              <w:t>T2</w:t>
            </w:r>
          </w:p>
        </w:tc>
        <w:tc>
          <w:tcPr>
            <w:tcW w:w="1559" w:type="pct"/>
            <w:vAlign w:val="center"/>
          </w:tcPr>
          <w:p>
            <w:pPr>
              <w:pStyle w:val="132"/>
              <w:rPr>
                <w:szCs w:val="21"/>
              </w:rPr>
            </w:pPr>
            <w:r>
              <w:rPr>
                <w:rFonts w:hint="eastAsia"/>
                <w:szCs w:val="21"/>
              </w:rPr>
              <w:t>普陆4井台所在地内</w:t>
            </w:r>
          </w:p>
        </w:tc>
        <w:tc>
          <w:tcPr>
            <w:tcW w:w="741" w:type="pct"/>
            <w:vAlign w:val="center"/>
          </w:tcPr>
          <w:p>
            <w:pPr>
              <w:pStyle w:val="132"/>
              <w:rPr>
                <w:szCs w:val="21"/>
              </w:rPr>
            </w:pPr>
            <w:r>
              <w:rPr>
                <w:rFonts w:hint="eastAsia"/>
                <w:szCs w:val="21"/>
              </w:rPr>
              <w:t>建设用地</w:t>
            </w:r>
          </w:p>
        </w:tc>
        <w:tc>
          <w:tcPr>
            <w:tcW w:w="1564" w:type="pct"/>
            <w:vMerge w:val="continue"/>
            <w:vAlign w:val="center"/>
          </w:tcPr>
          <w:p>
            <w:pPr>
              <w:pStyle w:val="132"/>
              <w:rPr>
                <w:szCs w:val="21"/>
              </w:rPr>
            </w:pPr>
          </w:p>
        </w:tc>
        <w:tc>
          <w:tcPr>
            <w:tcW w:w="636" w:type="pct"/>
            <w:vMerge w:val="continue"/>
            <w:vAlign w:val="center"/>
          </w:tcPr>
          <w:p>
            <w:pPr>
              <w:pStyle w:val="119"/>
              <w:jc w:val="center"/>
              <w:rPr>
                <w:rFonts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8" w:hRule="atLeast"/>
          <w:jc w:val="center"/>
        </w:trPr>
        <w:tc>
          <w:tcPr>
            <w:tcW w:w="499" w:type="pct"/>
            <w:vAlign w:val="center"/>
          </w:tcPr>
          <w:p>
            <w:pPr>
              <w:pStyle w:val="132"/>
              <w:rPr>
                <w:szCs w:val="21"/>
              </w:rPr>
            </w:pPr>
            <w:r>
              <w:rPr>
                <w:rFonts w:hint="eastAsia"/>
                <w:szCs w:val="21"/>
              </w:rPr>
              <w:t>T3</w:t>
            </w:r>
          </w:p>
        </w:tc>
        <w:tc>
          <w:tcPr>
            <w:tcW w:w="1559" w:type="pct"/>
            <w:vAlign w:val="center"/>
          </w:tcPr>
          <w:p>
            <w:pPr>
              <w:pStyle w:val="132"/>
              <w:rPr>
                <w:szCs w:val="21"/>
              </w:rPr>
            </w:pPr>
            <w:r>
              <w:rPr>
                <w:rFonts w:hint="eastAsia"/>
                <w:szCs w:val="21"/>
              </w:rPr>
              <w:t>普陆4井台所在地内</w:t>
            </w:r>
          </w:p>
        </w:tc>
        <w:tc>
          <w:tcPr>
            <w:tcW w:w="741" w:type="pct"/>
            <w:vAlign w:val="center"/>
          </w:tcPr>
          <w:p>
            <w:pPr>
              <w:pStyle w:val="132"/>
              <w:rPr>
                <w:szCs w:val="21"/>
              </w:rPr>
            </w:pPr>
            <w:r>
              <w:rPr>
                <w:rFonts w:hint="eastAsia"/>
                <w:szCs w:val="21"/>
              </w:rPr>
              <w:t>建设用地</w:t>
            </w:r>
          </w:p>
        </w:tc>
        <w:tc>
          <w:tcPr>
            <w:tcW w:w="1564" w:type="pct"/>
            <w:vMerge w:val="continue"/>
            <w:vAlign w:val="center"/>
          </w:tcPr>
          <w:p>
            <w:pPr>
              <w:pStyle w:val="132"/>
              <w:rPr>
                <w:szCs w:val="21"/>
              </w:rPr>
            </w:pPr>
          </w:p>
        </w:tc>
        <w:tc>
          <w:tcPr>
            <w:tcW w:w="636" w:type="pct"/>
            <w:vMerge w:val="continue"/>
            <w:vAlign w:val="center"/>
          </w:tcPr>
          <w:p>
            <w:pPr>
              <w:pStyle w:val="119"/>
              <w:jc w:val="center"/>
              <w:rPr>
                <w:rFonts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8" w:hRule="atLeast"/>
          <w:jc w:val="center"/>
        </w:trPr>
        <w:tc>
          <w:tcPr>
            <w:tcW w:w="499" w:type="pct"/>
            <w:vAlign w:val="center"/>
          </w:tcPr>
          <w:p>
            <w:pPr>
              <w:pStyle w:val="132"/>
              <w:rPr>
                <w:szCs w:val="21"/>
              </w:rPr>
            </w:pPr>
            <w:r>
              <w:rPr>
                <w:rFonts w:hint="eastAsia"/>
                <w:szCs w:val="21"/>
              </w:rPr>
              <w:t>T4</w:t>
            </w:r>
          </w:p>
        </w:tc>
        <w:tc>
          <w:tcPr>
            <w:tcW w:w="1559" w:type="pct"/>
            <w:vAlign w:val="center"/>
          </w:tcPr>
          <w:p>
            <w:pPr>
              <w:pStyle w:val="132"/>
              <w:rPr>
                <w:szCs w:val="21"/>
              </w:rPr>
            </w:pPr>
            <w:r>
              <w:rPr>
                <w:rFonts w:hint="eastAsia"/>
                <w:szCs w:val="21"/>
              </w:rPr>
              <w:t>普陆4井台所在地内</w:t>
            </w:r>
          </w:p>
        </w:tc>
        <w:tc>
          <w:tcPr>
            <w:tcW w:w="741" w:type="pct"/>
            <w:vAlign w:val="center"/>
          </w:tcPr>
          <w:p>
            <w:pPr>
              <w:pStyle w:val="132"/>
              <w:rPr>
                <w:szCs w:val="21"/>
              </w:rPr>
            </w:pPr>
            <w:r>
              <w:rPr>
                <w:rFonts w:hint="eastAsia"/>
                <w:szCs w:val="21"/>
              </w:rPr>
              <w:t>建设用地</w:t>
            </w:r>
          </w:p>
        </w:tc>
        <w:tc>
          <w:tcPr>
            <w:tcW w:w="1564" w:type="pct"/>
            <w:vMerge w:val="continue"/>
            <w:vAlign w:val="center"/>
          </w:tcPr>
          <w:p>
            <w:pPr>
              <w:pStyle w:val="132"/>
              <w:rPr>
                <w:szCs w:val="21"/>
              </w:rPr>
            </w:pPr>
          </w:p>
        </w:tc>
        <w:tc>
          <w:tcPr>
            <w:tcW w:w="636" w:type="pct"/>
            <w:vMerge w:val="continue"/>
            <w:vAlign w:val="center"/>
          </w:tcPr>
          <w:p>
            <w:pPr>
              <w:pStyle w:val="119"/>
              <w:jc w:val="center"/>
              <w:rPr>
                <w:rFonts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8" w:hRule="atLeast"/>
          <w:jc w:val="center"/>
        </w:trPr>
        <w:tc>
          <w:tcPr>
            <w:tcW w:w="499" w:type="pct"/>
            <w:vAlign w:val="center"/>
          </w:tcPr>
          <w:p>
            <w:pPr>
              <w:pStyle w:val="132"/>
              <w:rPr>
                <w:szCs w:val="21"/>
              </w:rPr>
            </w:pPr>
            <w:r>
              <w:rPr>
                <w:rFonts w:hint="eastAsia"/>
                <w:szCs w:val="21"/>
              </w:rPr>
              <w:t>T5</w:t>
            </w:r>
          </w:p>
        </w:tc>
        <w:tc>
          <w:tcPr>
            <w:tcW w:w="1559" w:type="pct"/>
            <w:vAlign w:val="center"/>
          </w:tcPr>
          <w:p>
            <w:pPr>
              <w:pStyle w:val="132"/>
              <w:rPr>
                <w:szCs w:val="21"/>
              </w:rPr>
            </w:pPr>
            <w:r>
              <w:rPr>
                <w:rFonts w:hint="eastAsia"/>
                <w:szCs w:val="21"/>
              </w:rPr>
              <w:t>普陆4井台所在地东南侧130m处</w:t>
            </w:r>
          </w:p>
        </w:tc>
        <w:tc>
          <w:tcPr>
            <w:tcW w:w="741" w:type="pct"/>
            <w:vAlign w:val="center"/>
          </w:tcPr>
          <w:p>
            <w:pPr>
              <w:pStyle w:val="132"/>
              <w:rPr>
                <w:szCs w:val="21"/>
              </w:rPr>
            </w:pPr>
            <w:r>
              <w:rPr>
                <w:szCs w:val="21"/>
              </w:rPr>
              <w:t>农用地</w:t>
            </w:r>
          </w:p>
        </w:tc>
        <w:tc>
          <w:tcPr>
            <w:tcW w:w="1564" w:type="pct"/>
            <w:tcBorders>
              <w:bottom w:val="single" w:color="auto" w:sz="4" w:space="0"/>
            </w:tcBorders>
            <w:vAlign w:val="center"/>
          </w:tcPr>
          <w:p>
            <w:pPr>
              <w:pStyle w:val="132"/>
              <w:rPr>
                <w:szCs w:val="21"/>
              </w:rPr>
            </w:pPr>
            <w:r>
              <w:rPr>
                <w:rFonts w:hint="eastAsia"/>
                <w:szCs w:val="21"/>
              </w:rPr>
              <w:t>pH、镉、汞、砷、铅、铬、铜、镍、锌</w:t>
            </w:r>
          </w:p>
        </w:tc>
        <w:tc>
          <w:tcPr>
            <w:tcW w:w="636" w:type="pct"/>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1次/日，</w:t>
            </w:r>
          </w:p>
          <w:p>
            <w:pPr>
              <w:pStyle w:val="132"/>
              <w:rPr>
                <w:szCs w:val="21"/>
              </w:rPr>
            </w:pPr>
            <w:r>
              <w:rPr>
                <w:szCs w:val="21"/>
              </w:rPr>
              <w:t>检测1日</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8" w:hRule="atLeast"/>
          <w:jc w:val="center"/>
        </w:trPr>
        <w:tc>
          <w:tcPr>
            <w:tcW w:w="499" w:type="pct"/>
            <w:vAlign w:val="center"/>
          </w:tcPr>
          <w:p>
            <w:pPr>
              <w:pStyle w:val="132"/>
              <w:rPr>
                <w:szCs w:val="21"/>
              </w:rPr>
            </w:pPr>
            <w:r>
              <w:rPr>
                <w:rFonts w:hint="eastAsia"/>
                <w:szCs w:val="21"/>
              </w:rPr>
              <w:t>T6</w:t>
            </w:r>
          </w:p>
        </w:tc>
        <w:tc>
          <w:tcPr>
            <w:tcW w:w="1559" w:type="pct"/>
            <w:vAlign w:val="center"/>
          </w:tcPr>
          <w:p>
            <w:pPr>
              <w:pStyle w:val="132"/>
              <w:rPr>
                <w:szCs w:val="21"/>
              </w:rPr>
            </w:pPr>
            <w:r>
              <w:rPr>
                <w:rFonts w:hint="eastAsia"/>
                <w:szCs w:val="21"/>
              </w:rPr>
              <w:t>普陆4井台所在地东北侧150m处</w:t>
            </w:r>
          </w:p>
        </w:tc>
        <w:tc>
          <w:tcPr>
            <w:tcW w:w="741" w:type="pct"/>
            <w:vAlign w:val="center"/>
          </w:tcPr>
          <w:p>
            <w:pPr>
              <w:pStyle w:val="132"/>
              <w:rPr>
                <w:szCs w:val="21"/>
              </w:rPr>
            </w:pPr>
            <w:r>
              <w:rPr>
                <w:szCs w:val="21"/>
              </w:rPr>
              <w:t>农用地</w:t>
            </w:r>
          </w:p>
        </w:tc>
        <w:tc>
          <w:tcPr>
            <w:tcW w:w="1564" w:type="pct"/>
            <w:tcBorders>
              <w:top w:val="single" w:color="auto" w:sz="4" w:space="0"/>
            </w:tcBorders>
            <w:vAlign w:val="center"/>
          </w:tcPr>
          <w:p>
            <w:pPr>
              <w:pStyle w:val="132"/>
              <w:rPr>
                <w:szCs w:val="21"/>
              </w:rPr>
            </w:pPr>
            <w:r>
              <w:rPr>
                <w:rFonts w:hint="eastAsia"/>
                <w:szCs w:val="21"/>
              </w:rPr>
              <w:t>pH、镉、汞、砷、铅、铬、铜、镍、锌</w:t>
            </w:r>
          </w:p>
        </w:tc>
        <w:tc>
          <w:tcPr>
            <w:tcW w:w="636" w:type="pct"/>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1次/日，</w:t>
            </w:r>
          </w:p>
          <w:p>
            <w:pPr>
              <w:pStyle w:val="132"/>
              <w:rPr>
                <w:szCs w:val="21"/>
              </w:rPr>
            </w:pPr>
            <w:r>
              <w:rPr>
                <w:szCs w:val="21"/>
              </w:rPr>
              <w:t>检测1日</w:t>
            </w:r>
          </w:p>
        </w:tc>
      </w:tr>
    </w:tbl>
    <w:p>
      <w:pPr>
        <w:pStyle w:val="112"/>
        <w:ind w:firstLine="482"/>
        <w:rPr>
          <w:b/>
          <w:bCs/>
        </w:rPr>
      </w:pPr>
      <w:r>
        <w:rPr>
          <w:b/>
          <w:bCs/>
        </w:rPr>
        <w:t>（2）评价标准与方法</w:t>
      </w:r>
    </w:p>
    <w:p>
      <w:pPr>
        <w:pStyle w:val="112"/>
        <w:ind w:firstLine="480"/>
      </w:pPr>
      <w:r>
        <w:t>项目站场执行</w:t>
      </w:r>
      <w:bookmarkStart w:id="452" w:name="OLE_LINK211"/>
      <w:bookmarkStart w:id="453" w:name="OLE_LINK212"/>
      <w:r>
        <w:rPr>
          <w:rFonts w:hint="eastAsia"/>
        </w:rPr>
        <w:t>《土壤环境质量 建设用地土壤污染风险管控标准（试行）》（GB 36600-2018）</w:t>
      </w:r>
      <w:bookmarkEnd w:id="452"/>
      <w:bookmarkEnd w:id="453"/>
      <w:r>
        <w:rPr>
          <w:rFonts w:hint="eastAsia"/>
        </w:rPr>
        <w:t>中风险筛选值；</w:t>
      </w:r>
      <w:r>
        <w:t>项目站场周边</w:t>
      </w:r>
      <w:r>
        <w:rPr>
          <w:rFonts w:hint="eastAsia"/>
        </w:rPr>
        <w:t>耕地</w:t>
      </w:r>
      <w:r>
        <w:t>执行</w:t>
      </w:r>
      <w:bookmarkStart w:id="454" w:name="OLE_LINK191"/>
      <w:bookmarkStart w:id="455" w:name="OLE_LINK190"/>
      <w:r>
        <w:t>《土壤环境质量农用地土壤污染风险管控标准（试行）》（GB15618-2018）</w:t>
      </w:r>
      <w:bookmarkEnd w:id="454"/>
      <w:bookmarkEnd w:id="455"/>
      <w:r>
        <w:t>表1中其他标准限值。</w:t>
      </w:r>
    </w:p>
    <w:p>
      <w:pPr>
        <w:pStyle w:val="112"/>
        <w:ind w:firstLine="480"/>
      </w:pPr>
      <w:r>
        <w:t>土壤环境质量现状监测结果统计及评价见表5.7-</w:t>
      </w:r>
      <w:r>
        <w:rPr>
          <w:rFonts w:hint="eastAsia"/>
        </w:rPr>
        <w:t>2</w:t>
      </w:r>
      <w:r>
        <w:t>~5.7-</w:t>
      </w:r>
      <w:r>
        <w:rPr>
          <w:rFonts w:hint="eastAsia"/>
        </w:rPr>
        <w:t>3</w:t>
      </w:r>
      <w:r>
        <w:t>。</w:t>
      </w:r>
    </w:p>
    <w:p>
      <w:pPr>
        <w:pStyle w:val="112"/>
        <w:ind w:firstLine="0" w:firstLineChars="0"/>
        <w:jc w:val="center"/>
      </w:pPr>
      <w:r>
        <w:rPr>
          <w:b/>
          <w:sz w:val="21"/>
          <w:szCs w:val="21"/>
        </w:rPr>
        <w:t>表5.7-</w:t>
      </w:r>
      <w:r>
        <w:rPr>
          <w:rFonts w:hint="eastAsia"/>
          <w:b/>
          <w:sz w:val="21"/>
          <w:szCs w:val="21"/>
        </w:rPr>
        <w:t>2</w:t>
      </w:r>
      <w:r>
        <w:rPr>
          <w:b/>
          <w:sz w:val="21"/>
          <w:szCs w:val="21"/>
        </w:rPr>
        <w:t xml:space="preserve">  土壤环境质量现状监测统计表（</w:t>
      </w:r>
      <w:r>
        <w:rPr>
          <w:rFonts w:hint="eastAsia"/>
          <w:b/>
          <w:sz w:val="21"/>
          <w:szCs w:val="21"/>
        </w:rPr>
        <w:t>T1</w:t>
      </w:r>
      <w:r>
        <w:rPr>
          <w:b/>
          <w:sz w:val="21"/>
          <w:szCs w:val="21"/>
        </w:rPr>
        <w:t>~</w:t>
      </w:r>
      <w:r>
        <w:rPr>
          <w:rFonts w:hint="eastAsia"/>
          <w:b/>
          <w:sz w:val="21"/>
          <w:szCs w:val="21"/>
        </w:rPr>
        <w:t>T4</w:t>
      </w:r>
      <w:r>
        <w:rPr>
          <w:b/>
          <w:sz w:val="21"/>
          <w:szCs w:val="21"/>
        </w:rPr>
        <w:t>）</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2"/>
        <w:gridCol w:w="1988"/>
        <w:gridCol w:w="1302"/>
        <w:gridCol w:w="1047"/>
        <w:gridCol w:w="1303"/>
        <w:gridCol w:w="12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序号</w:t>
            </w:r>
          </w:p>
        </w:tc>
        <w:tc>
          <w:tcPr>
            <w:tcW w:w="1988"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监测项目</w:t>
            </w:r>
          </w:p>
        </w:tc>
        <w:tc>
          <w:tcPr>
            <w:tcW w:w="1302"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单位</w:t>
            </w:r>
          </w:p>
        </w:tc>
        <w:tc>
          <w:tcPr>
            <w:tcW w:w="1047"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标准值</w:t>
            </w:r>
          </w:p>
        </w:tc>
        <w:tc>
          <w:tcPr>
            <w:tcW w:w="1303"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监测结果</w:t>
            </w:r>
          </w:p>
        </w:tc>
        <w:tc>
          <w:tcPr>
            <w:tcW w:w="1270"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bCs/>
                <w:kern w:val="2"/>
                <w:sz w:val="21"/>
                <w:szCs w:val="21"/>
              </w:rPr>
              <w:t>S</w:t>
            </w:r>
            <w:r>
              <w:rPr>
                <w:rFonts w:ascii="Times New Roman" w:cs="Times New Roman"/>
                <w:b/>
                <w:bCs/>
                <w:kern w:val="2"/>
                <w:sz w:val="21"/>
                <w:szCs w:val="21"/>
                <w:vertAlign w:val="subscript"/>
              </w:rPr>
              <w:t>i，j</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镉</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65</w:t>
            </w:r>
          </w:p>
        </w:tc>
        <w:tc>
          <w:tcPr>
            <w:tcW w:w="1303" w:type="dxa"/>
            <w:vAlign w:val="center"/>
          </w:tcPr>
          <w:p>
            <w:pPr>
              <w:pStyle w:val="555"/>
              <w:rPr>
                <w:rFonts w:ascii="Times New Roman" w:hAnsi="Times New Roman"/>
              </w:rPr>
            </w:pPr>
            <w:r>
              <w:rPr>
                <w:rFonts w:ascii="Times New Roman" w:hAnsi="Times New Roman"/>
              </w:rPr>
              <w:t>0.</w:t>
            </w:r>
            <w:r>
              <w:rPr>
                <w:rFonts w:hint="eastAsia" w:ascii="Times New Roman" w:hAnsi="Times New Roman"/>
              </w:rPr>
              <w:t>37</w:t>
            </w:r>
            <w:r>
              <w:rPr>
                <w:rFonts w:ascii="Times New Roman"/>
              </w:rPr>
              <w:t>～</w:t>
            </w:r>
            <w:r>
              <w:rPr>
                <w:rFonts w:hint="eastAsia" w:ascii="Times New Roman" w:hAnsi="Times New Roman"/>
              </w:rPr>
              <w:t>2.81</w:t>
            </w:r>
          </w:p>
        </w:tc>
        <w:tc>
          <w:tcPr>
            <w:tcW w:w="1270" w:type="dxa"/>
            <w:vAlign w:val="center"/>
          </w:tcPr>
          <w:p>
            <w:pPr>
              <w:pStyle w:val="555"/>
              <w:rPr>
                <w:rFonts w:ascii="Times New Roman" w:hAnsi="Times New Roman"/>
              </w:rPr>
            </w:pPr>
            <w:r>
              <w:rPr>
                <w:rFonts w:ascii="Times New Roman" w:hAnsi="Times New Roman"/>
              </w:rPr>
              <w:t>0.00</w:t>
            </w:r>
            <w:r>
              <w:rPr>
                <w:rFonts w:hint="eastAsia" w:ascii="Times New Roman" w:hAnsi="Times New Roman"/>
              </w:rPr>
              <w:t>57</w:t>
            </w:r>
            <w:r>
              <w:rPr>
                <w:rFonts w:ascii="Times New Roman"/>
              </w:rPr>
              <w:t>～</w:t>
            </w:r>
            <w:r>
              <w:rPr>
                <w:rFonts w:ascii="Times New Roman" w:hAnsi="Times New Roman"/>
              </w:rPr>
              <w:t>0.0</w:t>
            </w:r>
            <w:r>
              <w:rPr>
                <w:rFonts w:hint="eastAsia" w:ascii="Times New Roman" w:hAnsi="Times New Roman"/>
              </w:rPr>
              <w:t>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汞</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38</w:t>
            </w:r>
          </w:p>
        </w:tc>
        <w:tc>
          <w:tcPr>
            <w:tcW w:w="1303" w:type="dxa"/>
            <w:vAlign w:val="center"/>
          </w:tcPr>
          <w:p>
            <w:pPr>
              <w:pStyle w:val="555"/>
              <w:rPr>
                <w:rFonts w:ascii="Times New Roman" w:hAnsi="Times New Roman"/>
              </w:rPr>
            </w:pPr>
            <w:r>
              <w:rPr>
                <w:rFonts w:hint="eastAsia" w:ascii="Times New Roman" w:hAnsi="Times New Roman"/>
              </w:rPr>
              <w:t>0.912</w:t>
            </w:r>
            <w:r>
              <w:rPr>
                <w:rFonts w:ascii="Times New Roman"/>
              </w:rPr>
              <w:t>～</w:t>
            </w:r>
            <w:r>
              <w:rPr>
                <w:rFonts w:hint="eastAsia" w:ascii="Times New Roman" w:hAnsi="Times New Roman"/>
              </w:rPr>
              <w:t>2.13</w:t>
            </w:r>
          </w:p>
        </w:tc>
        <w:tc>
          <w:tcPr>
            <w:tcW w:w="1270" w:type="dxa"/>
            <w:vAlign w:val="center"/>
          </w:tcPr>
          <w:p>
            <w:pPr>
              <w:pStyle w:val="555"/>
              <w:rPr>
                <w:rFonts w:ascii="Times New Roman" w:hAnsi="Times New Roman"/>
              </w:rPr>
            </w:pPr>
            <w:r>
              <w:rPr>
                <w:rFonts w:ascii="Times New Roman" w:hAnsi="Times New Roman"/>
              </w:rPr>
              <w:t>0.0</w:t>
            </w:r>
            <w:r>
              <w:rPr>
                <w:rFonts w:hint="eastAsia" w:ascii="Times New Roman" w:hAnsi="Times New Roman"/>
              </w:rPr>
              <w:t>24</w:t>
            </w:r>
            <w:r>
              <w:rPr>
                <w:rFonts w:ascii="Times New Roman"/>
              </w:rPr>
              <w:t>～</w:t>
            </w:r>
            <w:r>
              <w:rPr>
                <w:rFonts w:ascii="Times New Roman" w:hAnsi="Times New Roman"/>
              </w:rPr>
              <w:t>0.0</w:t>
            </w:r>
            <w:r>
              <w:rPr>
                <w:rFonts w:hint="eastAsia" w:ascii="Times New Roman" w:hAnsi="Times New Roman"/>
              </w:rPr>
              <w:t>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砷</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60</w:t>
            </w:r>
          </w:p>
        </w:tc>
        <w:tc>
          <w:tcPr>
            <w:tcW w:w="1303" w:type="dxa"/>
            <w:vAlign w:val="center"/>
          </w:tcPr>
          <w:p>
            <w:pPr>
              <w:pStyle w:val="555"/>
              <w:rPr>
                <w:rFonts w:ascii="Times New Roman" w:hAnsi="Times New Roman"/>
              </w:rPr>
            </w:pPr>
            <w:r>
              <w:rPr>
                <w:rFonts w:hint="eastAsia" w:ascii="Times New Roman" w:hAnsi="Times New Roman"/>
              </w:rPr>
              <w:t>3.88</w:t>
            </w:r>
            <w:r>
              <w:rPr>
                <w:rFonts w:ascii="Times New Roman"/>
              </w:rPr>
              <w:t>～</w:t>
            </w:r>
            <w:r>
              <w:rPr>
                <w:rFonts w:hint="eastAsia" w:ascii="Times New Roman" w:hAnsi="Times New Roman"/>
              </w:rPr>
              <w:t>11.0</w:t>
            </w:r>
          </w:p>
        </w:tc>
        <w:tc>
          <w:tcPr>
            <w:tcW w:w="1270" w:type="dxa"/>
            <w:vAlign w:val="center"/>
          </w:tcPr>
          <w:p>
            <w:pPr>
              <w:pStyle w:val="555"/>
              <w:rPr>
                <w:rFonts w:ascii="Times New Roman" w:hAnsi="Times New Roman"/>
              </w:rPr>
            </w:pPr>
            <w:r>
              <w:rPr>
                <w:rFonts w:ascii="Times New Roman" w:hAnsi="Times New Roman"/>
              </w:rPr>
              <w:t>0.</w:t>
            </w:r>
            <w:r>
              <w:rPr>
                <w:rFonts w:hint="eastAsia" w:ascii="Times New Roman" w:hAnsi="Times New Roman"/>
              </w:rPr>
              <w:t>065</w:t>
            </w:r>
            <w:r>
              <w:rPr>
                <w:rFonts w:ascii="Times New Roman"/>
              </w:rPr>
              <w:t>～</w:t>
            </w:r>
            <w:r>
              <w:rPr>
                <w:rFonts w:ascii="Times New Roman" w:hAnsi="Times New Roman"/>
              </w:rPr>
              <w:t>0.</w:t>
            </w:r>
            <w:r>
              <w:rPr>
                <w:rFonts w:hint="eastAsia" w:ascii="Times New Roman" w:hAnsi="Times New Roman"/>
              </w:rPr>
              <w:t>183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铜</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18000</w:t>
            </w:r>
          </w:p>
        </w:tc>
        <w:tc>
          <w:tcPr>
            <w:tcW w:w="1303" w:type="dxa"/>
            <w:vAlign w:val="center"/>
          </w:tcPr>
          <w:p>
            <w:pPr>
              <w:pStyle w:val="555"/>
              <w:rPr>
                <w:rFonts w:ascii="Times New Roman" w:hAnsi="Times New Roman"/>
              </w:rPr>
            </w:pPr>
            <w:r>
              <w:rPr>
                <w:rFonts w:hint="eastAsia" w:ascii="Times New Roman" w:hAnsi="Times New Roman"/>
              </w:rPr>
              <w:t>9</w:t>
            </w:r>
            <w:r>
              <w:rPr>
                <w:rFonts w:ascii="Times New Roman"/>
              </w:rPr>
              <w:t>～</w:t>
            </w:r>
            <w:r>
              <w:rPr>
                <w:rFonts w:hint="eastAsia" w:ascii="Times New Roman"/>
              </w:rPr>
              <w:t>20</w:t>
            </w:r>
          </w:p>
        </w:tc>
        <w:tc>
          <w:tcPr>
            <w:tcW w:w="1270" w:type="dxa"/>
            <w:vAlign w:val="center"/>
          </w:tcPr>
          <w:p>
            <w:pPr>
              <w:pStyle w:val="555"/>
              <w:rPr>
                <w:rFonts w:ascii="Times New Roman" w:hAnsi="Times New Roman"/>
              </w:rPr>
            </w:pPr>
            <w:r>
              <w:rPr>
                <w:rFonts w:ascii="Times New Roman" w:hAnsi="Times New Roman"/>
              </w:rPr>
              <w:t>0.000</w:t>
            </w:r>
            <w:r>
              <w:rPr>
                <w:rFonts w:hint="eastAsia" w:ascii="Times New Roman" w:hAnsi="Times New Roman"/>
              </w:rPr>
              <w:t>5</w:t>
            </w:r>
            <w:r>
              <w:rPr>
                <w:rFonts w:ascii="Times New Roman"/>
              </w:rPr>
              <w:t>～</w:t>
            </w:r>
            <w:r>
              <w:rPr>
                <w:rFonts w:hint="eastAsia" w:ascii="Times New Roman"/>
              </w:rPr>
              <w:t>0.0011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铅</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800</w:t>
            </w:r>
          </w:p>
        </w:tc>
        <w:tc>
          <w:tcPr>
            <w:tcW w:w="1303" w:type="dxa"/>
            <w:vAlign w:val="center"/>
          </w:tcPr>
          <w:p>
            <w:pPr>
              <w:pStyle w:val="555"/>
              <w:rPr>
                <w:rFonts w:ascii="Times New Roman" w:hAnsi="Times New Roman"/>
              </w:rPr>
            </w:pPr>
            <w:r>
              <w:rPr>
                <w:rFonts w:hint="eastAsia" w:ascii="Times New Roman" w:hAnsi="Times New Roman"/>
              </w:rPr>
              <w:t>40</w:t>
            </w:r>
            <w:r>
              <w:rPr>
                <w:rFonts w:ascii="Times New Roman"/>
              </w:rPr>
              <w:t>～</w:t>
            </w:r>
            <w:r>
              <w:rPr>
                <w:rFonts w:hint="eastAsia" w:ascii="Times New Roman" w:hAnsi="Times New Roman"/>
              </w:rPr>
              <w:t>75</w:t>
            </w:r>
          </w:p>
        </w:tc>
        <w:tc>
          <w:tcPr>
            <w:tcW w:w="1270" w:type="dxa"/>
            <w:vAlign w:val="center"/>
          </w:tcPr>
          <w:p>
            <w:pPr>
              <w:pStyle w:val="555"/>
              <w:rPr>
                <w:rFonts w:ascii="Times New Roman" w:hAnsi="Times New Roman"/>
              </w:rPr>
            </w:pPr>
            <w:r>
              <w:rPr>
                <w:rFonts w:ascii="Times New Roman" w:hAnsi="Times New Roman"/>
              </w:rPr>
              <w:t>0.0</w:t>
            </w:r>
            <w:r>
              <w:rPr>
                <w:rFonts w:hint="eastAsia" w:ascii="Times New Roman" w:hAnsi="Times New Roman"/>
              </w:rPr>
              <w:t>5</w:t>
            </w:r>
            <w:r>
              <w:rPr>
                <w:rFonts w:ascii="Times New Roman"/>
              </w:rPr>
              <w:t>～</w:t>
            </w:r>
            <w:r>
              <w:rPr>
                <w:rFonts w:ascii="Times New Roman" w:hAnsi="Times New Roman"/>
              </w:rPr>
              <w:t>0.0</w:t>
            </w:r>
            <w:r>
              <w:rPr>
                <w:rFonts w:hint="eastAsia" w:ascii="Times New Roman" w:hAnsi="Times New Roman"/>
              </w:rPr>
              <w:t>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6</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铬（六价）</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5.7</w:t>
            </w:r>
          </w:p>
        </w:tc>
        <w:tc>
          <w:tcPr>
            <w:tcW w:w="1303" w:type="dxa"/>
            <w:vAlign w:val="center"/>
          </w:tcPr>
          <w:p>
            <w:pPr>
              <w:pStyle w:val="555"/>
              <w:rPr>
                <w:rFonts w:ascii="Times New Roman" w:hAnsi="Times New Roman"/>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7</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镍</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900</w:t>
            </w:r>
          </w:p>
        </w:tc>
        <w:tc>
          <w:tcPr>
            <w:tcW w:w="1303" w:type="dxa"/>
            <w:vAlign w:val="center"/>
          </w:tcPr>
          <w:p>
            <w:pPr>
              <w:pStyle w:val="555"/>
              <w:rPr>
                <w:rFonts w:ascii="Times New Roman" w:hAnsi="Times New Roman"/>
              </w:rPr>
            </w:pPr>
            <w:r>
              <w:rPr>
                <w:rFonts w:hint="eastAsia" w:ascii="Times New Roman" w:hAnsi="Times New Roman"/>
              </w:rPr>
              <w:t>15</w:t>
            </w:r>
            <w:r>
              <w:rPr>
                <w:rFonts w:ascii="Times New Roman"/>
              </w:rPr>
              <w:t>～</w:t>
            </w:r>
            <w:r>
              <w:rPr>
                <w:rFonts w:hint="eastAsia" w:ascii="Times New Roman" w:hAnsi="Times New Roman"/>
              </w:rPr>
              <w:t>41</w:t>
            </w:r>
          </w:p>
        </w:tc>
        <w:tc>
          <w:tcPr>
            <w:tcW w:w="1270" w:type="dxa"/>
            <w:vAlign w:val="center"/>
          </w:tcPr>
          <w:p>
            <w:pPr>
              <w:pStyle w:val="555"/>
              <w:rPr>
                <w:rFonts w:ascii="Times New Roman" w:hAnsi="Times New Roman"/>
              </w:rPr>
            </w:pPr>
            <w:r>
              <w:rPr>
                <w:rFonts w:hint="eastAsia" w:ascii="Times New Roman" w:hAnsi="Times New Roman"/>
              </w:rPr>
              <w:t>0.017</w:t>
            </w:r>
            <w:r>
              <w:rPr>
                <w:rFonts w:ascii="Times New Roman"/>
              </w:rPr>
              <w:t>～</w:t>
            </w:r>
            <w:r>
              <w:rPr>
                <w:rFonts w:hint="eastAsia" w:ascii="Times New Roman"/>
              </w:rPr>
              <w:t>0.046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总石油烃</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4500</w:t>
            </w:r>
          </w:p>
        </w:tc>
        <w:tc>
          <w:tcPr>
            <w:tcW w:w="1303" w:type="dxa"/>
            <w:vAlign w:val="center"/>
          </w:tcPr>
          <w:p>
            <w:pPr>
              <w:pStyle w:val="555"/>
              <w:rPr>
                <w:rFonts w:ascii="Times New Roman" w:hAnsi="Times New Roman"/>
              </w:rPr>
            </w:pPr>
            <w:r>
              <w:rPr>
                <w:rFonts w:hint="eastAsia" w:ascii="Times New Roman"/>
              </w:rPr>
              <w:t>29</w:t>
            </w:r>
            <w:r>
              <w:rPr>
                <w:rFonts w:ascii="Times New Roman"/>
              </w:rPr>
              <w:t>～</w:t>
            </w:r>
            <w:r>
              <w:rPr>
                <w:rFonts w:hint="eastAsia" w:ascii="Times New Roman"/>
              </w:rPr>
              <w:t>103</w:t>
            </w:r>
          </w:p>
        </w:tc>
        <w:tc>
          <w:tcPr>
            <w:tcW w:w="1270" w:type="dxa"/>
            <w:vAlign w:val="center"/>
          </w:tcPr>
          <w:p>
            <w:pPr>
              <w:pStyle w:val="555"/>
              <w:rPr>
                <w:rFonts w:ascii="Times New Roman" w:hAnsi="Times New Roman"/>
              </w:rPr>
            </w:pPr>
            <w:r>
              <w:rPr>
                <w:rFonts w:hint="eastAsia" w:ascii="Times New Roman"/>
              </w:rPr>
              <w:t>0.0064</w:t>
            </w:r>
            <w:r>
              <w:rPr>
                <w:rFonts w:ascii="Times New Roman"/>
              </w:rPr>
              <w:t>～</w:t>
            </w:r>
            <w:r>
              <w:rPr>
                <w:rFonts w:hint="eastAsia" w:ascii="Times New Roman"/>
              </w:rPr>
              <w:t>0.0229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9</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苯</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10</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甲苯</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1200</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11</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乙苯</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28</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12</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间，对-二甲苯</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570</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13</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苯乙烯</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1290</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14</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邻-二甲苯</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640</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15</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1，2-二氯丙烷</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16</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氯乙烯</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0.43</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17</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1，1-二氯乙烯</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66</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18</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二氯甲烷</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616</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19</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反式1，2-二氯乙烯</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54</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20</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1，1-二氯乙烷</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9</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21</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顺式1，2-二氯乙烯</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596</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22</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1，1，1-三氯乙烷</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840</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23</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四氯化碳</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2.8</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24</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1，2-二氯乙烷</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25</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三氯乙烯</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2.8</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26</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1，1，2-三氯乙烷</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2.8</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27</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四氯乙烯</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53</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28</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1，1，1，2-四氯乙烷</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10</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29</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1，1，2，2-四氯乙烷</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6.8</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30</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1，2，3-三氯丙烷</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0.5</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31</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氯苯</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270</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32</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1，4-二氯苯</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20</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33</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1，2-二氯苯</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560</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34</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氯仿</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0.9</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35</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氯甲烷</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37</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36</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2-氯酚</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2256</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37</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苯并[a]蒽</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15</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38</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bCs/>
                <w:kern w:val="2"/>
                <w:sz w:val="21"/>
                <w:szCs w:val="21"/>
              </w:rPr>
              <w:t>䓛</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1.5</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39</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苯并[b]荧蒽</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15</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40</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苯并[k]荧蒽</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151</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41</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苯并[a] 芘</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1.5</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42</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茚并[1，2，3-cd] 芘</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15</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43</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二苯并[a，h]蒽</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1.5</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44</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硝基苯</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76</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45</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苯胺</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260</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61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46</w:t>
            </w:r>
          </w:p>
        </w:tc>
        <w:tc>
          <w:tcPr>
            <w:tcW w:w="198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萘</w:t>
            </w:r>
          </w:p>
        </w:tc>
        <w:tc>
          <w:tcPr>
            <w:tcW w:w="130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70</w:t>
            </w:r>
          </w:p>
        </w:tc>
        <w:tc>
          <w:tcPr>
            <w:tcW w:w="1303" w:type="dxa"/>
            <w:vAlign w:val="center"/>
          </w:tcPr>
          <w:p>
            <w:pPr>
              <w:pStyle w:val="555"/>
              <w:rPr>
                <w:rFonts w:ascii="Times New Roman" w:hAnsi="Times New Roman"/>
                <w:kern w:val="0"/>
              </w:rPr>
            </w:pPr>
            <w:r>
              <w:rPr>
                <w:rFonts w:hint="eastAsia" w:ascii="Times New Roman"/>
              </w:rPr>
              <w:t>未检出</w:t>
            </w:r>
          </w:p>
        </w:tc>
        <w:tc>
          <w:tcPr>
            <w:tcW w:w="1270" w:type="dxa"/>
            <w:vAlign w:val="center"/>
          </w:tcPr>
          <w:p>
            <w:pPr>
              <w:pStyle w:val="555"/>
              <w:rPr>
                <w:rFonts w:ascii="Times New Roman" w:hAnsi="Times New Roman"/>
              </w:rPr>
            </w:pPr>
            <w:r>
              <w:rPr>
                <w:rFonts w:ascii="Times New Roman" w:hAnsi="Times New Roman"/>
              </w:rPr>
              <w:t>/</w:t>
            </w:r>
          </w:p>
        </w:tc>
      </w:tr>
    </w:tbl>
    <w:p>
      <w:pPr>
        <w:pStyle w:val="37"/>
        <w:ind w:firstLine="480"/>
        <w:rPr>
          <w:rFonts w:cs="Times New Roman"/>
        </w:rPr>
      </w:pPr>
      <w:r>
        <w:rPr>
          <w:rFonts w:cs="Times New Roman"/>
        </w:rPr>
        <w:t>表5.7-</w:t>
      </w:r>
      <w:r>
        <w:rPr>
          <w:rFonts w:hint="eastAsia" w:cs="Times New Roman"/>
        </w:rPr>
        <w:t>3</w:t>
      </w:r>
      <w:r>
        <w:rPr>
          <w:rFonts w:cs="Times New Roman"/>
        </w:rPr>
        <w:t xml:space="preserve">  </w:t>
      </w:r>
      <w:r>
        <w:rPr>
          <w:rFonts w:hint="eastAsia" w:cs="Times New Roman"/>
        </w:rPr>
        <w:t>土壤环境质量</w:t>
      </w:r>
      <w:r>
        <w:rPr>
          <w:rFonts w:cs="Times New Roman"/>
        </w:rPr>
        <w:t>现状监测统计表</w:t>
      </w:r>
      <w:r>
        <w:rPr>
          <w:rFonts w:hint="eastAsia" w:cs="Times New Roman"/>
        </w:rPr>
        <w:t>（T5~T6）</w:t>
      </w:r>
      <w:r>
        <w:rPr>
          <w:rFonts w:cs="Times New Roman"/>
        </w:rPr>
        <w:t xml:space="preserve">  单位：mg/kg</w:t>
      </w:r>
    </w:p>
    <w:tbl>
      <w:tblPr>
        <w:tblStyle w:val="57"/>
        <w:tblW w:w="520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1410"/>
        <w:gridCol w:w="1694"/>
        <w:gridCol w:w="1779"/>
        <w:gridCol w:w="1478"/>
        <w:gridCol w:w="1147"/>
        <w:gridCol w:w="1144"/>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8" w:hRule="atLeast"/>
          <w:tblHeader/>
          <w:jc w:val="center"/>
        </w:trPr>
        <w:tc>
          <w:tcPr>
            <w:tcW w:w="1794" w:type="pct"/>
            <w:gridSpan w:val="2"/>
            <w:tcBorders>
              <w:top w:val="single" w:color="000000" w:sz="12" w:space="0"/>
              <w:bottom w:val="single" w:color="000000" w:sz="2" w:space="0"/>
              <w:tl2br w:val="single" w:color="000000" w:sz="2" w:space="0"/>
            </w:tcBorders>
            <w:vAlign w:val="center"/>
          </w:tcPr>
          <w:p>
            <w:pPr>
              <w:pStyle w:val="132"/>
              <w:jc w:val="right"/>
              <w:rPr>
                <w:b/>
                <w:bCs/>
                <w:szCs w:val="21"/>
              </w:rPr>
            </w:pPr>
            <w:r>
              <w:rPr>
                <w:b/>
                <w:bCs/>
                <w:szCs w:val="21"/>
              </w:rPr>
              <w:t>监测</w:t>
            </w:r>
            <w:r>
              <w:rPr>
                <w:rFonts w:hint="eastAsia"/>
                <w:b/>
                <w:bCs/>
                <w:szCs w:val="21"/>
              </w:rPr>
              <w:t>结果</w:t>
            </w:r>
          </w:p>
          <w:p>
            <w:pPr>
              <w:pStyle w:val="132"/>
              <w:jc w:val="left"/>
              <w:rPr>
                <w:b/>
                <w:bCs/>
                <w:szCs w:val="21"/>
              </w:rPr>
            </w:pPr>
            <w:r>
              <w:rPr>
                <w:b/>
                <w:bCs/>
                <w:szCs w:val="21"/>
              </w:rPr>
              <w:t>监测项目</w:t>
            </w:r>
          </w:p>
        </w:tc>
        <w:tc>
          <w:tcPr>
            <w:tcW w:w="1028" w:type="pct"/>
            <w:tcBorders>
              <w:top w:val="single" w:color="000000" w:sz="12" w:space="0"/>
              <w:bottom w:val="single" w:color="000000" w:sz="2" w:space="0"/>
            </w:tcBorders>
            <w:vAlign w:val="center"/>
          </w:tcPr>
          <w:p>
            <w:pPr>
              <w:pStyle w:val="132"/>
              <w:rPr>
                <w:b/>
                <w:bCs/>
                <w:szCs w:val="21"/>
              </w:rPr>
            </w:pPr>
            <w:r>
              <w:rPr>
                <w:b/>
                <w:bCs/>
                <w:szCs w:val="21"/>
              </w:rPr>
              <w:t>单位</w:t>
            </w:r>
          </w:p>
        </w:tc>
        <w:tc>
          <w:tcPr>
            <w:tcW w:w="854" w:type="pct"/>
            <w:tcBorders>
              <w:top w:val="single" w:color="000000" w:sz="12" w:space="0"/>
              <w:bottom w:val="single" w:color="000000" w:sz="2" w:space="0"/>
            </w:tcBorders>
            <w:vAlign w:val="center"/>
          </w:tcPr>
          <w:p>
            <w:pPr>
              <w:pStyle w:val="132"/>
              <w:rPr>
                <w:b/>
                <w:bCs/>
                <w:szCs w:val="21"/>
              </w:rPr>
            </w:pPr>
            <w:r>
              <w:rPr>
                <w:b/>
                <w:bCs/>
                <w:szCs w:val="21"/>
              </w:rPr>
              <w:t>监测结果</w:t>
            </w:r>
            <w:r>
              <w:rPr>
                <w:rFonts w:hint="eastAsia"/>
                <w:b/>
                <w:bCs/>
                <w:szCs w:val="21"/>
              </w:rPr>
              <w:t>（</w:t>
            </w:r>
            <w:r>
              <w:rPr>
                <w:b/>
                <w:bCs/>
                <w:szCs w:val="21"/>
              </w:rPr>
              <w:t>pH</w:t>
            </w:r>
            <w:r>
              <w:rPr>
                <w:rFonts w:hint="eastAsia"/>
                <w:b/>
                <w:bCs/>
                <w:szCs w:val="21"/>
              </w:rPr>
              <w:t>＞</w:t>
            </w:r>
            <w:r>
              <w:rPr>
                <w:b/>
                <w:bCs/>
                <w:szCs w:val="21"/>
              </w:rPr>
              <w:t>7.5</w:t>
            </w:r>
            <w:r>
              <w:rPr>
                <w:rFonts w:hint="eastAsia"/>
                <w:b/>
                <w:bCs/>
                <w:szCs w:val="21"/>
              </w:rPr>
              <w:t>）</w:t>
            </w:r>
          </w:p>
        </w:tc>
        <w:tc>
          <w:tcPr>
            <w:tcW w:w="663" w:type="pct"/>
            <w:tcBorders>
              <w:top w:val="single" w:color="000000" w:sz="12" w:space="0"/>
              <w:bottom w:val="single" w:color="000000" w:sz="2" w:space="0"/>
            </w:tcBorders>
            <w:vAlign w:val="center"/>
          </w:tcPr>
          <w:p>
            <w:pPr>
              <w:pStyle w:val="132"/>
              <w:rPr>
                <w:b/>
                <w:bCs/>
                <w:szCs w:val="21"/>
              </w:rPr>
            </w:pPr>
            <w:r>
              <w:rPr>
                <w:b/>
                <w:bCs/>
                <w:szCs w:val="21"/>
              </w:rPr>
              <w:t>标准值</w:t>
            </w:r>
          </w:p>
        </w:tc>
        <w:tc>
          <w:tcPr>
            <w:tcW w:w="661" w:type="pct"/>
            <w:tcBorders>
              <w:top w:val="single" w:color="000000" w:sz="12" w:space="0"/>
              <w:bottom w:val="single" w:color="000000" w:sz="2" w:space="0"/>
            </w:tcBorders>
            <w:vAlign w:val="center"/>
          </w:tcPr>
          <w:p>
            <w:pPr>
              <w:pStyle w:val="132"/>
              <w:rPr>
                <w:b/>
                <w:bCs/>
                <w:szCs w:val="21"/>
              </w:rPr>
            </w:pPr>
            <w:r>
              <w:rPr>
                <w:b/>
                <w:bCs/>
                <w:szCs w:val="21"/>
              </w:rPr>
              <w:t>S</w:t>
            </w:r>
            <w:r>
              <w:rPr>
                <w:b/>
                <w:bCs/>
                <w:szCs w:val="21"/>
                <w:vertAlign w:val="subscript"/>
              </w:rPr>
              <w:t>i</w:t>
            </w:r>
            <w:r>
              <w:rPr>
                <w:rFonts w:hint="eastAsia"/>
                <w:b/>
                <w:bCs/>
                <w:szCs w:val="21"/>
                <w:vertAlign w:val="subscript"/>
              </w:rPr>
              <w:t>，</w:t>
            </w:r>
            <w:r>
              <w:rPr>
                <w:b/>
                <w:bCs/>
                <w:szCs w:val="21"/>
                <w:vertAlign w:val="subscript"/>
              </w:rPr>
              <w:t>j</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9" w:hRule="atLeast"/>
          <w:jc w:val="center"/>
        </w:trPr>
        <w:tc>
          <w:tcPr>
            <w:tcW w:w="815" w:type="pct"/>
            <w:tcBorders>
              <w:top w:val="single" w:color="000000" w:sz="2" w:space="0"/>
              <w:bottom w:val="single" w:color="000000" w:sz="2" w:space="0"/>
            </w:tcBorders>
            <w:vAlign w:val="center"/>
          </w:tcPr>
          <w:p>
            <w:pPr>
              <w:pStyle w:val="132"/>
              <w:rPr>
                <w:szCs w:val="21"/>
              </w:rPr>
            </w:pPr>
            <w:r>
              <w:rPr>
                <w:szCs w:val="21"/>
              </w:rPr>
              <w:t>1</w:t>
            </w:r>
          </w:p>
        </w:tc>
        <w:tc>
          <w:tcPr>
            <w:tcW w:w="979" w:type="pct"/>
            <w:tcBorders>
              <w:top w:val="single" w:color="000000" w:sz="2" w:space="0"/>
              <w:bottom w:val="single" w:color="000000" w:sz="2" w:space="0"/>
            </w:tcBorders>
            <w:vAlign w:val="center"/>
          </w:tcPr>
          <w:p>
            <w:pPr>
              <w:pStyle w:val="132"/>
              <w:rPr>
                <w:szCs w:val="21"/>
              </w:rPr>
            </w:pPr>
            <w:r>
              <w:rPr>
                <w:szCs w:val="21"/>
              </w:rPr>
              <w:t>pH</w:t>
            </w:r>
          </w:p>
        </w:tc>
        <w:tc>
          <w:tcPr>
            <w:tcW w:w="1028" w:type="pct"/>
            <w:tcBorders>
              <w:top w:val="single" w:color="000000" w:sz="2" w:space="0"/>
              <w:bottom w:val="single" w:color="000000" w:sz="2" w:space="0"/>
            </w:tcBorders>
            <w:vAlign w:val="center"/>
          </w:tcPr>
          <w:p>
            <w:pPr>
              <w:pStyle w:val="119"/>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kern w:val="2"/>
                <w:sz w:val="21"/>
                <w:szCs w:val="21"/>
                <w:shd w:val="clear" w:color="auto" w:fill="FFFFFF"/>
              </w:rPr>
              <w:t>无量纲</w:t>
            </w:r>
          </w:p>
        </w:tc>
        <w:tc>
          <w:tcPr>
            <w:tcW w:w="854" w:type="pct"/>
            <w:tcBorders>
              <w:top w:val="single" w:color="000000" w:sz="2" w:space="0"/>
              <w:bottom w:val="single" w:color="000000" w:sz="2" w:space="0"/>
            </w:tcBorders>
            <w:vAlign w:val="center"/>
          </w:tcPr>
          <w:p>
            <w:pPr>
              <w:pStyle w:val="132"/>
              <w:rPr>
                <w:szCs w:val="21"/>
              </w:rPr>
            </w:pPr>
            <w:r>
              <w:rPr>
                <w:rFonts w:hint="eastAsia"/>
                <w:szCs w:val="21"/>
              </w:rPr>
              <w:t>7.76~8.01</w:t>
            </w:r>
          </w:p>
        </w:tc>
        <w:tc>
          <w:tcPr>
            <w:tcW w:w="663" w:type="pct"/>
            <w:tcBorders>
              <w:top w:val="single" w:color="000000" w:sz="2" w:space="0"/>
              <w:bottom w:val="single" w:color="000000" w:sz="2" w:space="0"/>
            </w:tcBorders>
            <w:vAlign w:val="center"/>
          </w:tcPr>
          <w:p>
            <w:pPr>
              <w:pStyle w:val="132"/>
              <w:rPr>
                <w:szCs w:val="21"/>
              </w:rPr>
            </w:pPr>
            <w:r>
              <w:rPr>
                <w:rFonts w:hint="eastAsia"/>
                <w:bCs/>
                <w:szCs w:val="21"/>
              </w:rPr>
              <w:t>pH＞7.5</w:t>
            </w:r>
          </w:p>
        </w:tc>
        <w:tc>
          <w:tcPr>
            <w:tcW w:w="661" w:type="pct"/>
            <w:tcBorders>
              <w:top w:val="single" w:color="000000" w:sz="2" w:space="0"/>
              <w:bottom w:val="single" w:color="000000" w:sz="2" w:space="0"/>
            </w:tcBorders>
            <w:vAlign w:val="center"/>
          </w:tcPr>
          <w:p>
            <w:pPr>
              <w:pStyle w:val="132"/>
              <w:rPr>
                <w:szCs w:val="21"/>
              </w:rPr>
            </w:pPr>
            <w:r>
              <w:rPr>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9" w:hRule="atLeast"/>
          <w:jc w:val="center"/>
        </w:trPr>
        <w:tc>
          <w:tcPr>
            <w:tcW w:w="815" w:type="pct"/>
            <w:tcBorders>
              <w:top w:val="single" w:color="000000" w:sz="2" w:space="0"/>
              <w:bottom w:val="single" w:color="000000" w:sz="2" w:space="0"/>
            </w:tcBorders>
            <w:vAlign w:val="center"/>
          </w:tcPr>
          <w:p>
            <w:pPr>
              <w:pStyle w:val="132"/>
              <w:rPr>
                <w:szCs w:val="21"/>
              </w:rPr>
            </w:pPr>
            <w:r>
              <w:rPr>
                <w:szCs w:val="21"/>
              </w:rPr>
              <w:t>2</w:t>
            </w:r>
          </w:p>
        </w:tc>
        <w:tc>
          <w:tcPr>
            <w:tcW w:w="979" w:type="pct"/>
            <w:tcBorders>
              <w:top w:val="single" w:color="000000" w:sz="2" w:space="0"/>
              <w:bottom w:val="single" w:color="000000" w:sz="2" w:space="0"/>
            </w:tcBorders>
            <w:vAlign w:val="center"/>
          </w:tcPr>
          <w:p>
            <w:pPr>
              <w:pStyle w:val="132"/>
              <w:rPr>
                <w:szCs w:val="21"/>
              </w:rPr>
            </w:pPr>
            <w:r>
              <w:rPr>
                <w:szCs w:val="21"/>
              </w:rPr>
              <w:t>镉</w:t>
            </w:r>
          </w:p>
        </w:tc>
        <w:tc>
          <w:tcPr>
            <w:tcW w:w="1028" w:type="pct"/>
            <w:tcBorders>
              <w:top w:val="single" w:color="000000" w:sz="2" w:space="0"/>
              <w:bottom w:val="single" w:color="000000" w:sz="2" w:space="0"/>
            </w:tcBorders>
          </w:tcPr>
          <w:p>
            <w:pPr>
              <w:pStyle w:val="119"/>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mg/kg</w:t>
            </w:r>
          </w:p>
        </w:tc>
        <w:tc>
          <w:tcPr>
            <w:tcW w:w="854" w:type="pct"/>
            <w:tcBorders>
              <w:top w:val="single" w:color="000000" w:sz="2" w:space="0"/>
              <w:bottom w:val="single" w:color="000000" w:sz="2" w:space="0"/>
            </w:tcBorders>
            <w:vAlign w:val="center"/>
          </w:tcPr>
          <w:p>
            <w:pPr>
              <w:pStyle w:val="132"/>
              <w:rPr>
                <w:rFonts w:eastAsia="仿宋"/>
                <w:szCs w:val="21"/>
              </w:rPr>
            </w:pPr>
            <w:r>
              <w:rPr>
                <w:rFonts w:hint="eastAsia" w:eastAsia="仿宋"/>
                <w:bCs/>
                <w:szCs w:val="21"/>
              </w:rPr>
              <w:t>0.35</w:t>
            </w:r>
            <w:r>
              <w:rPr>
                <w:rFonts w:hint="eastAsia"/>
                <w:szCs w:val="21"/>
              </w:rPr>
              <w:t>~</w:t>
            </w:r>
            <w:r>
              <w:rPr>
                <w:rFonts w:hint="eastAsia" w:eastAsia="仿宋"/>
                <w:bCs/>
                <w:szCs w:val="21"/>
              </w:rPr>
              <w:t>0.52</w:t>
            </w:r>
          </w:p>
        </w:tc>
        <w:tc>
          <w:tcPr>
            <w:tcW w:w="663" w:type="pct"/>
            <w:tcBorders>
              <w:top w:val="single" w:color="000000" w:sz="2" w:space="0"/>
              <w:bottom w:val="single" w:color="000000" w:sz="2" w:space="0"/>
            </w:tcBorders>
            <w:vAlign w:val="center"/>
          </w:tcPr>
          <w:p>
            <w:pPr>
              <w:pStyle w:val="132"/>
              <w:rPr>
                <w:szCs w:val="21"/>
              </w:rPr>
            </w:pPr>
            <w:r>
              <w:rPr>
                <w:szCs w:val="21"/>
              </w:rPr>
              <w:t>0.</w:t>
            </w:r>
            <w:r>
              <w:rPr>
                <w:rFonts w:hint="eastAsia"/>
                <w:szCs w:val="21"/>
              </w:rPr>
              <w:t>6</w:t>
            </w:r>
          </w:p>
        </w:tc>
        <w:tc>
          <w:tcPr>
            <w:tcW w:w="661" w:type="pct"/>
            <w:tcBorders>
              <w:top w:val="single" w:color="000000" w:sz="2" w:space="0"/>
              <w:bottom w:val="single" w:color="000000" w:sz="2" w:space="0"/>
            </w:tcBorders>
            <w:vAlign w:val="center"/>
          </w:tcPr>
          <w:p>
            <w:pPr>
              <w:pStyle w:val="132"/>
              <w:rPr>
                <w:szCs w:val="21"/>
              </w:rPr>
            </w:pPr>
            <w:r>
              <w:rPr>
                <w:rFonts w:hint="eastAsia"/>
                <w:szCs w:val="21"/>
              </w:rPr>
              <w:t>0.58~0.87</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9" w:hRule="atLeast"/>
          <w:jc w:val="center"/>
        </w:trPr>
        <w:tc>
          <w:tcPr>
            <w:tcW w:w="815" w:type="pct"/>
            <w:tcBorders>
              <w:top w:val="single" w:color="000000" w:sz="2" w:space="0"/>
              <w:bottom w:val="single" w:color="000000" w:sz="2" w:space="0"/>
            </w:tcBorders>
            <w:vAlign w:val="center"/>
          </w:tcPr>
          <w:p>
            <w:pPr>
              <w:pStyle w:val="132"/>
              <w:rPr>
                <w:szCs w:val="21"/>
              </w:rPr>
            </w:pPr>
            <w:r>
              <w:rPr>
                <w:szCs w:val="21"/>
              </w:rPr>
              <w:t>3</w:t>
            </w:r>
          </w:p>
        </w:tc>
        <w:tc>
          <w:tcPr>
            <w:tcW w:w="979" w:type="pct"/>
            <w:tcBorders>
              <w:top w:val="single" w:color="000000" w:sz="2" w:space="0"/>
              <w:bottom w:val="single" w:color="000000" w:sz="2" w:space="0"/>
            </w:tcBorders>
            <w:vAlign w:val="center"/>
          </w:tcPr>
          <w:p>
            <w:pPr>
              <w:pStyle w:val="132"/>
              <w:rPr>
                <w:szCs w:val="21"/>
              </w:rPr>
            </w:pPr>
            <w:r>
              <w:rPr>
                <w:szCs w:val="21"/>
              </w:rPr>
              <w:t>汞</w:t>
            </w:r>
          </w:p>
        </w:tc>
        <w:tc>
          <w:tcPr>
            <w:tcW w:w="1028" w:type="pct"/>
            <w:tcBorders>
              <w:top w:val="single" w:color="000000" w:sz="2" w:space="0"/>
              <w:bottom w:val="single" w:color="000000" w:sz="2" w:space="0"/>
            </w:tcBorders>
          </w:tcPr>
          <w:p>
            <w:pPr>
              <w:pStyle w:val="119"/>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mg/kg</w:t>
            </w:r>
          </w:p>
        </w:tc>
        <w:tc>
          <w:tcPr>
            <w:tcW w:w="854" w:type="pct"/>
            <w:tcBorders>
              <w:top w:val="single" w:color="000000" w:sz="2" w:space="0"/>
              <w:bottom w:val="single" w:color="000000" w:sz="2" w:space="0"/>
            </w:tcBorders>
            <w:vAlign w:val="center"/>
          </w:tcPr>
          <w:p>
            <w:pPr>
              <w:pStyle w:val="132"/>
              <w:rPr>
                <w:rFonts w:eastAsia="仿宋"/>
                <w:szCs w:val="21"/>
              </w:rPr>
            </w:pPr>
            <w:r>
              <w:rPr>
                <w:rFonts w:hint="eastAsia" w:eastAsia="仿宋"/>
                <w:bCs/>
                <w:szCs w:val="21"/>
              </w:rPr>
              <w:t>1.16</w:t>
            </w:r>
            <w:r>
              <w:rPr>
                <w:rFonts w:hint="eastAsia"/>
                <w:szCs w:val="21"/>
              </w:rPr>
              <w:t>~</w:t>
            </w:r>
            <w:r>
              <w:rPr>
                <w:rFonts w:hint="eastAsia" w:eastAsia="仿宋"/>
                <w:bCs/>
                <w:szCs w:val="21"/>
              </w:rPr>
              <w:t>1.79</w:t>
            </w:r>
          </w:p>
        </w:tc>
        <w:tc>
          <w:tcPr>
            <w:tcW w:w="663" w:type="pct"/>
            <w:tcBorders>
              <w:top w:val="single" w:color="000000" w:sz="2" w:space="0"/>
              <w:bottom w:val="single" w:color="000000" w:sz="2" w:space="0"/>
            </w:tcBorders>
            <w:vAlign w:val="center"/>
          </w:tcPr>
          <w:p>
            <w:pPr>
              <w:pStyle w:val="132"/>
              <w:rPr>
                <w:szCs w:val="21"/>
              </w:rPr>
            </w:pPr>
            <w:r>
              <w:rPr>
                <w:rFonts w:hint="eastAsia"/>
                <w:szCs w:val="21"/>
              </w:rPr>
              <w:t>3.4</w:t>
            </w:r>
          </w:p>
        </w:tc>
        <w:tc>
          <w:tcPr>
            <w:tcW w:w="661" w:type="pct"/>
            <w:tcBorders>
              <w:top w:val="single" w:color="000000" w:sz="2" w:space="0"/>
              <w:bottom w:val="single" w:color="000000" w:sz="2" w:space="0"/>
            </w:tcBorders>
            <w:vAlign w:val="center"/>
          </w:tcPr>
          <w:p>
            <w:pPr>
              <w:pStyle w:val="132"/>
              <w:rPr>
                <w:szCs w:val="21"/>
              </w:rPr>
            </w:pPr>
            <w:r>
              <w:rPr>
                <w:rFonts w:hint="eastAsia"/>
                <w:szCs w:val="21"/>
              </w:rPr>
              <w:t>0.34~0.53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9" w:hRule="atLeast"/>
          <w:jc w:val="center"/>
        </w:trPr>
        <w:tc>
          <w:tcPr>
            <w:tcW w:w="815" w:type="pct"/>
            <w:tcBorders>
              <w:top w:val="single" w:color="000000" w:sz="2" w:space="0"/>
              <w:bottom w:val="single" w:color="000000" w:sz="2" w:space="0"/>
            </w:tcBorders>
            <w:vAlign w:val="center"/>
          </w:tcPr>
          <w:p>
            <w:pPr>
              <w:pStyle w:val="132"/>
              <w:rPr>
                <w:szCs w:val="21"/>
              </w:rPr>
            </w:pPr>
            <w:r>
              <w:rPr>
                <w:szCs w:val="21"/>
              </w:rPr>
              <w:t>4</w:t>
            </w:r>
          </w:p>
        </w:tc>
        <w:tc>
          <w:tcPr>
            <w:tcW w:w="979" w:type="pct"/>
            <w:tcBorders>
              <w:top w:val="single" w:color="000000" w:sz="2" w:space="0"/>
              <w:bottom w:val="single" w:color="000000" w:sz="2" w:space="0"/>
            </w:tcBorders>
            <w:vAlign w:val="center"/>
          </w:tcPr>
          <w:p>
            <w:pPr>
              <w:pStyle w:val="132"/>
              <w:rPr>
                <w:szCs w:val="21"/>
              </w:rPr>
            </w:pPr>
            <w:r>
              <w:rPr>
                <w:szCs w:val="21"/>
              </w:rPr>
              <w:t>砷</w:t>
            </w:r>
          </w:p>
        </w:tc>
        <w:tc>
          <w:tcPr>
            <w:tcW w:w="1028" w:type="pct"/>
            <w:tcBorders>
              <w:top w:val="single" w:color="000000" w:sz="2" w:space="0"/>
              <w:bottom w:val="single" w:color="000000" w:sz="2" w:space="0"/>
            </w:tcBorders>
          </w:tcPr>
          <w:p>
            <w:pPr>
              <w:pStyle w:val="119"/>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mg/kg</w:t>
            </w:r>
          </w:p>
        </w:tc>
        <w:tc>
          <w:tcPr>
            <w:tcW w:w="854" w:type="pct"/>
            <w:tcBorders>
              <w:top w:val="single" w:color="000000" w:sz="2" w:space="0"/>
              <w:bottom w:val="single" w:color="000000" w:sz="2" w:space="0"/>
            </w:tcBorders>
            <w:vAlign w:val="center"/>
          </w:tcPr>
          <w:p>
            <w:pPr>
              <w:pStyle w:val="132"/>
              <w:rPr>
                <w:rFonts w:eastAsia="仿宋"/>
                <w:szCs w:val="21"/>
              </w:rPr>
            </w:pPr>
            <w:r>
              <w:rPr>
                <w:rFonts w:hint="eastAsia" w:eastAsia="仿宋"/>
                <w:bCs/>
                <w:szCs w:val="21"/>
              </w:rPr>
              <w:t>5.94</w:t>
            </w:r>
            <w:r>
              <w:rPr>
                <w:rFonts w:hint="eastAsia"/>
                <w:szCs w:val="21"/>
              </w:rPr>
              <w:t>~</w:t>
            </w:r>
            <w:r>
              <w:rPr>
                <w:rFonts w:hint="eastAsia" w:eastAsia="仿宋"/>
                <w:bCs/>
                <w:szCs w:val="21"/>
              </w:rPr>
              <w:t>9.15</w:t>
            </w:r>
          </w:p>
        </w:tc>
        <w:tc>
          <w:tcPr>
            <w:tcW w:w="663" w:type="pct"/>
            <w:tcBorders>
              <w:top w:val="single" w:color="000000" w:sz="2" w:space="0"/>
              <w:bottom w:val="single" w:color="000000" w:sz="2" w:space="0"/>
            </w:tcBorders>
            <w:vAlign w:val="center"/>
          </w:tcPr>
          <w:p>
            <w:pPr>
              <w:pStyle w:val="132"/>
              <w:rPr>
                <w:szCs w:val="21"/>
              </w:rPr>
            </w:pPr>
            <w:r>
              <w:rPr>
                <w:rFonts w:hint="eastAsia"/>
                <w:szCs w:val="21"/>
              </w:rPr>
              <w:t>25</w:t>
            </w:r>
          </w:p>
        </w:tc>
        <w:tc>
          <w:tcPr>
            <w:tcW w:w="661" w:type="pct"/>
            <w:tcBorders>
              <w:top w:val="single" w:color="000000" w:sz="2" w:space="0"/>
              <w:bottom w:val="single" w:color="000000" w:sz="2" w:space="0"/>
            </w:tcBorders>
            <w:vAlign w:val="center"/>
          </w:tcPr>
          <w:p>
            <w:pPr>
              <w:pStyle w:val="132"/>
              <w:rPr>
                <w:szCs w:val="21"/>
              </w:rPr>
            </w:pPr>
            <w:r>
              <w:rPr>
                <w:rFonts w:hint="eastAsia"/>
                <w:szCs w:val="21"/>
              </w:rPr>
              <w:t>0.24~0.37</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9" w:hRule="atLeast"/>
          <w:jc w:val="center"/>
        </w:trPr>
        <w:tc>
          <w:tcPr>
            <w:tcW w:w="815" w:type="pct"/>
            <w:tcBorders>
              <w:top w:val="single" w:color="000000" w:sz="2" w:space="0"/>
              <w:bottom w:val="single" w:color="000000" w:sz="2" w:space="0"/>
            </w:tcBorders>
            <w:vAlign w:val="center"/>
          </w:tcPr>
          <w:p>
            <w:pPr>
              <w:pStyle w:val="132"/>
              <w:rPr>
                <w:szCs w:val="21"/>
              </w:rPr>
            </w:pPr>
            <w:r>
              <w:rPr>
                <w:szCs w:val="21"/>
              </w:rPr>
              <w:t>5</w:t>
            </w:r>
          </w:p>
        </w:tc>
        <w:tc>
          <w:tcPr>
            <w:tcW w:w="979" w:type="pct"/>
            <w:tcBorders>
              <w:top w:val="single" w:color="000000" w:sz="2" w:space="0"/>
              <w:bottom w:val="single" w:color="000000" w:sz="2" w:space="0"/>
            </w:tcBorders>
            <w:vAlign w:val="center"/>
          </w:tcPr>
          <w:p>
            <w:pPr>
              <w:pStyle w:val="132"/>
              <w:rPr>
                <w:szCs w:val="21"/>
              </w:rPr>
            </w:pPr>
            <w:r>
              <w:rPr>
                <w:szCs w:val="21"/>
              </w:rPr>
              <w:t>铅</w:t>
            </w:r>
          </w:p>
        </w:tc>
        <w:tc>
          <w:tcPr>
            <w:tcW w:w="1028" w:type="pct"/>
            <w:tcBorders>
              <w:top w:val="single" w:color="000000" w:sz="2" w:space="0"/>
              <w:bottom w:val="single" w:color="000000" w:sz="2" w:space="0"/>
            </w:tcBorders>
          </w:tcPr>
          <w:p>
            <w:pPr>
              <w:pStyle w:val="119"/>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mg/kg</w:t>
            </w:r>
          </w:p>
        </w:tc>
        <w:tc>
          <w:tcPr>
            <w:tcW w:w="854" w:type="pct"/>
            <w:tcBorders>
              <w:top w:val="single" w:color="000000" w:sz="2" w:space="0"/>
              <w:bottom w:val="single" w:color="000000" w:sz="2" w:space="0"/>
            </w:tcBorders>
            <w:vAlign w:val="center"/>
          </w:tcPr>
          <w:p>
            <w:pPr>
              <w:pStyle w:val="132"/>
              <w:rPr>
                <w:szCs w:val="21"/>
              </w:rPr>
            </w:pPr>
            <w:r>
              <w:rPr>
                <w:rFonts w:hint="eastAsia" w:eastAsia="仿宋"/>
                <w:bCs/>
                <w:szCs w:val="21"/>
              </w:rPr>
              <w:t>51</w:t>
            </w:r>
          </w:p>
        </w:tc>
        <w:tc>
          <w:tcPr>
            <w:tcW w:w="663" w:type="pct"/>
            <w:tcBorders>
              <w:top w:val="single" w:color="000000" w:sz="2" w:space="0"/>
              <w:bottom w:val="single" w:color="000000" w:sz="2" w:space="0"/>
            </w:tcBorders>
            <w:vAlign w:val="center"/>
          </w:tcPr>
          <w:p>
            <w:pPr>
              <w:pStyle w:val="132"/>
              <w:rPr>
                <w:szCs w:val="21"/>
              </w:rPr>
            </w:pPr>
            <w:r>
              <w:rPr>
                <w:rFonts w:hint="eastAsia"/>
                <w:szCs w:val="21"/>
              </w:rPr>
              <w:t>17</w:t>
            </w:r>
            <w:r>
              <w:rPr>
                <w:szCs w:val="21"/>
              </w:rPr>
              <w:t>0</w:t>
            </w:r>
          </w:p>
        </w:tc>
        <w:tc>
          <w:tcPr>
            <w:tcW w:w="661" w:type="pct"/>
            <w:tcBorders>
              <w:top w:val="single" w:color="000000" w:sz="2" w:space="0"/>
              <w:bottom w:val="single" w:color="000000" w:sz="2" w:space="0"/>
            </w:tcBorders>
            <w:vAlign w:val="center"/>
          </w:tcPr>
          <w:p>
            <w:pPr>
              <w:pStyle w:val="132"/>
              <w:rPr>
                <w:szCs w:val="21"/>
              </w:rPr>
            </w:pPr>
            <w:r>
              <w:rPr>
                <w:rFonts w:hint="eastAsia"/>
                <w:szCs w:val="21"/>
              </w:rPr>
              <w:t>0.3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9" w:hRule="atLeast"/>
          <w:jc w:val="center"/>
        </w:trPr>
        <w:tc>
          <w:tcPr>
            <w:tcW w:w="815" w:type="pct"/>
            <w:tcBorders>
              <w:top w:val="single" w:color="000000" w:sz="2" w:space="0"/>
              <w:bottom w:val="single" w:color="000000" w:sz="2" w:space="0"/>
            </w:tcBorders>
            <w:vAlign w:val="center"/>
          </w:tcPr>
          <w:p>
            <w:pPr>
              <w:pStyle w:val="132"/>
              <w:rPr>
                <w:szCs w:val="21"/>
              </w:rPr>
            </w:pPr>
            <w:r>
              <w:rPr>
                <w:szCs w:val="21"/>
              </w:rPr>
              <w:t>6</w:t>
            </w:r>
          </w:p>
        </w:tc>
        <w:tc>
          <w:tcPr>
            <w:tcW w:w="979" w:type="pct"/>
            <w:tcBorders>
              <w:top w:val="single" w:color="000000" w:sz="2" w:space="0"/>
              <w:bottom w:val="single" w:color="000000" w:sz="2" w:space="0"/>
            </w:tcBorders>
            <w:vAlign w:val="center"/>
          </w:tcPr>
          <w:p>
            <w:pPr>
              <w:pStyle w:val="132"/>
              <w:rPr>
                <w:szCs w:val="21"/>
              </w:rPr>
            </w:pPr>
            <w:r>
              <w:rPr>
                <w:szCs w:val="21"/>
              </w:rPr>
              <w:t>铜</w:t>
            </w:r>
          </w:p>
        </w:tc>
        <w:tc>
          <w:tcPr>
            <w:tcW w:w="1028" w:type="pct"/>
            <w:tcBorders>
              <w:top w:val="single" w:color="000000" w:sz="2" w:space="0"/>
              <w:bottom w:val="single" w:color="000000" w:sz="2" w:space="0"/>
            </w:tcBorders>
          </w:tcPr>
          <w:p>
            <w:pPr>
              <w:pStyle w:val="119"/>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mg/kg</w:t>
            </w:r>
          </w:p>
        </w:tc>
        <w:tc>
          <w:tcPr>
            <w:tcW w:w="854" w:type="pct"/>
            <w:tcBorders>
              <w:top w:val="single" w:color="000000" w:sz="2" w:space="0"/>
              <w:bottom w:val="single" w:color="000000" w:sz="2" w:space="0"/>
            </w:tcBorders>
            <w:vAlign w:val="center"/>
          </w:tcPr>
          <w:p>
            <w:pPr>
              <w:pStyle w:val="132"/>
              <w:rPr>
                <w:szCs w:val="21"/>
              </w:rPr>
            </w:pPr>
            <w:r>
              <w:rPr>
                <w:rFonts w:hint="eastAsia" w:eastAsia="仿宋"/>
                <w:bCs/>
                <w:szCs w:val="21"/>
              </w:rPr>
              <w:t>14</w:t>
            </w:r>
            <w:r>
              <w:rPr>
                <w:rFonts w:hint="eastAsia"/>
                <w:szCs w:val="21"/>
              </w:rPr>
              <w:t>~17</w:t>
            </w:r>
          </w:p>
        </w:tc>
        <w:tc>
          <w:tcPr>
            <w:tcW w:w="663" w:type="pct"/>
            <w:tcBorders>
              <w:top w:val="single" w:color="000000" w:sz="2" w:space="0"/>
              <w:bottom w:val="single" w:color="000000" w:sz="2" w:space="0"/>
            </w:tcBorders>
            <w:vAlign w:val="center"/>
          </w:tcPr>
          <w:p>
            <w:pPr>
              <w:pStyle w:val="132"/>
              <w:rPr>
                <w:szCs w:val="21"/>
              </w:rPr>
            </w:pPr>
            <w:r>
              <w:rPr>
                <w:rFonts w:hint="eastAsia"/>
                <w:szCs w:val="21"/>
              </w:rPr>
              <w:t>100</w:t>
            </w:r>
          </w:p>
        </w:tc>
        <w:tc>
          <w:tcPr>
            <w:tcW w:w="661" w:type="pct"/>
            <w:tcBorders>
              <w:top w:val="single" w:color="000000" w:sz="2" w:space="0"/>
              <w:bottom w:val="single" w:color="000000" w:sz="2" w:space="0"/>
            </w:tcBorders>
            <w:vAlign w:val="center"/>
          </w:tcPr>
          <w:p>
            <w:pPr>
              <w:pStyle w:val="132"/>
              <w:rPr>
                <w:szCs w:val="21"/>
              </w:rPr>
            </w:pPr>
            <w:r>
              <w:rPr>
                <w:rFonts w:hint="eastAsia"/>
                <w:szCs w:val="21"/>
              </w:rPr>
              <w:t>0.14~0.17</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9" w:hRule="atLeast"/>
          <w:jc w:val="center"/>
        </w:trPr>
        <w:tc>
          <w:tcPr>
            <w:tcW w:w="815" w:type="pct"/>
            <w:tcBorders>
              <w:top w:val="single" w:color="000000" w:sz="2" w:space="0"/>
              <w:bottom w:val="single" w:color="000000" w:sz="2" w:space="0"/>
            </w:tcBorders>
            <w:vAlign w:val="center"/>
          </w:tcPr>
          <w:p>
            <w:pPr>
              <w:pStyle w:val="132"/>
              <w:rPr>
                <w:szCs w:val="21"/>
              </w:rPr>
            </w:pPr>
            <w:r>
              <w:rPr>
                <w:szCs w:val="21"/>
              </w:rPr>
              <w:t>7</w:t>
            </w:r>
          </w:p>
        </w:tc>
        <w:tc>
          <w:tcPr>
            <w:tcW w:w="979" w:type="pct"/>
            <w:tcBorders>
              <w:top w:val="single" w:color="000000" w:sz="2" w:space="0"/>
              <w:bottom w:val="single" w:color="000000" w:sz="2" w:space="0"/>
            </w:tcBorders>
            <w:vAlign w:val="center"/>
          </w:tcPr>
          <w:p>
            <w:pPr>
              <w:pStyle w:val="132"/>
              <w:rPr>
                <w:szCs w:val="21"/>
              </w:rPr>
            </w:pPr>
            <w:r>
              <w:rPr>
                <w:szCs w:val="21"/>
              </w:rPr>
              <w:t>镍</w:t>
            </w:r>
          </w:p>
        </w:tc>
        <w:tc>
          <w:tcPr>
            <w:tcW w:w="1028" w:type="pct"/>
            <w:tcBorders>
              <w:top w:val="single" w:color="000000" w:sz="2" w:space="0"/>
              <w:bottom w:val="single" w:color="000000" w:sz="2" w:space="0"/>
            </w:tcBorders>
          </w:tcPr>
          <w:p>
            <w:pPr>
              <w:pStyle w:val="119"/>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mg/kg</w:t>
            </w:r>
          </w:p>
        </w:tc>
        <w:tc>
          <w:tcPr>
            <w:tcW w:w="854" w:type="pct"/>
            <w:tcBorders>
              <w:top w:val="single" w:color="000000" w:sz="2" w:space="0"/>
              <w:bottom w:val="single" w:color="000000" w:sz="2" w:space="0"/>
            </w:tcBorders>
            <w:vAlign w:val="center"/>
          </w:tcPr>
          <w:p>
            <w:pPr>
              <w:pStyle w:val="132"/>
              <w:rPr>
                <w:szCs w:val="21"/>
              </w:rPr>
            </w:pPr>
            <w:r>
              <w:rPr>
                <w:rFonts w:hint="eastAsia" w:eastAsia="仿宋"/>
                <w:bCs/>
                <w:szCs w:val="21"/>
              </w:rPr>
              <w:t>25</w:t>
            </w:r>
            <w:r>
              <w:rPr>
                <w:rFonts w:hint="eastAsia"/>
                <w:szCs w:val="21"/>
              </w:rPr>
              <w:t>~28</w:t>
            </w:r>
          </w:p>
        </w:tc>
        <w:tc>
          <w:tcPr>
            <w:tcW w:w="663" w:type="pct"/>
            <w:tcBorders>
              <w:top w:val="single" w:color="000000" w:sz="2" w:space="0"/>
              <w:bottom w:val="single" w:color="000000" w:sz="2" w:space="0"/>
            </w:tcBorders>
            <w:vAlign w:val="center"/>
          </w:tcPr>
          <w:p>
            <w:pPr>
              <w:pStyle w:val="132"/>
              <w:rPr>
                <w:szCs w:val="21"/>
              </w:rPr>
            </w:pPr>
            <w:r>
              <w:rPr>
                <w:rFonts w:hint="eastAsia"/>
                <w:szCs w:val="21"/>
              </w:rPr>
              <w:t>190</w:t>
            </w:r>
          </w:p>
        </w:tc>
        <w:tc>
          <w:tcPr>
            <w:tcW w:w="661" w:type="pct"/>
            <w:tcBorders>
              <w:top w:val="single" w:color="000000" w:sz="2" w:space="0"/>
              <w:bottom w:val="single" w:color="000000" w:sz="2" w:space="0"/>
            </w:tcBorders>
            <w:vAlign w:val="center"/>
          </w:tcPr>
          <w:p>
            <w:pPr>
              <w:pStyle w:val="132"/>
              <w:rPr>
                <w:szCs w:val="21"/>
              </w:rPr>
            </w:pPr>
            <w:r>
              <w:rPr>
                <w:rFonts w:hint="eastAsia"/>
                <w:szCs w:val="21"/>
              </w:rPr>
              <w:t>0.13~0.15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9" w:hRule="atLeast"/>
          <w:jc w:val="center"/>
        </w:trPr>
        <w:tc>
          <w:tcPr>
            <w:tcW w:w="815" w:type="pct"/>
            <w:tcBorders>
              <w:top w:val="single" w:color="000000" w:sz="2" w:space="0"/>
              <w:bottom w:val="single" w:color="000000" w:sz="2" w:space="0"/>
            </w:tcBorders>
            <w:vAlign w:val="center"/>
          </w:tcPr>
          <w:p>
            <w:pPr>
              <w:pStyle w:val="132"/>
              <w:rPr>
                <w:szCs w:val="21"/>
              </w:rPr>
            </w:pPr>
            <w:r>
              <w:rPr>
                <w:szCs w:val="21"/>
              </w:rPr>
              <w:t>8</w:t>
            </w:r>
          </w:p>
        </w:tc>
        <w:tc>
          <w:tcPr>
            <w:tcW w:w="979" w:type="pct"/>
            <w:tcBorders>
              <w:top w:val="single" w:color="000000" w:sz="2" w:space="0"/>
              <w:bottom w:val="single" w:color="000000" w:sz="2" w:space="0"/>
            </w:tcBorders>
            <w:vAlign w:val="center"/>
          </w:tcPr>
          <w:p>
            <w:pPr>
              <w:pStyle w:val="132"/>
              <w:rPr>
                <w:szCs w:val="21"/>
              </w:rPr>
            </w:pPr>
            <w:r>
              <w:rPr>
                <w:szCs w:val="21"/>
              </w:rPr>
              <w:t>铬</w:t>
            </w:r>
          </w:p>
        </w:tc>
        <w:tc>
          <w:tcPr>
            <w:tcW w:w="1028" w:type="pct"/>
            <w:tcBorders>
              <w:top w:val="single" w:color="000000" w:sz="2" w:space="0"/>
              <w:bottom w:val="single" w:color="000000" w:sz="2" w:space="0"/>
            </w:tcBorders>
          </w:tcPr>
          <w:p>
            <w:pPr>
              <w:pStyle w:val="119"/>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mg/kg</w:t>
            </w:r>
          </w:p>
        </w:tc>
        <w:tc>
          <w:tcPr>
            <w:tcW w:w="854" w:type="pct"/>
            <w:tcBorders>
              <w:top w:val="single" w:color="000000" w:sz="2" w:space="0"/>
              <w:bottom w:val="single" w:color="000000" w:sz="2" w:space="0"/>
            </w:tcBorders>
            <w:vAlign w:val="center"/>
          </w:tcPr>
          <w:p>
            <w:pPr>
              <w:pStyle w:val="132"/>
              <w:rPr>
                <w:szCs w:val="21"/>
              </w:rPr>
            </w:pPr>
            <w:r>
              <w:rPr>
                <w:rFonts w:hint="eastAsia" w:eastAsia="仿宋"/>
                <w:bCs/>
                <w:szCs w:val="21"/>
              </w:rPr>
              <w:t>24</w:t>
            </w:r>
            <w:r>
              <w:rPr>
                <w:rFonts w:hint="eastAsia"/>
                <w:szCs w:val="21"/>
              </w:rPr>
              <w:t>~</w:t>
            </w:r>
            <w:r>
              <w:rPr>
                <w:rFonts w:hint="eastAsia" w:eastAsia="仿宋"/>
                <w:bCs/>
                <w:szCs w:val="21"/>
              </w:rPr>
              <w:t>26</w:t>
            </w:r>
          </w:p>
        </w:tc>
        <w:tc>
          <w:tcPr>
            <w:tcW w:w="663" w:type="pct"/>
            <w:tcBorders>
              <w:top w:val="single" w:color="000000" w:sz="2" w:space="0"/>
              <w:bottom w:val="single" w:color="000000" w:sz="2" w:space="0"/>
            </w:tcBorders>
            <w:vAlign w:val="center"/>
          </w:tcPr>
          <w:p>
            <w:pPr>
              <w:pStyle w:val="132"/>
              <w:rPr>
                <w:szCs w:val="21"/>
              </w:rPr>
            </w:pPr>
            <w:r>
              <w:rPr>
                <w:rFonts w:hint="eastAsia"/>
                <w:szCs w:val="21"/>
              </w:rPr>
              <w:t>25</w:t>
            </w:r>
            <w:r>
              <w:rPr>
                <w:szCs w:val="21"/>
              </w:rPr>
              <w:t>0</w:t>
            </w:r>
          </w:p>
        </w:tc>
        <w:tc>
          <w:tcPr>
            <w:tcW w:w="661" w:type="pct"/>
            <w:tcBorders>
              <w:top w:val="single" w:color="000000" w:sz="2" w:space="0"/>
              <w:bottom w:val="single" w:color="000000" w:sz="2" w:space="0"/>
            </w:tcBorders>
            <w:vAlign w:val="center"/>
          </w:tcPr>
          <w:p>
            <w:pPr>
              <w:pStyle w:val="132"/>
              <w:rPr>
                <w:szCs w:val="21"/>
              </w:rPr>
            </w:pPr>
            <w:r>
              <w:rPr>
                <w:rFonts w:hint="eastAsia"/>
                <w:szCs w:val="21"/>
              </w:rPr>
              <w:t>0.096~0.104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9" w:hRule="atLeast"/>
          <w:jc w:val="center"/>
        </w:trPr>
        <w:tc>
          <w:tcPr>
            <w:tcW w:w="815" w:type="pct"/>
            <w:tcBorders>
              <w:top w:val="single" w:color="000000" w:sz="2" w:space="0"/>
              <w:bottom w:val="single" w:color="000000" w:sz="2" w:space="0"/>
            </w:tcBorders>
            <w:vAlign w:val="center"/>
          </w:tcPr>
          <w:p>
            <w:pPr>
              <w:pStyle w:val="132"/>
              <w:rPr>
                <w:szCs w:val="21"/>
              </w:rPr>
            </w:pPr>
            <w:r>
              <w:rPr>
                <w:szCs w:val="21"/>
              </w:rPr>
              <w:t>9</w:t>
            </w:r>
          </w:p>
        </w:tc>
        <w:tc>
          <w:tcPr>
            <w:tcW w:w="979" w:type="pct"/>
            <w:tcBorders>
              <w:top w:val="single" w:color="000000" w:sz="2" w:space="0"/>
              <w:bottom w:val="single" w:color="000000" w:sz="2" w:space="0"/>
            </w:tcBorders>
            <w:vAlign w:val="center"/>
          </w:tcPr>
          <w:p>
            <w:pPr>
              <w:pStyle w:val="132"/>
              <w:rPr>
                <w:szCs w:val="21"/>
              </w:rPr>
            </w:pPr>
            <w:r>
              <w:rPr>
                <w:szCs w:val="21"/>
              </w:rPr>
              <w:t>锌</w:t>
            </w:r>
          </w:p>
        </w:tc>
        <w:tc>
          <w:tcPr>
            <w:tcW w:w="1028" w:type="pct"/>
            <w:tcBorders>
              <w:top w:val="single" w:color="000000" w:sz="2" w:space="0"/>
              <w:bottom w:val="single" w:color="000000" w:sz="2" w:space="0"/>
            </w:tcBorders>
          </w:tcPr>
          <w:p>
            <w:pPr>
              <w:pStyle w:val="119"/>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mg/kg</w:t>
            </w:r>
          </w:p>
        </w:tc>
        <w:tc>
          <w:tcPr>
            <w:tcW w:w="854" w:type="pct"/>
            <w:tcBorders>
              <w:top w:val="single" w:color="000000" w:sz="2" w:space="0"/>
              <w:bottom w:val="single" w:color="000000" w:sz="2" w:space="0"/>
            </w:tcBorders>
            <w:vAlign w:val="center"/>
          </w:tcPr>
          <w:p>
            <w:pPr>
              <w:pStyle w:val="132"/>
              <w:rPr>
                <w:szCs w:val="21"/>
              </w:rPr>
            </w:pPr>
            <w:r>
              <w:rPr>
                <w:rFonts w:hint="eastAsia" w:eastAsia="仿宋"/>
                <w:bCs/>
                <w:szCs w:val="21"/>
              </w:rPr>
              <w:t>55</w:t>
            </w:r>
            <w:r>
              <w:rPr>
                <w:rFonts w:hint="eastAsia"/>
                <w:szCs w:val="21"/>
              </w:rPr>
              <w:t>~</w:t>
            </w:r>
            <w:r>
              <w:rPr>
                <w:rFonts w:hint="eastAsia" w:eastAsia="仿宋"/>
                <w:bCs/>
                <w:szCs w:val="21"/>
              </w:rPr>
              <w:t>93</w:t>
            </w:r>
          </w:p>
        </w:tc>
        <w:tc>
          <w:tcPr>
            <w:tcW w:w="663" w:type="pct"/>
            <w:tcBorders>
              <w:top w:val="single" w:color="000000" w:sz="2" w:space="0"/>
              <w:bottom w:val="single" w:color="000000" w:sz="2" w:space="0"/>
            </w:tcBorders>
            <w:vAlign w:val="center"/>
          </w:tcPr>
          <w:p>
            <w:pPr>
              <w:pStyle w:val="132"/>
              <w:rPr>
                <w:szCs w:val="21"/>
              </w:rPr>
            </w:pPr>
            <w:r>
              <w:rPr>
                <w:rFonts w:hint="eastAsia"/>
                <w:szCs w:val="21"/>
              </w:rPr>
              <w:t>30</w:t>
            </w:r>
            <w:r>
              <w:rPr>
                <w:szCs w:val="21"/>
              </w:rPr>
              <w:t>0</w:t>
            </w:r>
          </w:p>
        </w:tc>
        <w:tc>
          <w:tcPr>
            <w:tcW w:w="661" w:type="pct"/>
            <w:tcBorders>
              <w:top w:val="single" w:color="000000" w:sz="2" w:space="0"/>
              <w:bottom w:val="single" w:color="000000" w:sz="2" w:space="0"/>
            </w:tcBorders>
            <w:vAlign w:val="center"/>
          </w:tcPr>
          <w:p>
            <w:pPr>
              <w:pStyle w:val="132"/>
              <w:rPr>
                <w:szCs w:val="21"/>
              </w:rPr>
            </w:pPr>
            <w:r>
              <w:rPr>
                <w:rFonts w:hint="eastAsia"/>
                <w:szCs w:val="21"/>
              </w:rPr>
              <w:t>0.183~0</w:t>
            </w:r>
            <w:r>
              <w:rPr>
                <w:szCs w:val="21"/>
              </w:rPr>
              <w:t>.</w:t>
            </w:r>
            <w:r>
              <w:rPr>
                <w:rFonts w:hint="eastAsia"/>
                <w:szCs w:val="21"/>
              </w:rPr>
              <w:t>31</w:t>
            </w:r>
          </w:p>
        </w:tc>
      </w:tr>
    </w:tbl>
    <w:p>
      <w:pPr>
        <w:pStyle w:val="112"/>
        <w:ind w:firstLine="480"/>
      </w:pPr>
      <w:r>
        <w:t>监测结果表明：</w:t>
      </w:r>
      <w:r>
        <w:rPr>
          <w:rFonts w:hint="eastAsia"/>
        </w:rPr>
        <w:t>项目</w:t>
      </w:r>
      <w:r>
        <w:t>站场</w:t>
      </w:r>
      <w:r>
        <w:rPr>
          <w:rFonts w:hint="eastAsia"/>
        </w:rPr>
        <w:t>内土壤中各项监测指标均符合《土壤环境质量 建设用地土壤污染风险管控标准（试行）》（GB 36600-2018）中风险筛选值；</w:t>
      </w:r>
      <w:r>
        <w:t>站场周边</w:t>
      </w:r>
      <w:r>
        <w:rPr>
          <w:rFonts w:hint="eastAsia"/>
        </w:rPr>
        <w:t>耕地</w:t>
      </w:r>
      <w:r>
        <w:t>土壤环境质量良好，各因子均满足《土壤环境质量 农用地土壤污染风险管控标准（试行）》（GB-15618-2018）中农用地土壤污染风险筛选值。土壤环境质量良好。</w:t>
      </w:r>
    </w:p>
    <w:p>
      <w:pPr>
        <w:pStyle w:val="112"/>
        <w:ind w:firstLine="480"/>
        <w:sectPr>
          <w:headerReference r:id="rId28" w:type="first"/>
          <w:footerReference r:id="rId31" w:type="first"/>
          <w:headerReference r:id="rId26" w:type="default"/>
          <w:footerReference r:id="rId29" w:type="default"/>
          <w:headerReference r:id="rId27" w:type="even"/>
          <w:footerReference r:id="rId30" w:type="even"/>
          <w:pgSz w:w="11906" w:h="16838"/>
          <w:pgMar w:top="1440" w:right="1800" w:bottom="1560" w:left="1800" w:header="851" w:footer="992" w:gutter="0"/>
          <w:cols w:space="425" w:num="1"/>
          <w:docGrid w:type="lines" w:linePitch="312" w:charSpace="0"/>
        </w:sectPr>
      </w:pPr>
    </w:p>
    <w:p>
      <w:pPr>
        <w:pStyle w:val="2"/>
        <w:spacing w:before="0" w:beforeAutospacing="0" w:after="0" w:afterAutospacing="0"/>
        <w:rPr>
          <w:rFonts w:eastAsia="宋体"/>
        </w:rPr>
      </w:pPr>
      <w:bookmarkStart w:id="456" w:name="_Toc19816043"/>
      <w:bookmarkStart w:id="457" w:name="_Toc12288617"/>
      <w:bookmarkStart w:id="458" w:name="_Toc81515288"/>
      <w:r>
        <w:rPr>
          <w:rFonts w:eastAsia="宋体"/>
        </w:rPr>
        <w:t>6 环境影响预测与评价</w:t>
      </w:r>
      <w:bookmarkEnd w:id="456"/>
      <w:bookmarkEnd w:id="457"/>
      <w:bookmarkEnd w:id="458"/>
    </w:p>
    <w:p>
      <w:pPr>
        <w:pStyle w:val="3"/>
        <w:spacing w:before="120"/>
        <w:rPr>
          <w:rFonts w:cs="Times New Roman"/>
        </w:rPr>
      </w:pPr>
      <w:bookmarkStart w:id="459" w:name="bookmark40"/>
      <w:bookmarkEnd w:id="459"/>
      <w:bookmarkStart w:id="460" w:name="_Toc81515289"/>
      <w:bookmarkStart w:id="461" w:name="_Toc12288618"/>
      <w:bookmarkStart w:id="462" w:name="_Toc19816044"/>
      <w:r>
        <w:rPr>
          <w:rFonts w:cs="Times New Roman"/>
        </w:rPr>
        <w:t xml:space="preserve">6.1 </w:t>
      </w:r>
      <w:r>
        <w:rPr>
          <w:rFonts w:hint="eastAsia" w:cs="Times New Roman"/>
        </w:rPr>
        <w:t>施工期环境影响预测及评价</w:t>
      </w:r>
      <w:bookmarkEnd w:id="460"/>
    </w:p>
    <w:p>
      <w:pPr>
        <w:pStyle w:val="4"/>
        <w:rPr>
          <w:rFonts w:eastAsia="宋体"/>
        </w:rPr>
      </w:pPr>
      <w:r>
        <w:rPr>
          <w:rFonts w:eastAsia="宋体"/>
        </w:rPr>
        <w:t>6.1.1 施工期生态影响分析</w:t>
      </w:r>
    </w:p>
    <w:p>
      <w:pPr>
        <w:pStyle w:val="112"/>
        <w:ind w:firstLine="480"/>
        <w:rPr>
          <w:rStyle w:val="61"/>
          <w:b w:val="0"/>
          <w:bCs w:val="0"/>
          <w:spacing w:val="0"/>
          <w:position w:val="0"/>
          <w:sz w:val="24"/>
        </w:rPr>
      </w:pPr>
      <w:r>
        <w:rPr>
          <w:rFonts w:hint="eastAsia"/>
        </w:rPr>
        <w:t>本工程对生态环境的影响主要表现为开挖管沟、敷设管道、修筑施工道路、临时材料堆场堆放钢管、停放车辆等工程活动占用土地导致临时改变土地利用性质、对地表植被的破坏、对土壤环境的破坏等，即打破了地表的原有平衡状态。若恢复治理措施不当，土壤的每一个新剖面，每条新车印都可能形成新的侵蚀起点，从而加重当地的水土流失，并影响农业生产，使当地农民的收入受到一定的损失。</w:t>
      </w:r>
    </w:p>
    <w:p>
      <w:pPr>
        <w:pStyle w:val="112"/>
        <w:ind w:firstLine="482"/>
        <w:rPr>
          <w:rStyle w:val="61"/>
          <w:spacing w:val="0"/>
          <w:position w:val="0"/>
          <w:sz w:val="24"/>
        </w:rPr>
      </w:pPr>
      <w:r>
        <w:rPr>
          <w:rStyle w:val="61"/>
          <w:spacing w:val="0"/>
          <w:position w:val="0"/>
          <w:sz w:val="24"/>
        </w:rPr>
        <w:t>1、</w:t>
      </w:r>
      <w:bookmarkEnd w:id="461"/>
      <w:bookmarkEnd w:id="462"/>
      <w:bookmarkStart w:id="463" w:name="_Toc12288641"/>
      <w:bookmarkStart w:id="464" w:name="_Toc19816048"/>
      <w:r>
        <w:rPr>
          <w:rStyle w:val="61"/>
          <w:spacing w:val="0"/>
          <w:position w:val="0"/>
          <w:sz w:val="24"/>
        </w:rPr>
        <w:t>工程占地</w:t>
      </w:r>
      <w:r>
        <w:rPr>
          <w:rStyle w:val="61"/>
          <w:rFonts w:hint="eastAsia"/>
          <w:spacing w:val="0"/>
          <w:position w:val="0"/>
          <w:sz w:val="24"/>
        </w:rPr>
        <w:t>影响分析</w:t>
      </w:r>
    </w:p>
    <w:p>
      <w:pPr>
        <w:pStyle w:val="6"/>
        <w:ind w:firstLine="482"/>
        <w:rPr>
          <w:rFonts w:ascii="Times New Roman" w:cs="Times New Roman"/>
          <w:b/>
          <w:bCs/>
        </w:rPr>
      </w:pPr>
      <w:r>
        <w:rPr>
          <w:rFonts w:ascii="Times New Roman" w:cs="Times New Roman"/>
          <w:b/>
          <w:bCs/>
        </w:rPr>
        <w:t>（1）永久占地</w:t>
      </w:r>
    </w:p>
    <w:p>
      <w:pPr>
        <w:pStyle w:val="112"/>
        <w:ind w:firstLine="480"/>
      </w:pPr>
      <w:r>
        <w:rPr>
          <w:rFonts w:hint="eastAsia"/>
        </w:rPr>
        <w:t>①永久占地情况</w:t>
      </w:r>
    </w:p>
    <w:p>
      <w:pPr>
        <w:pStyle w:val="112"/>
        <w:ind w:firstLine="480"/>
      </w:pPr>
      <w:r>
        <w:rPr>
          <w:rFonts w:hint="eastAsia"/>
        </w:rPr>
        <w:t>项目永久占地8720</w:t>
      </w:r>
      <w:r>
        <w:rPr>
          <w:rFonts w:hint="eastAsia"/>
          <w:bCs/>
        </w:rPr>
        <w:t>m</w:t>
      </w:r>
      <w:r>
        <w:rPr>
          <w:rFonts w:hint="eastAsia"/>
          <w:bCs/>
          <w:vertAlign w:val="superscript"/>
        </w:rPr>
        <w:t>2</w:t>
      </w:r>
      <w:r>
        <w:rPr>
          <w:rFonts w:hint="eastAsia"/>
        </w:rPr>
        <w:t>（不涉及新增占地）</w:t>
      </w:r>
      <w:r>
        <w:t>。不占用永久基本农田，不涉及基本农田保护区，符合基本农田保护相关规范及要求。</w:t>
      </w:r>
    </w:p>
    <w:p>
      <w:pPr>
        <w:pStyle w:val="6"/>
        <w:ind w:firstLine="480"/>
        <w:rPr>
          <w:rFonts w:ascii="Times New Roman" w:cs="Times New Roman"/>
          <w:bCs/>
        </w:rPr>
      </w:pPr>
      <w:r>
        <w:rPr>
          <w:rFonts w:hint="eastAsia" w:hAnsi="宋体"/>
          <w:bCs/>
        </w:rPr>
        <w:t>②</w:t>
      </w:r>
      <w:r>
        <w:rPr>
          <w:rFonts w:ascii="Times New Roman" w:cs="Times New Roman"/>
          <w:bCs/>
        </w:rPr>
        <w:t>占地影响分析</w:t>
      </w:r>
    </w:p>
    <w:p>
      <w:pPr>
        <w:pStyle w:val="6"/>
        <w:ind w:firstLine="480"/>
        <w:rPr>
          <w:rFonts w:ascii="Times New Roman" w:cs="Times New Roman"/>
          <w:bCs/>
        </w:rPr>
      </w:pPr>
      <w:r>
        <w:rPr>
          <w:rFonts w:ascii="Times New Roman" w:cs="Times New Roman"/>
          <w:bCs/>
        </w:rPr>
        <w:t>由于本项目永久占用土地</w:t>
      </w:r>
      <w:r>
        <w:rPr>
          <w:rFonts w:hint="eastAsia" w:ascii="Times New Roman" w:cs="Times New Roman"/>
          <w:bCs/>
        </w:rPr>
        <w:t>不涉及新增占地</w:t>
      </w:r>
      <w:r>
        <w:rPr>
          <w:rFonts w:ascii="Times New Roman" w:cs="Times New Roman"/>
          <w:bCs/>
        </w:rPr>
        <w:t>，不会对当地土地利用产生影响。项目永久占地</w:t>
      </w:r>
      <w:r>
        <w:rPr>
          <w:rFonts w:ascii="Times New Roman" w:cs="Times New Roman"/>
        </w:rPr>
        <w:t>不占用永久基本农田，不涉及基本农田保护区</w:t>
      </w:r>
      <w:r>
        <w:rPr>
          <w:rFonts w:ascii="Times New Roman" w:cs="Times New Roman"/>
          <w:bCs/>
        </w:rPr>
        <w:t>。</w:t>
      </w:r>
    </w:p>
    <w:p>
      <w:pPr>
        <w:pStyle w:val="6"/>
        <w:ind w:firstLine="482"/>
        <w:rPr>
          <w:rFonts w:ascii="Times New Roman" w:cs="Times New Roman"/>
          <w:b/>
          <w:bCs/>
        </w:rPr>
      </w:pPr>
      <w:r>
        <w:rPr>
          <w:rFonts w:ascii="Times New Roman" w:cs="Times New Roman"/>
          <w:b/>
          <w:bCs/>
        </w:rPr>
        <w:t>（2）临时占地</w:t>
      </w:r>
    </w:p>
    <w:p>
      <w:pPr>
        <w:pStyle w:val="112"/>
        <w:ind w:firstLine="480"/>
      </w:pPr>
      <w:r>
        <w:rPr>
          <w:rFonts w:hint="eastAsia" w:hAnsi="宋体"/>
        </w:rPr>
        <w:t>①</w:t>
      </w:r>
      <w:r>
        <w:t>占地情况</w:t>
      </w:r>
    </w:p>
    <w:p>
      <w:pPr>
        <w:pStyle w:val="112"/>
        <w:ind w:firstLine="480"/>
      </w:pPr>
      <w:r>
        <w:t>本项目</w:t>
      </w:r>
      <w:r>
        <w:rPr>
          <w:bCs/>
        </w:rPr>
        <w:t>临时占地</w:t>
      </w:r>
      <w:r>
        <w:rPr>
          <w:rFonts w:hint="eastAsia"/>
          <w:bCs/>
        </w:rPr>
        <w:t>410</w:t>
      </w:r>
      <w:r>
        <w:rPr>
          <w:bCs/>
        </w:rPr>
        <w:t>0m</w:t>
      </w:r>
      <w:r>
        <w:rPr>
          <w:bCs/>
          <w:vertAlign w:val="superscript"/>
        </w:rPr>
        <w:t>2</w:t>
      </w:r>
      <w:r>
        <w:t>，其中管道作业带（8m）临时占地</w:t>
      </w:r>
      <w:r>
        <w:rPr>
          <w:rFonts w:hint="eastAsia"/>
        </w:rPr>
        <w:t>280</w:t>
      </w:r>
      <w:r>
        <w:t>0</w:t>
      </w:r>
      <w:r>
        <w:rPr>
          <w:bCs/>
        </w:rPr>
        <w:t>m</w:t>
      </w:r>
      <w:r>
        <w:rPr>
          <w:bCs/>
          <w:vertAlign w:val="superscript"/>
        </w:rPr>
        <w:t>2</w:t>
      </w:r>
      <w:r>
        <w:t>，管道工程区堆管点临时占地</w:t>
      </w:r>
      <w:r>
        <w:rPr>
          <w:rFonts w:hint="eastAsia"/>
        </w:rPr>
        <w:t>5</w:t>
      </w:r>
      <w:r>
        <w:t>00</w:t>
      </w:r>
      <w:r>
        <w:rPr>
          <w:bCs/>
        </w:rPr>
        <w:t>m</w:t>
      </w:r>
      <w:r>
        <w:rPr>
          <w:bCs/>
          <w:vertAlign w:val="superscript"/>
        </w:rPr>
        <w:t>2</w:t>
      </w:r>
      <w:r>
        <w:t>，施工便道区临时占地</w:t>
      </w:r>
      <w:r>
        <w:rPr>
          <w:rFonts w:hint="eastAsia"/>
        </w:rPr>
        <w:t>8</w:t>
      </w:r>
      <w:r>
        <w:t>00</w:t>
      </w:r>
      <w:r>
        <w:rPr>
          <w:bCs/>
        </w:rPr>
        <w:t>m</w:t>
      </w:r>
      <w:r>
        <w:rPr>
          <w:bCs/>
          <w:vertAlign w:val="superscript"/>
        </w:rPr>
        <w:t>2</w:t>
      </w:r>
      <w:r>
        <w:t>。</w:t>
      </w:r>
      <w:r>
        <w:rPr>
          <w:rFonts w:hint="eastAsia"/>
          <w:bCs/>
          <w:color w:val="FF0000"/>
        </w:rPr>
        <w:t>项目管线临时占地涉及永久基本农田，建设单位将依法办理相关用地手续，新增临时占地施工结束后进行复垦</w:t>
      </w:r>
      <w:r>
        <w:t>，符合基本农田保护相关规范及要求。</w:t>
      </w:r>
      <w:r>
        <w:rPr>
          <w:rFonts w:hint="eastAsia"/>
        </w:rPr>
        <w:t>临时占地影响范围内涉及二级公益林，因此，在具体施工中，将二级公益林进行保护，严禁施工中损毁二级公益林</w:t>
      </w:r>
      <w:r>
        <w:t>。</w:t>
      </w:r>
    </w:p>
    <w:p>
      <w:pPr>
        <w:pStyle w:val="112"/>
        <w:ind w:firstLine="480"/>
      </w:pPr>
      <w:r>
        <w:rPr>
          <w:rFonts w:hint="eastAsia" w:hAnsi="宋体"/>
        </w:rPr>
        <w:t>②</w:t>
      </w:r>
      <w:r>
        <w:t>占地影响</w:t>
      </w:r>
    </w:p>
    <w:p>
      <w:pPr>
        <w:pStyle w:val="112"/>
        <w:ind w:firstLine="480"/>
      </w:pPr>
      <w:r>
        <w:t>项目的临时占地主要在施工期。在管线及站场施工过程中，施工作业带、施工便道等均为临时占用土地，一般仅在施工阶段造成沿线土地利用的暂时改变，大部分用地在施工结束后短期内（1年～2年）能恢复原有的利用功能。</w:t>
      </w:r>
    </w:p>
    <w:p>
      <w:pPr>
        <w:pStyle w:val="112"/>
        <w:ind w:firstLine="480"/>
      </w:pPr>
      <w:r>
        <w:t>A.管道施工作业带占地</w:t>
      </w:r>
    </w:p>
    <w:p>
      <w:pPr>
        <w:pStyle w:val="112"/>
        <w:ind w:firstLine="480"/>
      </w:pPr>
      <w:r>
        <w:t>管道工程大部分临时占地是在管道开挖埋设施工过程中，由于管道施工分段进行，施工时间较短，每段管线从施工到重新覆土约为三个月的时间，施工完毕后，管道敷设完成，该地段土地利用大部分可恢复为原利用状态。</w:t>
      </w:r>
    </w:p>
    <w:p>
      <w:pPr>
        <w:pStyle w:val="112"/>
        <w:ind w:firstLine="480"/>
      </w:pPr>
      <w:r>
        <w:t>施工完成后，管道两侧5m范围内不能再种植深根植物，一般情况下，该地段可以种植根系不发达的草本植物，以改善景观、防止水土流失。因此从用地类型看对林地、灌丛等用地有一定的影响。</w:t>
      </w:r>
    </w:p>
    <w:p>
      <w:pPr>
        <w:pStyle w:val="112"/>
        <w:ind w:firstLine="480"/>
      </w:pPr>
      <w:r>
        <w:t>从宏观整体区域看，施工作业带为线性施工，相较于所占地类型面积比例极小，施工临时区域不会影响该区域的土地利用结构。管道施工完毕，管线两侧5m范围外可以重新种植深根作物，对土地利用的影响也将逐渐消失。</w:t>
      </w:r>
    </w:p>
    <w:p>
      <w:pPr>
        <w:pStyle w:val="112"/>
        <w:ind w:firstLine="480"/>
      </w:pPr>
      <w:r>
        <w:t>B.施工便道占地</w:t>
      </w:r>
    </w:p>
    <w:p>
      <w:pPr>
        <w:pStyle w:val="112"/>
        <w:ind w:firstLine="480"/>
      </w:pPr>
      <w:r>
        <w:t>管线施工便道属于临时性工程占地，施工结束后大部分即可恢复原有用地使用性质，一部分的施工便道将作为农村道路或者为了管道维护的方便而保持下来，虽然改变了其原有的用地性质，但由于保留的施工便道比较少，不会对区域土地利用产生较大影响。施工期施工便道对沿线生态环境的影响主要有：</w:t>
      </w:r>
    </w:p>
    <w:p>
      <w:pPr>
        <w:pStyle w:val="112"/>
        <w:ind w:firstLine="480"/>
      </w:pPr>
      <w:r>
        <w:t>a.临时占地将破坏地表原有植被作物，其中对农作物而言将减少一季收成；</w:t>
      </w:r>
    </w:p>
    <w:p>
      <w:pPr>
        <w:pStyle w:val="112"/>
        <w:ind w:firstLine="480"/>
      </w:pPr>
      <w:r>
        <w:t>b.施工过程中车辆碾压使占地范围内的土壤紧实度增加，对土地复耕后作物根系发育和生长不利；</w:t>
      </w:r>
    </w:p>
    <w:p>
      <w:pPr>
        <w:pStyle w:val="112"/>
        <w:ind w:firstLine="480"/>
      </w:pPr>
      <w:r>
        <w:t>c.在干燥天气下，车辆行驶扬尘，使便道两侧作物叶面覆盖降尘，光合作用弱，影响作物生长；降雨天气，施工车辆进出施工场地，施工便道上的泥土将影响到公路路面的清洁，干燥后会产生扬尘污染；</w:t>
      </w:r>
    </w:p>
    <w:p>
      <w:pPr>
        <w:pStyle w:val="112"/>
        <w:ind w:firstLine="480"/>
      </w:pPr>
      <w:r>
        <w:t>总之，临时性工程占地短期内将影响沿线土地的利用状况，施工结束后，随着生态补偿或生态恢复措施的实施，这一影响将逐渐小或消失。</w:t>
      </w:r>
    </w:p>
    <w:p>
      <w:pPr>
        <w:pStyle w:val="112"/>
        <w:ind w:firstLine="482"/>
        <w:rPr>
          <w:b/>
          <w:bCs/>
        </w:rPr>
      </w:pPr>
      <w:r>
        <w:rPr>
          <w:b/>
          <w:bCs/>
        </w:rPr>
        <w:t>（3）</w:t>
      </w:r>
      <w:r>
        <w:rPr>
          <w:rFonts w:hint="eastAsia"/>
          <w:b/>
          <w:bCs/>
        </w:rPr>
        <w:t>占地</w:t>
      </w:r>
      <w:r>
        <w:rPr>
          <w:b/>
          <w:bCs/>
        </w:rPr>
        <w:t>对农业生产的影响</w:t>
      </w:r>
    </w:p>
    <w:p>
      <w:pPr>
        <w:pStyle w:val="112"/>
        <w:ind w:firstLine="480"/>
        <w:rPr>
          <w:bCs/>
        </w:rPr>
      </w:pPr>
      <w:r>
        <w:rPr>
          <w:bCs/>
        </w:rPr>
        <w:t>在管道施工期间，主要包括站场建设、管道施工以及施工便道建设期，当季无法种植农作物，而且将破坏施工地面已有的农作物，这些都将造成一定的经济损失。管道维修养护也将影响农业收入。</w:t>
      </w:r>
    </w:p>
    <w:p>
      <w:pPr>
        <w:pStyle w:val="112"/>
        <w:ind w:firstLine="480"/>
      </w:pPr>
      <w:r>
        <w:t>在施工期间，由于土石开挖填埋、机械与车辆碾压及人员践踏等活动，将对施工作业带范围内的农作物产生影响。输气管道工程对农作物的影响主要表现在临时性占用土地的形式上。倘若施工作业在耕作期，必将毁坏农作物减少农作物产量。临时性占地只对耕作期的作物有影响，对农业带来的损失是暂时的，在施工结束后，经过一段时间皆可恢复其原有功能。由于管道的开挖和铺设是分段进行的，每段施工的期限为1~3个月，因而只会影响一季度的农作物收成，施工结束后，第二年将会恢复种植。</w:t>
      </w:r>
    </w:p>
    <w:p>
      <w:pPr>
        <w:pStyle w:val="112"/>
        <w:ind w:firstLine="480"/>
        <w:rPr>
          <w:bCs/>
        </w:rPr>
      </w:pPr>
      <w:r>
        <w:t>对于临时占用耕地使农民受到一定的经济损失，</w:t>
      </w:r>
      <w:r>
        <w:rPr>
          <w:bCs/>
        </w:rPr>
        <w:t>项目建设需对沿线农作物、林地资源等资源的赔偿，</w:t>
      </w:r>
      <w:r>
        <w:t>这部分损失应给予赔偿，</w:t>
      </w:r>
      <w:r>
        <w:rPr>
          <w:bCs/>
        </w:rPr>
        <w:t>与相关方面达成一致协议，同时设立赔偿专项资金，最大限度</w:t>
      </w:r>
      <w:r>
        <w:rPr>
          <w:rFonts w:hint="eastAsia"/>
          <w:bCs/>
          <w:lang w:eastAsia="zh-CN"/>
        </w:rPr>
        <w:t>地</w:t>
      </w:r>
      <w:r>
        <w:rPr>
          <w:bCs/>
        </w:rPr>
        <w:t>减小项目对当地的影响。</w:t>
      </w:r>
    </w:p>
    <w:p>
      <w:pPr>
        <w:pStyle w:val="112"/>
        <w:ind w:firstLine="482"/>
        <w:rPr>
          <w:b/>
        </w:rPr>
      </w:pPr>
      <w:r>
        <w:rPr>
          <w:rFonts w:hint="eastAsia"/>
          <w:b/>
        </w:rPr>
        <w:t>2、主要工程活动对生态环境的影响分析</w:t>
      </w:r>
    </w:p>
    <w:p>
      <w:pPr>
        <w:pStyle w:val="112"/>
        <w:ind w:firstLine="480"/>
      </w:pPr>
      <w:r>
        <w:rPr>
          <w:rFonts w:hint="eastAsia"/>
        </w:rPr>
        <w:t>（1）敷设管道对生态环境的影响</w:t>
      </w:r>
    </w:p>
    <w:p>
      <w:pPr>
        <w:pStyle w:val="112"/>
        <w:ind w:firstLine="480"/>
      </w:pPr>
      <w:r>
        <w:rPr>
          <w:rFonts w:hint="eastAsia"/>
        </w:rPr>
        <w:t>管线主要沿低山、丘陵地带敷设，部分区段需要翻越山体。施工活动将破坏自然植被，工程施工过程中将开挖地表覆盖层，破坏植被，扰动土层，造成山体岩石暴露，产生大量弃石（土）渣，加剧该地区的水土流失。此外，开挖管沟产生的弃土石方处理不当，也会对生态环境造成严重影响，在以往工程中曾发生过弃土石顺山坡倾倒的现象，造成青山坡变成了砾石堆，甚至堵塞河道，造成严重水土流失，山体石漠化。</w:t>
      </w:r>
    </w:p>
    <w:p>
      <w:pPr>
        <w:pStyle w:val="112"/>
        <w:ind w:firstLine="480"/>
      </w:pPr>
      <w:r>
        <w:rPr>
          <w:rFonts w:hint="eastAsia"/>
        </w:rPr>
        <w:t>（2）施工便道建设</w:t>
      </w:r>
    </w:p>
    <w:p>
      <w:pPr>
        <w:pStyle w:val="112"/>
        <w:ind w:firstLine="480"/>
      </w:pPr>
      <w:r>
        <w:rPr>
          <w:rFonts w:hint="eastAsia"/>
        </w:rPr>
        <w:t>项目施工主要利用周边现有道路，对于局部交通条件较差区，通过新建或改扩建施工道路满足项目施工运输需要，本输气管道项目施工道路主要依托乡村道路，仅针对局部深丘、低山地段无道路可利用时新建道路。</w:t>
      </w:r>
    </w:p>
    <w:p>
      <w:pPr>
        <w:pStyle w:val="112"/>
        <w:ind w:firstLine="480"/>
      </w:pPr>
      <w:r>
        <w:rPr>
          <w:rFonts w:hint="eastAsia"/>
        </w:rPr>
        <w:t>①部分线路为改造原有机耕道，对原有机耕道作适当的路面修补和加固，清理边沟（主要针对道路较宽，路面条件较好，局部通过性低的道路）；</w:t>
      </w:r>
    </w:p>
    <w:p>
      <w:pPr>
        <w:pStyle w:val="112"/>
        <w:ind w:firstLine="480"/>
      </w:pPr>
      <w:r>
        <w:rPr>
          <w:rFonts w:hint="eastAsia"/>
        </w:rPr>
        <w:t>②改造原有机耕道面修补、加固和加宽，清理边沟（主要针对道路较窄，路基较软，转弯半径较小，必须改建后方可通过重型车辆）；</w:t>
      </w:r>
    </w:p>
    <w:p>
      <w:pPr>
        <w:pStyle w:val="112"/>
        <w:ind w:firstLine="480"/>
      </w:pPr>
      <w:r>
        <w:rPr>
          <w:rFonts w:hint="eastAsia"/>
        </w:rPr>
        <w:t>③针对局部深丘、中低山地段无道路可利用时新建道路。</w:t>
      </w:r>
    </w:p>
    <w:p>
      <w:pPr>
        <w:pStyle w:val="112"/>
        <w:ind w:firstLine="480"/>
      </w:pPr>
      <w:r>
        <w:rPr>
          <w:rFonts w:hint="eastAsia"/>
        </w:rPr>
        <w:t>经统计，本项目</w:t>
      </w:r>
      <w:r>
        <w:t>施工便道区临时占地</w:t>
      </w:r>
      <w:r>
        <w:rPr>
          <w:rFonts w:hint="eastAsia"/>
        </w:rPr>
        <w:t>8</w:t>
      </w:r>
      <w:r>
        <w:t>00</w:t>
      </w:r>
      <w:r>
        <w:rPr>
          <w:bCs/>
        </w:rPr>
        <w:t>m</w:t>
      </w:r>
      <w:r>
        <w:rPr>
          <w:bCs/>
          <w:vertAlign w:val="superscript"/>
        </w:rPr>
        <w:t>2</w:t>
      </w:r>
      <w:r>
        <w:rPr>
          <w:rFonts w:hint="eastAsia"/>
        </w:rPr>
        <w:t>，均为临时占地，占地类型为耕地、一般林地和其他土地。待施工完成后，施工便道恢复成原有的土地利用类型。</w:t>
      </w:r>
    </w:p>
    <w:p>
      <w:pPr>
        <w:pStyle w:val="112"/>
        <w:ind w:firstLine="480"/>
      </w:pPr>
      <w:r>
        <w:rPr>
          <w:rFonts w:hint="eastAsia"/>
        </w:rPr>
        <w:t>施工道路占地类型以耕地、一般林地和其他土地为主。修建道路，要动用大量土石方，必将破坏地表植被，改变土壤结构，取土及弃土施工方式或措施选用不当，易引发水土流失、滑坡、塌陷、泥石流等自然灾害。</w:t>
      </w:r>
    </w:p>
    <w:p>
      <w:pPr>
        <w:pStyle w:val="112"/>
        <w:ind w:firstLine="480"/>
      </w:pPr>
      <w:r>
        <w:rPr>
          <w:rFonts w:hint="eastAsia"/>
        </w:rPr>
        <w:t>道路建成后，会给地方的交通和生活带来一定的便利，但也会给环境带来一定的不利影响。道路对沿线生态环境的主要影响有：交通的便利使周边地区的人员和机械更易进入管道沿线地区，使原自然生境更易受到扰动、遭到破坏。</w:t>
      </w:r>
    </w:p>
    <w:p>
      <w:pPr>
        <w:pStyle w:val="112"/>
        <w:ind w:firstLine="480"/>
      </w:pPr>
      <w:r>
        <w:rPr>
          <w:rFonts w:hint="eastAsia"/>
        </w:rPr>
        <w:t>（3）穿越公路对生态环境的影响分析</w:t>
      </w:r>
    </w:p>
    <w:p>
      <w:pPr>
        <w:pStyle w:val="112"/>
        <w:ind w:firstLine="480"/>
      </w:pPr>
      <w:r>
        <w:rPr>
          <w:rFonts w:hint="eastAsia"/>
        </w:rPr>
        <w:t>本工程沿线共穿越公路（均为乡村道路）1次，累计穿越长度约4</w:t>
      </w:r>
      <w:r>
        <w:t>m</w:t>
      </w:r>
      <w:r>
        <w:rPr>
          <w:rFonts w:hint="eastAsia"/>
        </w:rPr>
        <w:t>，采用顶管穿越方式进行穿越。</w:t>
      </w:r>
    </w:p>
    <w:p>
      <w:pPr>
        <w:pStyle w:val="112"/>
        <w:ind w:firstLine="480"/>
      </w:pPr>
      <w:r>
        <w:rPr>
          <w:rFonts w:hint="eastAsia"/>
        </w:rPr>
        <w:t>穿越公路工程施工期较短，可以采取集中施工方式进行，缩短施工期限，这种影响属于短期行为，施工结束后影响就会消失，施工过程中只要安排好工程进度，搞好施工管理，对生态环境和景观格局带来的影响较小。</w:t>
      </w:r>
    </w:p>
    <w:p>
      <w:pPr>
        <w:pStyle w:val="112"/>
        <w:ind w:firstLine="482"/>
        <w:rPr>
          <w:b/>
          <w:bCs/>
        </w:rPr>
      </w:pPr>
      <w:r>
        <w:rPr>
          <w:b/>
          <w:bCs/>
        </w:rPr>
        <w:t>3、</w:t>
      </w:r>
      <w:r>
        <w:rPr>
          <w:rFonts w:hint="eastAsia"/>
          <w:b/>
          <w:bCs/>
        </w:rPr>
        <w:t>对陆生植物的影响分析</w:t>
      </w:r>
    </w:p>
    <w:p>
      <w:pPr>
        <w:pStyle w:val="112"/>
        <w:ind w:firstLine="480"/>
      </w:pPr>
      <w:r>
        <w:rPr>
          <w:rFonts w:hint="eastAsia"/>
        </w:rPr>
        <w:t>评价区内的植物都是区域内分布广泛的常见种和广布种。工程施工会消除施工区内的植物个体，使相关种类的个体数量减少，但受影响的个体数量非常有限，工程建设不会造成相关区域植物种群数量的明显改变，不会造成植物种类的减少和植物区系的改变。工程运行期间，不会对植物资源造成任何影响。</w:t>
      </w:r>
    </w:p>
    <w:p>
      <w:pPr>
        <w:pStyle w:val="112"/>
        <w:ind w:firstLine="480"/>
      </w:pPr>
      <w:r>
        <w:rPr>
          <w:rFonts w:hint="eastAsia"/>
        </w:rPr>
        <w:t>管道施工期间一次性的干扰和破坏将影响植物的生长和物种多样性。土石回填后，周围植物渐次侵入，植被开始恢复。根据生态学观点，管道施工过程是对植被及其生态系统的一次性扰动，这种扰动一旦结束，则由施工形成的次生裸地便开始向顶级植物群落方向演替。</w:t>
      </w:r>
    </w:p>
    <w:p>
      <w:pPr>
        <w:pStyle w:val="112"/>
        <w:ind w:firstLine="480"/>
      </w:pPr>
      <w:r>
        <w:rPr>
          <w:rFonts w:hint="eastAsia"/>
        </w:rPr>
        <w:t>按照生态学理论，管道沿线的植被破坏具有暂时性，一般将随施工完成而终止。根据管线所经地区的土壤、气候等自然条件分析，施工结束后，周围植物渐次侵入，开始恢复演替过程。要恢复植被覆盖，草本最先进入，可能需要</w:t>
      </w:r>
      <w:r>
        <w:t>1</w:t>
      </w:r>
      <w:r>
        <w:rPr>
          <w:rFonts w:hint="eastAsia"/>
        </w:rPr>
        <w:t>～</w:t>
      </w:r>
      <w:r>
        <w:t>2</w:t>
      </w:r>
      <w:r>
        <w:rPr>
          <w:rFonts w:hint="eastAsia"/>
        </w:rPr>
        <w:t>年，灌木侵入需要</w:t>
      </w:r>
      <w:r>
        <w:t>5</w:t>
      </w:r>
      <w:r>
        <w:rPr>
          <w:rFonts w:hint="eastAsia"/>
        </w:rPr>
        <w:t>～</w:t>
      </w:r>
      <w:r>
        <w:t>10</w:t>
      </w:r>
      <w:r>
        <w:rPr>
          <w:rFonts w:hint="eastAsia"/>
        </w:rPr>
        <w:t>年。采用人工植树种草的措施，可以加快恢复进程，</w:t>
      </w:r>
      <w:r>
        <w:t>2</w:t>
      </w:r>
      <w:r>
        <w:rPr>
          <w:rFonts w:hint="eastAsia"/>
        </w:rPr>
        <w:t>～</w:t>
      </w:r>
      <w:r>
        <w:t>3</w:t>
      </w:r>
      <w:r>
        <w:rPr>
          <w:rFonts w:hint="eastAsia"/>
        </w:rPr>
        <w:t>年恢复草本植被，</w:t>
      </w:r>
      <w:r>
        <w:t>3</w:t>
      </w:r>
      <w:r>
        <w:rPr>
          <w:rFonts w:hint="eastAsia"/>
        </w:rPr>
        <w:t>～</w:t>
      </w:r>
      <w:r>
        <w:t>5</w:t>
      </w:r>
      <w:r>
        <w:rPr>
          <w:rFonts w:hint="eastAsia"/>
        </w:rPr>
        <w:t>年恢复灌木植被，</w:t>
      </w:r>
      <w:r>
        <w:t>10</w:t>
      </w:r>
      <w:r>
        <w:rPr>
          <w:rFonts w:hint="eastAsia"/>
        </w:rPr>
        <w:t>～</w:t>
      </w:r>
      <w:r>
        <w:t>15</w:t>
      </w:r>
      <w:r>
        <w:rPr>
          <w:rFonts w:hint="eastAsia"/>
        </w:rPr>
        <w:t>年恢复乔木植被。但是，恢复的含义并非是完全恢复原施工前的植被种类组成和相对数量比例，而只是恢复至种类组成近似，物种多样性指数值近似的状态，但仍有所降低。</w:t>
      </w:r>
    </w:p>
    <w:p>
      <w:pPr>
        <w:pStyle w:val="112"/>
        <w:ind w:firstLine="480"/>
      </w:pPr>
      <w:r>
        <w:t>管道施工确实对该区域植被造成一定的影响，但总体上不会使评价区内植物群落的种类组成发生变化，也不会造成某一植物种的消失，对区域植被稳定性的破坏较小。首先，本工程属于线性工程，对管线所经过林区的整体生态功能的影响相对较小，被破坏的灌丛和乔木，估计至少需要5年（灌丛）或更长（乔木）的时可以逐渐恢复。其次，从植物种类来看，在施工期作业场地范围内被破坏或影响的植物均为广布种和常见种，且分布也较均匀。施工结束后，通过复垦、恢复植被、补偿等措施，评价范围内被破坏的人工植被可以得到有效的恢复。</w:t>
      </w:r>
    </w:p>
    <w:p>
      <w:pPr>
        <w:pStyle w:val="112"/>
        <w:ind w:firstLine="480"/>
      </w:pPr>
      <w:r>
        <w:t>同时，本次环评提出，在施工过程中一旦发现保护植物，需立即告知当地林业部门，并在林业部门的指导下采取合理的保护措施。</w:t>
      </w:r>
    </w:p>
    <w:p>
      <w:pPr>
        <w:pStyle w:val="112"/>
        <w:ind w:firstLine="482"/>
        <w:rPr>
          <w:b/>
          <w:bCs/>
        </w:rPr>
      </w:pPr>
      <w:r>
        <w:rPr>
          <w:b/>
          <w:bCs/>
        </w:rPr>
        <w:t>4、</w:t>
      </w:r>
      <w:r>
        <w:rPr>
          <w:rFonts w:hint="eastAsia"/>
          <w:b/>
          <w:bCs/>
        </w:rPr>
        <w:t>对野生动物的影响分析</w:t>
      </w:r>
    </w:p>
    <w:p>
      <w:pPr>
        <w:pStyle w:val="112"/>
        <w:ind w:firstLine="480"/>
      </w:pPr>
      <w:bookmarkStart w:id="465" w:name="_Toc12288621"/>
      <w:r>
        <w:t>（1）对两栖爬行类动物的影响</w:t>
      </w:r>
    </w:p>
    <w:p>
      <w:pPr>
        <w:pStyle w:val="112"/>
        <w:ind w:firstLine="480"/>
      </w:pPr>
      <w:r>
        <w:t>两栖爬行动物一般在冬季冬眠，或经历一段休眠期，在物种的出现和行为方面表现出季节性。在冬季施工时，遇到两栖爬行动物的几率较小，对其直接造成的损害几乎没有，只要注意施工时减少对鱼塘等生境的破坏，就能降低对两栖爬行动物的影响范围。由于两栖爬行类在评价区范围内种类不多，分布数量较少，故管道工程施工对其影响较小。</w:t>
      </w:r>
    </w:p>
    <w:p>
      <w:pPr>
        <w:pStyle w:val="112"/>
        <w:ind w:firstLine="480"/>
      </w:pPr>
      <w:r>
        <w:t>（2）对鸟类动物的影响</w:t>
      </w:r>
    </w:p>
    <w:p>
      <w:pPr>
        <w:pStyle w:val="112"/>
        <w:ind w:firstLine="480"/>
      </w:pPr>
      <w:r>
        <w:rPr>
          <w:rFonts w:hint="eastAsia" w:ascii="宋体" w:hAnsi="宋体" w:cs="宋体"/>
        </w:rPr>
        <w:t>①</w:t>
      </w:r>
      <w:r>
        <w:t>在施工过程中，管线穿越</w:t>
      </w:r>
      <w:r>
        <w:rPr>
          <w:rFonts w:hint="eastAsia"/>
        </w:rPr>
        <w:t>一般</w:t>
      </w:r>
      <w:r>
        <w:t>林地时，施工场地将在</w:t>
      </w:r>
      <w:r>
        <w:rPr>
          <w:rFonts w:hint="eastAsia"/>
        </w:rPr>
        <w:t>一般</w:t>
      </w:r>
      <w:r>
        <w:t>林地中形成干扰走廊，影响到野生动物的迁移与觅食，施工的噪音影响野生动物的栖息，如在夜晚施工，灯光也会影响到鸟类的栖息，甚至影响到候鸟的迁移等；堆放的生活垃圾以及废弃物也对野生鸟类的生存产生影响。</w:t>
      </w:r>
    </w:p>
    <w:p>
      <w:pPr>
        <w:pStyle w:val="112"/>
        <w:ind w:firstLine="480"/>
      </w:pPr>
      <w:r>
        <w:rPr>
          <w:rFonts w:hint="eastAsia" w:ascii="宋体" w:hAnsi="宋体" w:cs="宋体"/>
        </w:rPr>
        <w:t>②</w:t>
      </w:r>
      <w:r>
        <w:t>工程施工时，施工人员对野生鸟类可能的捕杀会影响到鸟类的种类与数量，甚至会影响珍稀野生动物种类的存在。</w:t>
      </w:r>
    </w:p>
    <w:p>
      <w:pPr>
        <w:pStyle w:val="112"/>
        <w:ind w:firstLine="480"/>
      </w:pPr>
      <w:r>
        <w:rPr>
          <w:rFonts w:hint="eastAsia" w:ascii="宋体" w:hAnsi="宋体" w:cs="宋体"/>
        </w:rPr>
        <w:t>③</w:t>
      </w:r>
      <w:r>
        <w:t>施工期如处在野生鸟类的繁殖季节，则会影响到野生鸟类的生殖繁衍。但施工期一般只有2～4个月，只要加强管理，工程对鸟类的影响是可控的。</w:t>
      </w:r>
    </w:p>
    <w:p>
      <w:pPr>
        <w:pStyle w:val="112"/>
        <w:ind w:firstLine="480"/>
      </w:pPr>
      <w:r>
        <w:t>（3）对陆生脊椎动物的影响</w:t>
      </w:r>
    </w:p>
    <w:p>
      <w:pPr>
        <w:pStyle w:val="112"/>
        <w:ind w:firstLine="480"/>
      </w:pPr>
      <w:r>
        <w:t>本工程在管道施工期间由于车辆机具的运行及施工人员的活动等，会对管道所在地区的野生动物特别是第一类适应顶极群落的动物产生惊扰而使其躲避或暂时迁移。因此第一类适应顶级群落的动物可以避开施工干扰区，从而减小对其的影响。</w:t>
      </w:r>
    </w:p>
    <w:p>
      <w:pPr>
        <w:pStyle w:val="112"/>
        <w:ind w:firstLine="480"/>
      </w:pPr>
      <w:r>
        <w:t>施工地段的阻隔也可能使一些陆行动物暂时失去迁移行走的通道，但通过调查，未发现横穿管线的重要动物通道；同时，本工程施工是分段进行的，就某一段来讲，施工期一般只有1～3个月，施工完毕即可恢复正常，不会影响动物存活及种群数量；施工过程中，人为干扰如施工人员滥捕乱猎等现象的出现，将直接影响到这一地区的某些野生动物种群数量。这种影响可通过加强对施工人员的宣传教育和管理得到消除；施工活动将对动物的生境造成一定破坏，施工区域内自然植被的破坏，会使一些野生动物失去小量觅食地、栖息场所和活动区域，但由于工程建设区域的主要植被类型为农田、受人类活动干扰的</w:t>
      </w:r>
      <w:r>
        <w:rPr>
          <w:rFonts w:hint="eastAsia"/>
        </w:rPr>
        <w:t>一般</w:t>
      </w:r>
      <w:r>
        <w:t>林地，且施工带的面积占</w:t>
      </w:r>
      <w:r>
        <w:rPr>
          <w:rFonts w:hint="eastAsia"/>
        </w:rPr>
        <w:t>一般</w:t>
      </w:r>
      <w:r>
        <w:t>林地区域面积很小，所以生境破坏不会对动物的生存和繁殖造成明显影响；同时，工程影响是短期的，施工结束后将进行土地复垦和植被恢复，多数动物有重返原有生存环境的条件和可能。另一方面，由于在森林景观制造的这一施工廊道，在其植被恢复后产生的边缘效应，会导致廊道内生物多样性的增加，甚至会对野生动物的生存环境产生有利影响。</w:t>
      </w:r>
    </w:p>
    <w:p>
      <w:pPr>
        <w:pStyle w:val="112"/>
        <w:ind w:firstLine="480"/>
      </w:pPr>
      <w:r>
        <w:t>管道经过的</w:t>
      </w:r>
      <w:r>
        <w:rPr>
          <w:rFonts w:hint="eastAsia"/>
        </w:rPr>
        <w:t>一般</w:t>
      </w:r>
      <w:r>
        <w:t>林地区分布较多的有蹄动物是狍和野猪，管道施工期间可能对其造成影响，但它们可以通过短距离迁移适应生境变化，管道运营期对这两种动物基本没有影响。小型食肉兽狐、黄鼬也适应于多种交错生境，管道建成后对其没有影响。管道经过的南部平原区兽类物种组成更为简单，其中大型动物很少分布，小型食肉兽和啮齿类是兽类动物的主体。</w:t>
      </w:r>
    </w:p>
    <w:p>
      <w:pPr>
        <w:pStyle w:val="112"/>
        <w:ind w:firstLine="480"/>
      </w:pPr>
      <w:r>
        <w:t>总之，项目建设不会使管道沿线所经地区野生动物物种数发生变化，其种群数量也不会发生变化。</w:t>
      </w:r>
    </w:p>
    <w:p>
      <w:pPr>
        <w:pStyle w:val="112"/>
        <w:ind w:firstLine="480"/>
      </w:pPr>
      <w:r>
        <w:t>（4）对水生生物的影响</w:t>
      </w:r>
    </w:p>
    <w:p>
      <w:pPr>
        <w:pStyle w:val="112"/>
        <w:ind w:firstLine="480"/>
      </w:pPr>
      <w:r>
        <w:t>本项目不涉及对河流</w:t>
      </w:r>
      <w:r>
        <w:rPr>
          <w:rFonts w:hint="eastAsia"/>
        </w:rPr>
        <w:t>、</w:t>
      </w:r>
      <w:r>
        <w:t>沟渠、溪流的穿跨越。因此本项目施工对水生生物无影响。本次环评要求</w:t>
      </w:r>
      <w:r>
        <w:rPr>
          <w:spacing w:val="-8"/>
          <w:szCs w:val="21"/>
        </w:rPr>
        <w:t>施工期管线施工人员生活污水依托租用附近居民房收集处理</w:t>
      </w:r>
      <w:r>
        <w:rPr>
          <w:rFonts w:hint="eastAsia"/>
          <w:spacing w:val="-8"/>
          <w:szCs w:val="21"/>
        </w:rPr>
        <w:t>，井</w:t>
      </w:r>
      <w:r>
        <w:rPr>
          <w:spacing w:val="-8"/>
          <w:szCs w:val="21"/>
        </w:rPr>
        <w:t>场施工</w:t>
      </w:r>
      <w:r>
        <w:rPr>
          <w:rFonts w:hint="eastAsia"/>
          <w:spacing w:val="-8"/>
          <w:szCs w:val="21"/>
          <w:lang w:eastAsia="zh-CN"/>
        </w:rPr>
        <w:t>如厕</w:t>
      </w:r>
      <w:r>
        <w:rPr>
          <w:spacing w:val="-8"/>
          <w:szCs w:val="21"/>
        </w:rPr>
        <w:t>生活污水</w:t>
      </w:r>
      <w:r>
        <w:rPr>
          <w:rFonts w:hint="eastAsia"/>
          <w:spacing w:val="-8"/>
          <w:szCs w:val="21"/>
        </w:rPr>
        <w:t>依托</w:t>
      </w:r>
      <w:r>
        <w:rPr>
          <w:spacing w:val="-8"/>
          <w:szCs w:val="21"/>
        </w:rPr>
        <w:t>经</w:t>
      </w:r>
      <w:r>
        <w:rPr>
          <w:bCs/>
          <w:spacing w:val="-8"/>
          <w:szCs w:val="21"/>
        </w:rPr>
        <w:t>生态环保厕所收集处理</w:t>
      </w:r>
      <w:r>
        <w:rPr>
          <w:spacing w:val="-8"/>
          <w:szCs w:val="21"/>
        </w:rPr>
        <w:t>后，用作周边农肥，不外排</w:t>
      </w:r>
      <w:r>
        <w:rPr>
          <w:rFonts w:hint="eastAsia"/>
          <w:spacing w:val="-8"/>
          <w:szCs w:val="21"/>
        </w:rPr>
        <w:t>，员工洗澡、食堂废水经单独收集后拉运至黄金镇场镇污水处理厂处理</w:t>
      </w:r>
      <w:r>
        <w:t>，施工废水经处理后回用，固体废物及时清运、妥善处置，禁止将生活污水、施工废水、固体废物排入或倾倒至附近沟渠、溪流中，采取上述措施后，施工对水生生物产生的影响很小。</w:t>
      </w:r>
    </w:p>
    <w:bookmarkEnd w:id="465"/>
    <w:p>
      <w:pPr>
        <w:pStyle w:val="112"/>
        <w:ind w:firstLine="482"/>
        <w:rPr>
          <w:b/>
          <w:bCs/>
        </w:rPr>
      </w:pPr>
      <w:r>
        <w:rPr>
          <w:b/>
          <w:bCs/>
        </w:rPr>
        <w:t>5、土壤侵蚀和水土流失的影响</w:t>
      </w:r>
    </w:p>
    <w:p>
      <w:pPr>
        <w:pStyle w:val="112"/>
        <w:ind w:firstLine="480"/>
      </w:pPr>
      <w:r>
        <w:t>拟建管道工程水土流失主要发生在施工期。管沟开挖、施工便道的平整等建设将破坏原有相对稳定的地貌，使土壤结构疏松，作业区地表植被丧失，产生一定面积的裸露地面，诱发或加剧土壤侵蚀危害。</w:t>
      </w:r>
    </w:p>
    <w:p>
      <w:pPr>
        <w:pStyle w:val="112"/>
        <w:ind w:firstLine="480"/>
      </w:pPr>
      <w:r>
        <w:t>主要影响：</w:t>
      </w:r>
    </w:p>
    <w:p>
      <w:pPr>
        <w:pStyle w:val="112"/>
        <w:ind w:firstLine="480"/>
      </w:pPr>
      <w:r>
        <w:t>（1）原地表耕作层遭到破坏，土地肥力和生产力下降</w:t>
      </w:r>
    </w:p>
    <w:p>
      <w:pPr>
        <w:pStyle w:val="112"/>
        <w:ind w:firstLine="480"/>
      </w:pPr>
      <w:r>
        <w:t>工程建设施工与运行维护将占用和破坏部分旱地，对原地表土壤结构构成破坏，使土壤养分流失、土地生产力下降。</w:t>
      </w:r>
    </w:p>
    <w:p>
      <w:pPr>
        <w:pStyle w:val="112"/>
        <w:ind w:firstLine="480"/>
      </w:pPr>
      <w:r>
        <w:t>（2）危害工程安全：开挖回填形成的裸露坡地，如不采取护坡、护脚、拦挡等有效工程措施加以防护，将可能造成局部的崩塌和滑坡等现象，影响工程建筑物安全和整个项目的正常运行。</w:t>
      </w:r>
    </w:p>
    <w:p>
      <w:pPr>
        <w:pStyle w:val="112"/>
        <w:ind w:firstLine="480"/>
      </w:pPr>
      <w:r>
        <w:t>（3）损坏水土保持设施，破坏植被，加速了土壤侵蚀</w:t>
      </w:r>
    </w:p>
    <w:p>
      <w:pPr>
        <w:pStyle w:val="112"/>
        <w:ind w:firstLine="480"/>
      </w:pPr>
      <w:r>
        <w:t>本工程建设时不同程度的占压和扰动耕地、林草地，导致土壤结构改变，植被覆盖度降低，形成裸露面，降低了原地表的水土保持功能，加大该区生态环境人工修复的成本和难度。工程竣工后，原临时占用土地的植被遭到破坏，如果不及时采取措施，随着水土流失的发生，土壤中的肥力流失，进而导致土地贫瘠，加大绿化工作难度。</w:t>
      </w:r>
    </w:p>
    <w:p>
      <w:pPr>
        <w:pStyle w:val="112"/>
        <w:ind w:firstLine="480"/>
      </w:pPr>
      <w:r>
        <w:t>一般而言，施工期土壤侵蚀的影响待施工结束后基本消除；营运期地表复原后，只要严格实施相应的水土保持措施，不会造成新的土壤侵蚀。本项目分段进行建设，且遵循边开挖边回填的作业工序要求，每一管段施工周期相对较短。本工程水土流失时段划分为施工期和运行期，其中管道建设水土流失主要集中在施工期。鉴于沿线工程占地多为旱地和水田，施工结束后临时性工程占用的旱地和水田地段即可恢复耕种，营运期对地表植被影响不大。因此，本次评价水土流失预测时段按不同施工项目扰动持续时间各异，管沟开挖、施工便道平整拟定为约2个月。</w:t>
      </w:r>
    </w:p>
    <w:p>
      <w:pPr>
        <w:pStyle w:val="112"/>
        <w:ind w:firstLine="480"/>
      </w:pPr>
      <w:r>
        <w:t>综上，水土流失量主要发生在沿线工程扰动区内，对局部地区而言，新增土壤侵蚀量不大。</w:t>
      </w:r>
    </w:p>
    <w:p>
      <w:pPr>
        <w:pStyle w:val="112"/>
        <w:ind w:firstLine="482"/>
        <w:rPr>
          <w:b/>
        </w:rPr>
      </w:pPr>
      <w:r>
        <w:rPr>
          <w:b/>
        </w:rPr>
        <w:t>6、施工期主要生态环境影响分析</w:t>
      </w:r>
    </w:p>
    <w:p>
      <w:pPr>
        <w:pStyle w:val="112"/>
        <w:ind w:firstLine="480"/>
      </w:pPr>
      <w:r>
        <w:t>本项目的建设将改变项目地区部分土地的利用性质；造成生物量的减少；管道施工开挖土方引起土壤结构、土壤紧实度、土壤养分变化；同时，防腐材料和施工废弃物也会对土壤的理化性质产生影响；管线评价范围内无珍稀野生动物分布，也没有涉及野生动物的通道、栖息地等敏感场所；工程建成后不会对整个评价区的生态完整性产生影响，生物多样性的影响也很小，属可接受范围；工程的建设不会造成物种缺失，不会影响生物</w:t>
      </w:r>
      <w:r>
        <w:rPr>
          <w:rFonts w:hint="eastAsia"/>
          <w:lang w:eastAsia="zh-CN"/>
        </w:rPr>
        <w:t>迁徙</w:t>
      </w:r>
      <w:r>
        <w:t>和物质能量流，也无须预留通道；该项目涉及的生态系统的结构和功能没有受到影响，在干扰之后可以较好的恢复，没有显著的生态问题。</w:t>
      </w:r>
    </w:p>
    <w:bookmarkEnd w:id="463"/>
    <w:bookmarkEnd w:id="464"/>
    <w:p>
      <w:pPr>
        <w:pStyle w:val="4"/>
        <w:rPr>
          <w:rFonts w:eastAsia="宋体"/>
        </w:rPr>
      </w:pPr>
      <w:bookmarkStart w:id="466" w:name="_Toc19816049"/>
      <w:bookmarkStart w:id="467" w:name="_Toc12288642"/>
      <w:r>
        <w:rPr>
          <w:rFonts w:eastAsia="宋体"/>
        </w:rPr>
        <w:t>6.1.2 施工期地表水影响分析</w:t>
      </w:r>
      <w:bookmarkEnd w:id="466"/>
      <w:bookmarkEnd w:id="467"/>
    </w:p>
    <w:p>
      <w:pPr>
        <w:pStyle w:val="6"/>
        <w:ind w:firstLine="482"/>
        <w:rPr>
          <w:rFonts w:ascii="Times New Roman" w:cs="Times New Roman"/>
          <w:b/>
        </w:rPr>
      </w:pPr>
      <w:bookmarkStart w:id="468" w:name="_Toc12288643"/>
      <w:r>
        <w:rPr>
          <w:rFonts w:hint="eastAsia" w:ascii="Times New Roman" w:cs="Times New Roman"/>
          <w:b/>
        </w:rPr>
        <w:t>1、</w:t>
      </w:r>
      <w:r>
        <w:rPr>
          <w:rFonts w:ascii="Times New Roman" w:cs="Times New Roman"/>
          <w:b/>
        </w:rPr>
        <w:t>施工方式对地表水的影响分析</w:t>
      </w:r>
      <w:bookmarkEnd w:id="468"/>
    </w:p>
    <w:p>
      <w:pPr>
        <w:pStyle w:val="6"/>
        <w:ind w:firstLine="480"/>
        <w:rPr>
          <w:rFonts w:ascii="Times New Roman" w:cs="Times New Roman"/>
        </w:rPr>
      </w:pPr>
      <w:r>
        <w:rPr>
          <w:rFonts w:ascii="Times New Roman" w:cs="Times New Roman"/>
        </w:rPr>
        <w:t>管道施工期废水主要来自施工人员在施工作业中产生的生活污水、管道安装完后清管试压排放的废水</w:t>
      </w:r>
      <w:r>
        <w:rPr>
          <w:rFonts w:hint="eastAsia"/>
        </w:rPr>
        <w:t>、井场施工废水、初期雨水、钻井废水、压裂、洗井废水</w:t>
      </w:r>
      <w:r>
        <w:rPr>
          <w:rFonts w:ascii="Times New Roman" w:cs="Times New Roman"/>
        </w:rPr>
        <w:t>。</w:t>
      </w:r>
    </w:p>
    <w:p>
      <w:pPr>
        <w:pStyle w:val="112"/>
        <w:ind w:firstLine="480"/>
      </w:pPr>
      <w:bookmarkStart w:id="469" w:name="_Hlk53087303"/>
      <w:r>
        <w:t>根据以往施工经验，施工是分段分期进行，具有较大的分散性，局部排放量很小，</w:t>
      </w:r>
      <w:r>
        <w:rPr>
          <w:spacing w:val="-8"/>
          <w:szCs w:val="21"/>
        </w:rPr>
        <w:t>施工期管线施工人员生活污水依托租用附近居民房收集处理</w:t>
      </w:r>
      <w:r>
        <w:rPr>
          <w:rFonts w:hint="eastAsia"/>
          <w:spacing w:val="-8"/>
          <w:szCs w:val="21"/>
        </w:rPr>
        <w:t>，井</w:t>
      </w:r>
      <w:r>
        <w:rPr>
          <w:spacing w:val="-8"/>
          <w:szCs w:val="21"/>
        </w:rPr>
        <w:t>场施工</w:t>
      </w:r>
      <w:r>
        <w:rPr>
          <w:rFonts w:hint="eastAsia"/>
          <w:spacing w:val="-8"/>
          <w:szCs w:val="21"/>
          <w:lang w:eastAsia="zh-CN"/>
        </w:rPr>
        <w:t>如厕</w:t>
      </w:r>
      <w:r>
        <w:rPr>
          <w:spacing w:val="-8"/>
          <w:szCs w:val="21"/>
        </w:rPr>
        <w:t>生活污水</w:t>
      </w:r>
      <w:r>
        <w:rPr>
          <w:rFonts w:hint="eastAsia"/>
          <w:spacing w:val="-8"/>
          <w:szCs w:val="21"/>
        </w:rPr>
        <w:t>依托</w:t>
      </w:r>
      <w:r>
        <w:rPr>
          <w:spacing w:val="-8"/>
          <w:szCs w:val="21"/>
        </w:rPr>
        <w:t>经</w:t>
      </w:r>
      <w:r>
        <w:rPr>
          <w:bCs/>
          <w:spacing w:val="-8"/>
          <w:szCs w:val="21"/>
        </w:rPr>
        <w:t>生态环保厕所收集处理</w:t>
      </w:r>
      <w:r>
        <w:rPr>
          <w:spacing w:val="-8"/>
          <w:szCs w:val="21"/>
        </w:rPr>
        <w:t>后，用作周边农肥，不外排</w:t>
      </w:r>
      <w:r>
        <w:rPr>
          <w:rFonts w:hint="eastAsia"/>
          <w:spacing w:val="-8"/>
          <w:szCs w:val="21"/>
        </w:rPr>
        <w:t>，员工洗澡、食堂废水经单独收集后拉运至黄金镇场镇污水处理厂处理</w:t>
      </w:r>
      <w:r>
        <w:t>，因此，只要控制不让生活污水进入河道，一般不会造成水体污染。</w:t>
      </w:r>
    </w:p>
    <w:p>
      <w:pPr>
        <w:pStyle w:val="112"/>
        <w:ind w:firstLine="480"/>
        <w:rPr>
          <w:szCs w:val="24"/>
        </w:rPr>
      </w:pPr>
      <w:r>
        <w:t>管道施工期生产废水主要来自管道安装完后试压排放的废水</w:t>
      </w:r>
      <w:r>
        <w:rPr>
          <w:szCs w:val="24"/>
        </w:rPr>
        <w:t>。</w:t>
      </w:r>
      <w:r>
        <w:rPr>
          <w:rFonts w:hint="eastAsia"/>
          <w:szCs w:val="24"/>
        </w:rPr>
        <w:t>由于本项目管线清管、试压时采用的介质为洁净水，产生的试压废水主要含有泥沙、机械等杂质，类比同类项目，试压废水主要污染物为</w:t>
      </w:r>
      <w:r>
        <w:rPr>
          <w:szCs w:val="24"/>
        </w:rPr>
        <w:t>SS</w:t>
      </w:r>
      <w:r>
        <w:rPr>
          <w:rFonts w:hint="eastAsia"/>
          <w:szCs w:val="24"/>
        </w:rPr>
        <w:t>，不含有毒有害物质，属于清净下水，试压废水经沉淀后回用，不外排。</w:t>
      </w:r>
    </w:p>
    <w:p>
      <w:pPr>
        <w:pStyle w:val="112"/>
        <w:ind w:firstLine="480"/>
        <w:rPr>
          <w:bCs/>
        </w:rPr>
      </w:pPr>
      <w:r>
        <w:rPr>
          <w:bCs/>
        </w:rPr>
        <w:t>钻井阶段通过喷淋的方式降低气体钻（空气或氮气）</w:t>
      </w:r>
      <w:r>
        <w:rPr>
          <w:rFonts w:hint="eastAsia"/>
          <w:bCs/>
        </w:rPr>
        <w:t>的</w:t>
      </w:r>
      <w:r>
        <w:rPr>
          <w:bCs/>
        </w:rPr>
        <w:t>过程中产生的粉尘</w:t>
      </w:r>
      <w:r>
        <w:rPr>
          <w:rFonts w:hint="eastAsia"/>
          <w:bCs/>
        </w:rPr>
        <w:t>，</w:t>
      </w:r>
      <w:r>
        <w:rPr>
          <w:bCs/>
        </w:rPr>
        <w:t>喷淋所</w:t>
      </w:r>
      <w:r>
        <w:rPr>
          <w:rFonts w:hint="eastAsia"/>
          <w:bCs/>
        </w:rPr>
        <w:t>产生</w:t>
      </w:r>
      <w:r>
        <w:rPr>
          <w:bCs/>
        </w:rPr>
        <w:t>的废水</w:t>
      </w:r>
      <w:r>
        <w:rPr>
          <w:rFonts w:hint="eastAsia"/>
          <w:bCs/>
        </w:rPr>
        <w:t>全部回用，对地表水环境影响不大。钻井作业的配浆过程中会根据泥浆的不同要求加入不等量的水，这些水随钻井液进入井底协助钻井作业，在钻井液返回地面后，大部分水随泥浆进入泥浆</w:t>
      </w:r>
      <w:r>
        <w:rPr>
          <w:bCs/>
        </w:rPr>
        <w:t>净化系统，</w:t>
      </w:r>
      <w:r>
        <w:rPr>
          <w:rFonts w:hint="eastAsia"/>
          <w:bCs/>
        </w:rPr>
        <w:t>小部分水随钻屑进入</w:t>
      </w:r>
      <w:r>
        <w:rPr>
          <w:rFonts w:hint="eastAsia"/>
          <w:spacing w:val="-8"/>
          <w:szCs w:val="21"/>
        </w:rPr>
        <w:t>清洁化操作平台</w:t>
      </w:r>
      <w:r>
        <w:rPr>
          <w:rFonts w:hint="eastAsia"/>
          <w:bCs/>
        </w:rPr>
        <w:t>，经固液分离后，回收</w:t>
      </w:r>
      <w:r>
        <w:rPr>
          <w:bCs/>
        </w:rPr>
        <w:t>上清液用于泥浆配置</w:t>
      </w:r>
      <w:r>
        <w:rPr>
          <w:rFonts w:hint="eastAsia"/>
          <w:bCs/>
        </w:rPr>
        <w:t>（回用率</w:t>
      </w:r>
      <w:r>
        <w:rPr>
          <w:bCs/>
        </w:rPr>
        <w:t>90%以上</w:t>
      </w:r>
      <w:r>
        <w:rPr>
          <w:rFonts w:hint="eastAsia"/>
          <w:bCs/>
        </w:rPr>
        <w:t>）</w:t>
      </w:r>
      <w:r>
        <w:rPr>
          <w:bCs/>
        </w:rPr>
        <w:t>，剩余废水</w:t>
      </w:r>
      <w:r>
        <w:rPr>
          <w:rFonts w:hint="eastAsia"/>
          <w:bCs/>
        </w:rPr>
        <w:t>委托由罐车拉运至毛开1井</w:t>
      </w:r>
      <w:r>
        <w:rPr>
          <w:bCs/>
        </w:rPr>
        <w:t>回注标准</w:t>
      </w:r>
      <w:r>
        <w:rPr>
          <w:rFonts w:hint="eastAsia"/>
          <w:bCs/>
        </w:rPr>
        <w:t>后</w:t>
      </w:r>
      <w:r>
        <w:rPr>
          <w:bCs/>
        </w:rPr>
        <w:t>回注，不外排</w:t>
      </w:r>
      <w:r>
        <w:rPr>
          <w:rFonts w:hint="eastAsia"/>
          <w:bCs/>
        </w:rPr>
        <w:t>，对地表水环境不会产生影响。</w:t>
      </w:r>
    </w:p>
    <w:p>
      <w:pPr>
        <w:pStyle w:val="112"/>
        <w:ind w:firstLine="480"/>
        <w:rPr>
          <w:bCs/>
        </w:rPr>
      </w:pPr>
      <w:r>
        <w:rPr>
          <w:rFonts w:hint="eastAsia"/>
          <w:bCs/>
        </w:rPr>
        <w:t>井场内四周设排水边沟，井场雨水随</w:t>
      </w:r>
      <w:r>
        <w:rPr>
          <w:bCs/>
        </w:rPr>
        <w:t>四周</w:t>
      </w:r>
      <w:r>
        <w:rPr>
          <w:rFonts w:hint="eastAsia"/>
          <w:bCs/>
        </w:rPr>
        <w:t>排水边沟汇至排放</w:t>
      </w:r>
      <w:r>
        <w:rPr>
          <w:bCs/>
        </w:rPr>
        <w:t>口</w:t>
      </w:r>
      <w:r>
        <w:rPr>
          <w:rFonts w:hint="eastAsia"/>
          <w:bCs/>
        </w:rPr>
        <w:t>，</w:t>
      </w:r>
      <w:r>
        <w:rPr>
          <w:bCs/>
        </w:rPr>
        <w:t>排放口设监控池，初期雨水</w:t>
      </w:r>
      <w:r>
        <w:rPr>
          <w:rFonts w:hint="eastAsia"/>
          <w:bCs/>
        </w:rPr>
        <w:t>收集</w:t>
      </w:r>
      <w:r>
        <w:rPr>
          <w:bCs/>
        </w:rPr>
        <w:t>进入</w:t>
      </w:r>
      <w:r>
        <w:rPr>
          <w:rFonts w:hint="eastAsia"/>
          <w:bCs/>
        </w:rPr>
        <w:t>清洁化操作平台，与</w:t>
      </w:r>
      <w:r>
        <w:rPr>
          <w:bCs/>
        </w:rPr>
        <w:t>钻井废水一</w:t>
      </w:r>
      <w:r>
        <w:rPr>
          <w:rFonts w:hint="eastAsia"/>
          <w:bCs/>
        </w:rPr>
        <w:t>同</w:t>
      </w:r>
      <w:r>
        <w:rPr>
          <w:spacing w:val="-8"/>
          <w:szCs w:val="21"/>
        </w:rPr>
        <w:t>经</w:t>
      </w:r>
      <w:r>
        <w:rPr>
          <w:rFonts w:hint="eastAsia"/>
          <w:spacing w:val="-8"/>
          <w:szCs w:val="21"/>
        </w:rPr>
        <w:t>清洁化操作平台</w:t>
      </w:r>
      <w:r>
        <w:rPr>
          <w:spacing w:val="-8"/>
          <w:szCs w:val="21"/>
        </w:rPr>
        <w:t>预处理后装车拉运至毛开1井回注站回注</w:t>
      </w:r>
      <w:r>
        <w:rPr>
          <w:rFonts w:hint="eastAsia"/>
          <w:spacing w:val="-8"/>
          <w:szCs w:val="21"/>
        </w:rPr>
        <w:t>。</w:t>
      </w:r>
    </w:p>
    <w:p>
      <w:pPr>
        <w:pStyle w:val="112"/>
        <w:ind w:firstLine="480"/>
        <w:rPr>
          <w:bCs/>
        </w:rPr>
      </w:pPr>
      <w:r>
        <w:rPr>
          <w:rFonts w:hint="eastAsia"/>
          <w:bCs/>
        </w:rPr>
        <w:t>本项目钻井废水于井场进行处理，采取混凝-絮凝-固液分离-氧化降解（或吸附）-过滤的处理工艺。具体流程叙述如下：</w:t>
      </w:r>
    </w:p>
    <w:p>
      <w:pPr>
        <w:pStyle w:val="112"/>
        <w:ind w:firstLine="480"/>
        <w:rPr>
          <w:bCs/>
        </w:rPr>
      </w:pPr>
      <w:r>
        <w:rPr>
          <w:rFonts w:hint="eastAsia"/>
          <w:bCs/>
        </w:rPr>
        <w:t>根据钻井废水的水质分析结果，按配方要求加入一定量的混凝剂，充分搅拌。复合混凝剂能够降低污水胶体体系电位，破坏胶体体系稳定性，促使悬浮物析出；</w:t>
      </w:r>
    </w:p>
    <w:p>
      <w:pPr>
        <w:pStyle w:val="112"/>
        <w:ind w:firstLine="480"/>
        <w:rPr>
          <w:bCs/>
        </w:rPr>
      </w:pPr>
      <w:r>
        <w:rPr>
          <w:rFonts w:hint="eastAsia"/>
          <w:bCs/>
        </w:rPr>
        <w:t>调整酸碱度，加入适量的助凝剂、絮凝剂搅拌后静置半小时，絮体压滤脱水。脱出水进行进一步氧化处理，压滤产生泥饼与泥浆一起进行固化处理。助凝剂能够调剂污水体系酸碱度，促进悬浮物析出；絮凝剂能够起架桥、连接作用，促使絮体变大，产生网捕、卷扫作用，清除悬浮物。</w:t>
      </w:r>
    </w:p>
    <w:p>
      <w:pPr>
        <w:pStyle w:val="112"/>
        <w:ind w:firstLine="480"/>
        <w:rPr>
          <w:bCs/>
        </w:rPr>
      </w:pPr>
      <w:r>
        <w:rPr>
          <w:rFonts w:hint="eastAsia"/>
          <w:bCs/>
        </w:rPr>
        <w:t>混凝出水加入氧化剂深度脱色和去除COD，氧化剂能够进一步氧化降解污水中的有机物，提高COD去除率。</w:t>
      </w:r>
    </w:p>
    <w:p>
      <w:pPr>
        <w:pStyle w:val="112"/>
        <w:ind w:firstLine="480"/>
        <w:rPr>
          <w:bCs/>
        </w:rPr>
      </w:pPr>
      <w:r>
        <w:rPr>
          <w:rFonts w:hint="eastAsia"/>
          <w:bCs/>
        </w:rPr>
        <w:t>深度处理出水过滤后拉运至毛开1井</w:t>
      </w:r>
      <w:r>
        <w:rPr>
          <w:bCs/>
        </w:rPr>
        <w:t>回注标准</w:t>
      </w:r>
      <w:r>
        <w:rPr>
          <w:rFonts w:hint="eastAsia"/>
          <w:bCs/>
        </w:rPr>
        <w:t>后</w:t>
      </w:r>
      <w:r>
        <w:rPr>
          <w:bCs/>
        </w:rPr>
        <w:t>回注，不外排</w:t>
      </w:r>
      <w:r>
        <w:rPr>
          <w:rFonts w:hint="eastAsia"/>
          <w:bCs/>
        </w:rPr>
        <w:t>。</w:t>
      </w:r>
    </w:p>
    <w:p>
      <w:pPr>
        <w:pStyle w:val="112"/>
        <w:ind w:firstLine="480"/>
        <w:rPr>
          <w:bCs/>
        </w:rPr>
      </w:pPr>
      <w:r>
        <w:rPr>
          <w:rFonts w:hint="eastAsia"/>
          <w:bCs/>
        </w:rPr>
        <w:t>建设单位针对钻井废水储存采取了以下管理措施：</w:t>
      </w:r>
    </w:p>
    <w:p>
      <w:pPr>
        <w:pStyle w:val="112"/>
        <w:numPr>
          <w:ilvl w:val="2"/>
          <w:numId w:val="4"/>
        </w:numPr>
        <w:ind w:firstLine="480"/>
        <w:rPr>
          <w:bCs/>
        </w:rPr>
      </w:pPr>
      <w:r>
        <w:rPr>
          <w:rFonts w:hint="eastAsia"/>
          <w:bCs/>
        </w:rPr>
        <w:t>不得乱排乱放废水。</w:t>
      </w:r>
    </w:p>
    <w:p>
      <w:pPr>
        <w:pStyle w:val="112"/>
        <w:ind w:firstLine="480"/>
        <w:rPr>
          <w:bCs/>
        </w:rPr>
      </w:pPr>
      <w:r>
        <w:rPr>
          <w:rFonts w:hint="eastAsia"/>
          <w:bCs/>
        </w:rPr>
        <w:t>现场人员应定期对清洁化操作平台渗漏情况进行巡检，发现异常情况立即汇报和整改，并作好记录。</w:t>
      </w:r>
    </w:p>
    <w:p>
      <w:pPr>
        <w:pStyle w:val="112"/>
        <w:ind w:firstLine="480"/>
        <w:rPr>
          <w:bCs/>
        </w:rPr>
      </w:pPr>
      <w:r>
        <w:rPr>
          <w:rFonts w:hint="eastAsia"/>
          <w:bCs/>
        </w:rPr>
        <w:t>暴雨</w:t>
      </w:r>
      <w:r>
        <w:rPr>
          <w:bCs/>
        </w:rPr>
        <w:t>等特殊气象条件下，</w:t>
      </w:r>
      <w:r>
        <w:rPr>
          <w:rFonts w:hint="eastAsia"/>
          <w:bCs/>
        </w:rPr>
        <w:t>井场应及时转运废水，以防止暴雨进入</w:t>
      </w:r>
      <w:r>
        <w:rPr>
          <w:bCs/>
        </w:rPr>
        <w:t>放喷池，</w:t>
      </w:r>
      <w:r>
        <w:rPr>
          <w:rFonts w:hint="eastAsia"/>
          <w:bCs/>
        </w:rPr>
        <w:t>避免引起废水外溢从而导致环境污染。</w:t>
      </w:r>
    </w:p>
    <w:p>
      <w:pPr>
        <w:pStyle w:val="112"/>
        <w:ind w:firstLine="480"/>
        <w:rPr>
          <w:bCs/>
        </w:rPr>
      </w:pPr>
      <w:r>
        <w:rPr>
          <w:rFonts w:hint="eastAsia"/>
          <w:bCs/>
        </w:rPr>
        <w:t>完井期间及时拉运处理作业废水。</w:t>
      </w:r>
    </w:p>
    <w:p>
      <w:pPr>
        <w:pStyle w:val="112"/>
        <w:ind w:firstLine="480"/>
        <w:rPr>
          <w:bCs/>
        </w:rPr>
      </w:pPr>
      <w:r>
        <w:rPr>
          <w:rFonts w:hint="eastAsia"/>
          <w:bCs/>
        </w:rPr>
        <w:t>废水转运采取的具体管理措施如下：</w:t>
      </w:r>
    </w:p>
    <w:p>
      <w:pPr>
        <w:pStyle w:val="112"/>
        <w:numPr>
          <w:ilvl w:val="2"/>
          <w:numId w:val="4"/>
        </w:numPr>
        <w:ind w:firstLine="480"/>
        <w:rPr>
          <w:bCs/>
        </w:rPr>
      </w:pPr>
      <w:r>
        <w:rPr>
          <w:rFonts w:hint="eastAsia"/>
          <w:bCs/>
        </w:rPr>
        <w:t>制定科学合理的车辆运输路线，根据车辆运输的</w:t>
      </w:r>
      <w:r>
        <w:rPr>
          <w:bCs/>
        </w:rPr>
        <w:t>特性</w:t>
      </w:r>
      <w:r>
        <w:rPr>
          <w:rFonts w:hint="eastAsia"/>
          <w:bCs/>
        </w:rPr>
        <w:t>实施相应的管理。</w:t>
      </w:r>
    </w:p>
    <w:p>
      <w:pPr>
        <w:pStyle w:val="112"/>
        <w:ind w:firstLine="480"/>
        <w:rPr>
          <w:bCs/>
        </w:rPr>
      </w:pPr>
      <w:r>
        <w:rPr>
          <w:rFonts w:hint="eastAsia"/>
          <w:bCs/>
        </w:rPr>
        <w:t>废水承运单位在开展运输工作之前，应对运输人员进行相关安全环保知识培训，废水运输车辆、装卸工具必须符合安全环保要求，装卸和运输废水过程中不得溢出和渗漏。严禁任意倾倒、排放或向第三方转移废水。</w:t>
      </w:r>
    </w:p>
    <w:p>
      <w:pPr>
        <w:pStyle w:val="112"/>
        <w:ind w:firstLine="480"/>
        <w:rPr>
          <w:bCs/>
        </w:rPr>
      </w:pPr>
      <w:r>
        <w:rPr>
          <w:rFonts w:hint="eastAsia"/>
          <w:bCs/>
        </w:rPr>
        <w:t>废水承运人员进入井场装卸废水，必须遵守有关安全环保管理规定，并服从井站值班人员的管理，不得擅自进入生产装置区和操作井场。</w:t>
      </w:r>
    </w:p>
    <w:p>
      <w:pPr>
        <w:pStyle w:val="112"/>
        <w:ind w:firstLine="480"/>
        <w:rPr>
          <w:bCs/>
        </w:rPr>
      </w:pPr>
      <w:r>
        <w:rPr>
          <w:rFonts w:hint="eastAsia"/>
          <w:bCs/>
        </w:rPr>
        <w:t>废水转运时采取罐车密闭输送。</w:t>
      </w:r>
    </w:p>
    <w:p>
      <w:pPr>
        <w:pStyle w:val="112"/>
        <w:ind w:firstLine="480"/>
        <w:rPr>
          <w:bCs/>
        </w:rPr>
      </w:pPr>
      <w:r>
        <w:rPr>
          <w:rFonts w:hint="eastAsia"/>
          <w:bCs/>
        </w:rPr>
        <w:t>尽量避免在雨天和大雾天转运。</w:t>
      </w:r>
    </w:p>
    <w:p>
      <w:pPr>
        <w:pStyle w:val="112"/>
        <w:ind w:firstLine="480"/>
        <w:rPr>
          <w:bCs/>
        </w:rPr>
      </w:pPr>
      <w:r>
        <w:rPr>
          <w:rFonts w:hint="eastAsia"/>
          <w:bCs/>
        </w:rPr>
        <w:t>建设单位应当加强对废水承运单位的监管和沟通，督促其严格监管废水转运车辆，以防废水承运人员半途随意倾倒废水造成环境污染。</w:t>
      </w:r>
    </w:p>
    <w:p>
      <w:pPr>
        <w:pStyle w:val="112"/>
        <w:ind w:firstLine="480"/>
        <w:rPr>
          <w:bCs/>
        </w:rPr>
      </w:pPr>
      <w:r>
        <w:rPr>
          <w:rFonts w:hint="eastAsia"/>
          <w:bCs/>
        </w:rPr>
        <w:t>建设单位对承包废水转运的承包商实施车辆登记制度。</w:t>
      </w:r>
    </w:p>
    <w:p>
      <w:pPr>
        <w:pStyle w:val="112"/>
        <w:ind w:firstLine="480"/>
        <w:rPr>
          <w:bCs/>
        </w:rPr>
      </w:pPr>
      <w:r>
        <w:rPr>
          <w:rFonts w:hint="eastAsia"/>
          <w:bCs/>
        </w:rPr>
        <w:t>过程做好转运台账，严格实施交接清单制度。</w:t>
      </w:r>
    </w:p>
    <w:p>
      <w:pPr>
        <w:pStyle w:val="6"/>
        <w:ind w:firstLine="482"/>
        <w:rPr>
          <w:rFonts w:ascii="Times New Roman" w:cs="Times New Roman"/>
          <w:b/>
        </w:rPr>
      </w:pPr>
      <w:bookmarkStart w:id="470" w:name="_Toc12288646"/>
      <w:r>
        <w:rPr>
          <w:rFonts w:hint="eastAsia" w:ascii="Times New Roman" w:cs="Times New Roman"/>
          <w:b/>
        </w:rPr>
        <w:t>2、</w:t>
      </w:r>
      <w:r>
        <w:rPr>
          <w:rFonts w:ascii="Times New Roman" w:cs="Times New Roman"/>
          <w:b/>
        </w:rPr>
        <w:t>施工期其它因素对地表水环境影响分析</w:t>
      </w:r>
      <w:bookmarkEnd w:id="470"/>
    </w:p>
    <w:p>
      <w:pPr>
        <w:pStyle w:val="6"/>
        <w:ind w:firstLine="480"/>
        <w:rPr>
          <w:rFonts w:ascii="Times New Roman" w:cs="Times New Roman"/>
        </w:rPr>
      </w:pPr>
      <w:r>
        <w:rPr>
          <w:rFonts w:hint="eastAsia" w:ascii="Times New Roman" w:cs="Times New Roman"/>
        </w:rPr>
        <w:t>（1）</w:t>
      </w:r>
      <w:r>
        <w:rPr>
          <w:rFonts w:ascii="Times New Roman" w:cs="Times New Roman"/>
        </w:rPr>
        <w:t>管道开挖过程中，挖出的土石如未能及时回填，遇雨水冲刷进入附近水体，影响水域水质。</w:t>
      </w:r>
    </w:p>
    <w:p>
      <w:pPr>
        <w:pStyle w:val="6"/>
        <w:ind w:firstLine="480"/>
        <w:rPr>
          <w:rFonts w:ascii="Times New Roman" w:cs="Times New Roman"/>
        </w:rPr>
      </w:pPr>
      <w:r>
        <w:rPr>
          <w:rFonts w:hint="eastAsia" w:ascii="Times New Roman" w:cs="Times New Roman"/>
        </w:rPr>
        <w:t>（2）</w:t>
      </w:r>
      <w:r>
        <w:rPr>
          <w:rFonts w:ascii="Times New Roman" w:cs="Times New Roman"/>
        </w:rPr>
        <w:t>施工物料如堆放管理不严，受雨水冲刷进入附近水体，对水域造成影响。</w:t>
      </w:r>
    </w:p>
    <w:p>
      <w:pPr>
        <w:pStyle w:val="6"/>
        <w:ind w:firstLine="480"/>
        <w:rPr>
          <w:rFonts w:ascii="Times New Roman" w:cs="Times New Roman"/>
        </w:rPr>
      </w:pPr>
      <w:r>
        <w:rPr>
          <w:rFonts w:hint="eastAsia" w:ascii="Times New Roman" w:cs="Times New Roman"/>
        </w:rPr>
        <w:t>（3）</w:t>
      </w:r>
      <w:r>
        <w:rPr>
          <w:rFonts w:ascii="Times New Roman" w:cs="Times New Roman"/>
        </w:rPr>
        <w:t>施工弃渣和施工人员的生活垃圾如不妥善处理，随意堆放，受雨水冲刷进入附近水体，将对其水质造成影响。</w:t>
      </w:r>
    </w:p>
    <w:p>
      <w:pPr>
        <w:pStyle w:val="6"/>
        <w:ind w:firstLine="482"/>
        <w:rPr>
          <w:rFonts w:ascii="Times New Roman" w:cs="Times New Roman"/>
          <w:b/>
        </w:rPr>
      </w:pPr>
      <w:bookmarkStart w:id="471" w:name="_Toc12288647"/>
      <w:r>
        <w:rPr>
          <w:rFonts w:hint="eastAsia" w:ascii="Times New Roman" w:cs="Times New Roman"/>
          <w:b/>
        </w:rPr>
        <w:t>3、施工期地表水环境影响分析</w:t>
      </w:r>
      <w:r>
        <w:rPr>
          <w:rFonts w:ascii="Times New Roman" w:cs="Times New Roman"/>
          <w:b/>
        </w:rPr>
        <w:t>小结</w:t>
      </w:r>
      <w:bookmarkEnd w:id="471"/>
    </w:p>
    <w:p>
      <w:pPr>
        <w:pStyle w:val="6"/>
        <w:ind w:firstLine="480"/>
        <w:rPr>
          <w:rFonts w:ascii="Times New Roman" w:cs="Times New Roman"/>
        </w:rPr>
      </w:pPr>
      <w:r>
        <w:rPr>
          <w:rFonts w:ascii="Times New Roman" w:cs="Times New Roman"/>
        </w:rPr>
        <w:t>通过以上分析，通过对施工弃土、施工人员生活垃圾妥善处置；对施工材料堆放严格管理，及时填埋开挖土石。</w:t>
      </w:r>
    </w:p>
    <w:p>
      <w:pPr>
        <w:pStyle w:val="6"/>
        <w:ind w:firstLine="480"/>
        <w:rPr>
          <w:rFonts w:ascii="Times New Roman" w:cs="Times New Roman"/>
        </w:rPr>
      </w:pPr>
      <w:r>
        <w:rPr>
          <w:rFonts w:ascii="Times New Roman" w:cs="Times New Roman"/>
        </w:rPr>
        <w:t>由地表水环境质量现状调查与评价可知，</w:t>
      </w:r>
      <w:r>
        <w:rPr>
          <w:rFonts w:hint="eastAsia" w:ascii="Times New Roman" w:cs="Times New Roman"/>
        </w:rPr>
        <w:t>项目所在地地表</w:t>
      </w:r>
      <w:r>
        <w:rPr>
          <w:rFonts w:ascii="Times New Roman" w:cs="Times New Roman"/>
        </w:rPr>
        <w:t>水环境质量现状较好，如加强施工期间的环境管理，因此，</w:t>
      </w:r>
      <w:r>
        <w:rPr>
          <w:rFonts w:hint="eastAsia" w:ascii="Times New Roman" w:cs="Times New Roman"/>
        </w:rPr>
        <w:t>施工期</w:t>
      </w:r>
      <w:r>
        <w:rPr>
          <w:rFonts w:ascii="Times New Roman" w:cs="Times New Roman"/>
        </w:rPr>
        <w:t>对地表水产生的影响较小。</w:t>
      </w:r>
    </w:p>
    <w:bookmarkEnd w:id="469"/>
    <w:p>
      <w:pPr>
        <w:pStyle w:val="4"/>
        <w:rPr>
          <w:rFonts w:eastAsia="宋体"/>
        </w:rPr>
      </w:pPr>
      <w:bookmarkStart w:id="472" w:name="bookmark42"/>
      <w:bookmarkEnd w:id="472"/>
      <w:bookmarkStart w:id="473" w:name="_Toc12288651"/>
      <w:bookmarkStart w:id="474" w:name="_Toc19816053"/>
      <w:bookmarkStart w:id="475" w:name="_Hlk53087353"/>
      <w:r>
        <w:rPr>
          <w:rFonts w:eastAsia="宋体"/>
        </w:rPr>
        <w:t>6.1.3 施工期地下水环境影响分析</w:t>
      </w:r>
      <w:bookmarkEnd w:id="473"/>
      <w:bookmarkEnd w:id="474"/>
    </w:p>
    <w:p>
      <w:pPr>
        <w:pStyle w:val="6"/>
        <w:snapToGrid w:val="0"/>
        <w:ind w:firstLine="480"/>
        <w:rPr>
          <w:rFonts w:ascii="Times New Roman" w:cs="Times New Roman"/>
        </w:rPr>
      </w:pPr>
      <w:r>
        <w:rPr>
          <w:rFonts w:hint="eastAsia" w:ascii="Times New Roman" w:cs="Times New Roman"/>
        </w:rPr>
        <w:t>（</w:t>
      </w:r>
      <w:r>
        <w:rPr>
          <w:rFonts w:hint="eastAsia" w:ascii="Times New Roman" w:cs="Times New Roman"/>
          <w:b/>
        </w:rPr>
        <w:t>1</w:t>
      </w:r>
      <w:r>
        <w:rPr>
          <w:rFonts w:hint="eastAsia" w:ascii="Times New Roman" w:cs="Times New Roman"/>
        </w:rPr>
        <w:t>）管道施工对地下水影响</w:t>
      </w:r>
    </w:p>
    <w:p>
      <w:pPr>
        <w:pStyle w:val="6"/>
        <w:snapToGrid w:val="0"/>
        <w:ind w:firstLine="480"/>
        <w:rPr>
          <w:rFonts w:ascii="Times New Roman" w:cs="Times New Roman"/>
        </w:rPr>
      </w:pPr>
      <w:r>
        <w:rPr>
          <w:rFonts w:ascii="Times New Roman" w:cs="Times New Roman"/>
        </w:rPr>
        <w:t>本项目的管道敷设埋深一般在1.5m以内，在施工过程中的辅料、废料等在降水的淋滤作用下产生的浸出液进入地下含水层，将对地下水造成不同程度的影响，其影响程度决定于下渗量及其饱和地带的厚度、岩性和对污染物的阻滞、吸附分解等自然净化能力。由管道通过地区沿线的表层土来看，均有一定的自然净化能力，对地下水的影响很小。施工过程中不设营地，均依托民居与招待所，生活污水、生活垃圾利用现有设施进行处理处置，对地下水的影响很小。因此，正常的管线埋设对地下水造成影响的很小。</w:t>
      </w:r>
    </w:p>
    <w:p>
      <w:pPr>
        <w:autoSpaceDE w:val="0"/>
        <w:autoSpaceDN w:val="0"/>
        <w:snapToGrid w:val="0"/>
        <w:ind w:firstLine="480"/>
        <w:rPr>
          <w:rFonts w:ascii="Times New Roman" w:cs="Times New Roman"/>
          <w:bCs/>
        </w:rPr>
      </w:pPr>
      <w:r>
        <w:rPr>
          <w:rFonts w:ascii="Times New Roman" w:cs="Times New Roman"/>
          <w:bCs/>
        </w:rPr>
        <w:t>（</w:t>
      </w:r>
      <w:r>
        <w:rPr>
          <w:rFonts w:hint="eastAsia" w:ascii="Times New Roman" w:cs="Times New Roman"/>
          <w:b/>
          <w:bCs/>
        </w:rPr>
        <w:t>2</w:t>
      </w:r>
      <w:r>
        <w:rPr>
          <w:rFonts w:ascii="Times New Roman" w:cs="Times New Roman"/>
          <w:bCs/>
        </w:rPr>
        <w:t>）钻井过程中对地下水环境的影响</w:t>
      </w:r>
    </w:p>
    <w:p>
      <w:pPr>
        <w:autoSpaceDE w:val="0"/>
        <w:autoSpaceDN w:val="0"/>
        <w:snapToGrid w:val="0"/>
        <w:ind w:firstLine="480"/>
        <w:rPr>
          <w:rFonts w:ascii="Times New Roman" w:cs="Times New Roman"/>
          <w:bCs/>
        </w:rPr>
      </w:pPr>
      <w:r>
        <w:rPr>
          <w:rFonts w:ascii="Times New Roman" w:cs="Times New Roman"/>
          <w:bCs/>
        </w:rPr>
        <w:t>根据钻井工艺，钻井泥浆通过井壁空隙渗入地下水产生污染。周边水井有直接供水意义的含水层主要受</w:t>
      </w:r>
      <w:r>
        <w:rPr>
          <w:rFonts w:hint="eastAsia" w:ascii="Times New Roman" w:cs="Times New Roman"/>
          <w:bCs/>
        </w:rPr>
        <w:t>一开</w:t>
      </w:r>
      <w:r>
        <w:rPr>
          <w:rFonts w:ascii="Times New Roman" w:cs="Times New Roman"/>
          <w:bCs/>
        </w:rPr>
        <w:t>钻井（0～</w:t>
      </w:r>
      <w:r>
        <w:rPr>
          <w:rFonts w:hint="eastAsia" w:ascii="Times New Roman" w:cs="Times New Roman"/>
          <w:bCs/>
        </w:rPr>
        <w:t>350</w:t>
      </w:r>
      <w:r>
        <w:rPr>
          <w:rFonts w:ascii="Times New Roman" w:cs="Times New Roman"/>
          <w:bCs/>
        </w:rPr>
        <w:t>m）的影响。属于遂宁组砂泥岩互层构造基岩裂隙水，无溶洞、裂缝，井壁渗透性较小，泥浆通过井壁渗透进入地下水中的量少。</w:t>
      </w:r>
    </w:p>
    <w:p>
      <w:pPr>
        <w:autoSpaceDE w:val="0"/>
        <w:autoSpaceDN w:val="0"/>
        <w:snapToGrid w:val="0"/>
        <w:ind w:firstLine="480"/>
        <w:rPr>
          <w:rFonts w:ascii="Times New Roman" w:cs="Times New Roman"/>
          <w:bCs/>
        </w:rPr>
      </w:pPr>
      <w:r>
        <w:rPr>
          <w:rFonts w:ascii="Times New Roman" w:hAnsi="宋体" w:cs="Times New Roman"/>
          <w:bCs/>
        </w:rPr>
        <w:t>①</w:t>
      </w:r>
      <w:r>
        <w:rPr>
          <w:rFonts w:hint="eastAsia" w:ascii="Times New Roman" w:cs="Times New Roman"/>
          <w:bCs/>
        </w:rPr>
        <w:t>一开</w:t>
      </w:r>
      <w:r>
        <w:rPr>
          <w:rFonts w:ascii="Times New Roman" w:cs="Times New Roman"/>
          <w:bCs/>
        </w:rPr>
        <w:t>段钻井</w:t>
      </w:r>
    </w:p>
    <w:p>
      <w:pPr>
        <w:autoSpaceDE w:val="0"/>
        <w:autoSpaceDN w:val="0"/>
        <w:snapToGrid w:val="0"/>
        <w:ind w:firstLine="480"/>
        <w:rPr>
          <w:rFonts w:ascii="Times New Roman" w:cs="Times New Roman"/>
          <w:bCs/>
        </w:rPr>
      </w:pPr>
      <w:r>
        <w:rPr>
          <w:rFonts w:hint="eastAsia" w:ascii="Times New Roman" w:cs="Times New Roman"/>
          <w:bCs/>
        </w:rPr>
        <w:t>一开段</w:t>
      </w:r>
      <w:r>
        <w:rPr>
          <w:rFonts w:ascii="Times New Roman" w:cs="Times New Roman"/>
          <w:bCs/>
        </w:rPr>
        <w:t>钻井（0～</w:t>
      </w:r>
      <w:r>
        <w:rPr>
          <w:rFonts w:hint="eastAsia" w:ascii="Times New Roman" w:cs="Times New Roman"/>
          <w:bCs/>
        </w:rPr>
        <w:t>35</w:t>
      </w:r>
      <w:r>
        <w:rPr>
          <w:rFonts w:ascii="Times New Roman" w:cs="Times New Roman"/>
          <w:bCs/>
        </w:rPr>
        <w:t>0m）段采用气体钻/聚合物钻井液，污染物含量很少。有利于明显减缓对</w:t>
      </w:r>
      <w:r>
        <w:rPr>
          <w:rFonts w:hint="eastAsia" w:ascii="Times New Roman" w:cs="Times New Roman"/>
          <w:bCs/>
        </w:rPr>
        <w:t>一开段</w:t>
      </w:r>
      <w:r>
        <w:rPr>
          <w:rFonts w:ascii="Times New Roman" w:cs="Times New Roman"/>
          <w:bCs/>
        </w:rPr>
        <w:t>具有饮用水开发利用价值的含水层的影响。</w:t>
      </w:r>
    </w:p>
    <w:p>
      <w:pPr>
        <w:autoSpaceDE w:val="0"/>
        <w:autoSpaceDN w:val="0"/>
        <w:snapToGrid w:val="0"/>
        <w:ind w:firstLine="480"/>
        <w:rPr>
          <w:rFonts w:ascii="Times New Roman" w:cs="Times New Roman"/>
          <w:bCs/>
        </w:rPr>
      </w:pPr>
      <w:r>
        <w:rPr>
          <w:rFonts w:hint="eastAsia" w:ascii="Times New Roman" w:cs="Times New Roman"/>
          <w:bCs/>
        </w:rPr>
        <w:t>一开段</w:t>
      </w:r>
      <w:r>
        <w:rPr>
          <w:rFonts w:ascii="Times New Roman" w:cs="Times New Roman"/>
          <w:bCs/>
        </w:rPr>
        <w:t>完钻即下套管，水泥封固工艺，封隔浅层地下水和地表水、砂泥岩互层。由于</w:t>
      </w:r>
      <w:r>
        <w:rPr>
          <w:rFonts w:hint="eastAsia" w:ascii="Times New Roman" w:cs="Times New Roman"/>
          <w:bCs/>
        </w:rPr>
        <w:t>一开段</w:t>
      </w:r>
      <w:r>
        <w:rPr>
          <w:rFonts w:ascii="Times New Roman" w:cs="Times New Roman"/>
          <w:bCs/>
        </w:rPr>
        <w:t>地层深度浅，泥浆返空时间短，采用塔式钻具约2天左右即可达到设计深度并完成套管固井作业，对井下地质环境影响时间短。根据目前西南地区上千口井的钻探资料显示，钻井</w:t>
      </w:r>
      <w:r>
        <w:rPr>
          <w:rFonts w:hint="eastAsia" w:ascii="Times New Roman" w:cs="Times New Roman"/>
          <w:bCs/>
        </w:rPr>
        <w:t>一开段</w:t>
      </w:r>
      <w:r>
        <w:rPr>
          <w:rFonts w:ascii="Times New Roman" w:cs="Times New Roman"/>
          <w:bCs/>
        </w:rPr>
        <w:t>发生井漏至污染地下水的环境污染事故发生机率很小，故本项目</w:t>
      </w:r>
      <w:r>
        <w:rPr>
          <w:rFonts w:hint="eastAsia" w:ascii="Times New Roman" w:cs="Times New Roman"/>
          <w:bCs/>
        </w:rPr>
        <w:t>一开段</w:t>
      </w:r>
      <w:r>
        <w:rPr>
          <w:rFonts w:ascii="Times New Roman" w:cs="Times New Roman"/>
          <w:bCs/>
        </w:rPr>
        <w:t>钻进过程有直接供水意义的含水层遂宁组砂泥岩互层构造基岩裂隙水受表层钻井（0～</w:t>
      </w:r>
      <w:r>
        <w:rPr>
          <w:rFonts w:hint="eastAsia" w:ascii="Times New Roman" w:cs="Times New Roman"/>
          <w:bCs/>
        </w:rPr>
        <w:t>35</w:t>
      </w:r>
      <w:r>
        <w:rPr>
          <w:rFonts w:ascii="Times New Roman" w:cs="Times New Roman"/>
          <w:bCs/>
        </w:rPr>
        <w:t>0m）地下水影响小，可接受范围内。</w:t>
      </w:r>
    </w:p>
    <w:p>
      <w:pPr>
        <w:autoSpaceDE w:val="0"/>
        <w:autoSpaceDN w:val="0"/>
        <w:snapToGrid w:val="0"/>
        <w:ind w:firstLine="436" w:firstLineChars="182"/>
        <w:rPr>
          <w:rFonts w:ascii="Times New Roman" w:cs="Times New Roman"/>
          <w:bCs/>
        </w:rPr>
      </w:pPr>
      <w:r>
        <w:rPr>
          <w:rFonts w:ascii="Times New Roman" w:hAnsi="宋体" w:cs="Times New Roman"/>
          <w:bCs/>
        </w:rPr>
        <w:t>②</w:t>
      </w:r>
      <w:r>
        <w:rPr>
          <w:rFonts w:hint="eastAsia" w:ascii="Times New Roman" w:cs="Times New Roman"/>
          <w:bCs/>
        </w:rPr>
        <w:t>二</w:t>
      </w:r>
      <w:r>
        <w:rPr>
          <w:rFonts w:ascii="Times New Roman" w:cs="Times New Roman"/>
          <w:bCs/>
        </w:rPr>
        <w:t>~</w:t>
      </w:r>
      <w:r>
        <w:rPr>
          <w:rFonts w:hint="eastAsia" w:ascii="Times New Roman" w:cs="Times New Roman"/>
          <w:bCs/>
        </w:rPr>
        <w:t>三</w:t>
      </w:r>
      <w:r>
        <w:rPr>
          <w:rFonts w:ascii="Times New Roman" w:cs="Times New Roman"/>
          <w:bCs/>
        </w:rPr>
        <w:t>开段钻井</w:t>
      </w:r>
    </w:p>
    <w:p>
      <w:pPr>
        <w:autoSpaceDE w:val="0"/>
        <w:autoSpaceDN w:val="0"/>
        <w:snapToGrid w:val="0"/>
        <w:ind w:firstLine="480"/>
        <w:rPr>
          <w:rFonts w:ascii="Times New Roman" w:cs="Times New Roman"/>
          <w:bCs/>
        </w:rPr>
      </w:pPr>
      <w:r>
        <w:rPr>
          <w:rFonts w:hint="eastAsia" w:ascii="Times New Roman" w:cs="Times New Roman"/>
          <w:bCs/>
        </w:rPr>
        <w:t>二</w:t>
      </w:r>
      <w:r>
        <w:rPr>
          <w:rFonts w:ascii="Times New Roman" w:cs="Times New Roman"/>
          <w:bCs/>
        </w:rPr>
        <w:t>~</w:t>
      </w:r>
      <w:r>
        <w:rPr>
          <w:rFonts w:hint="eastAsia" w:ascii="Times New Roman" w:cs="Times New Roman"/>
          <w:bCs/>
        </w:rPr>
        <w:t>三</w:t>
      </w:r>
      <w:r>
        <w:rPr>
          <w:rFonts w:ascii="Times New Roman" w:cs="Times New Roman"/>
          <w:bCs/>
        </w:rPr>
        <w:t>开位于</w:t>
      </w:r>
      <w:r>
        <w:rPr>
          <w:rFonts w:hint="eastAsia" w:ascii="Times New Roman" w:cs="Times New Roman"/>
          <w:bCs/>
        </w:rPr>
        <w:t>35</w:t>
      </w:r>
      <w:r>
        <w:rPr>
          <w:rFonts w:ascii="Times New Roman" w:cs="Times New Roman"/>
          <w:bCs/>
        </w:rPr>
        <w:t>0m以下，所在区域地层无有直接供水意义的含水层，目前也未有供水开发。使用水基钻井液</w:t>
      </w:r>
      <w:r>
        <w:rPr>
          <w:rFonts w:hint="eastAsia" w:ascii="Times New Roman" w:cs="Times New Roman"/>
          <w:bCs/>
        </w:rPr>
        <w:t>和油基钻井液</w:t>
      </w:r>
      <w:r>
        <w:rPr>
          <w:rFonts w:ascii="Times New Roman" w:cs="Times New Roman"/>
          <w:bCs/>
        </w:rPr>
        <w:t>钻井，对地层</w:t>
      </w:r>
      <w:r>
        <w:rPr>
          <w:rFonts w:hint="eastAsia" w:ascii="Times New Roman" w:cs="Times New Roman"/>
          <w:bCs/>
        </w:rPr>
        <w:t>有一定的</w:t>
      </w:r>
      <w:r>
        <w:rPr>
          <w:rFonts w:ascii="Times New Roman" w:cs="Times New Roman"/>
          <w:bCs/>
        </w:rPr>
        <w:t>污染</w:t>
      </w:r>
      <w:r>
        <w:rPr>
          <w:rFonts w:hint="eastAsia" w:ascii="Times New Roman" w:cs="Times New Roman"/>
          <w:bCs/>
        </w:rPr>
        <w:t>影响</w:t>
      </w:r>
      <w:r>
        <w:rPr>
          <w:rFonts w:ascii="Times New Roman" w:cs="Times New Roman"/>
          <w:bCs/>
        </w:rPr>
        <w:t>。</w:t>
      </w:r>
    </w:p>
    <w:p>
      <w:pPr>
        <w:autoSpaceDE w:val="0"/>
        <w:autoSpaceDN w:val="0"/>
        <w:snapToGrid w:val="0"/>
        <w:ind w:firstLine="480"/>
        <w:rPr>
          <w:rFonts w:ascii="Times New Roman" w:cs="Times New Roman"/>
          <w:bCs/>
        </w:rPr>
      </w:pPr>
      <w:r>
        <w:rPr>
          <w:rFonts w:ascii="Times New Roman" w:cs="Times New Roman"/>
          <w:bCs/>
        </w:rPr>
        <w:t>同时</w:t>
      </w:r>
      <w:r>
        <w:rPr>
          <w:rFonts w:hint="eastAsia" w:ascii="Times New Roman" w:cs="Times New Roman"/>
          <w:bCs/>
        </w:rPr>
        <w:t>二</w:t>
      </w:r>
      <w:r>
        <w:rPr>
          <w:rFonts w:ascii="Times New Roman" w:cs="Times New Roman"/>
          <w:bCs/>
        </w:rPr>
        <w:t>~</w:t>
      </w:r>
      <w:r>
        <w:rPr>
          <w:rFonts w:hint="eastAsia" w:ascii="Times New Roman" w:cs="Times New Roman"/>
          <w:bCs/>
        </w:rPr>
        <w:t>三开</w:t>
      </w:r>
      <w:r>
        <w:rPr>
          <w:rFonts w:ascii="Times New Roman" w:cs="Times New Roman"/>
          <w:bCs/>
        </w:rPr>
        <w:t>段钻井过程中表层</w:t>
      </w:r>
      <w:r>
        <w:rPr>
          <w:rFonts w:hint="eastAsia" w:ascii="Times New Roman" w:cs="Times New Roman"/>
          <w:bCs/>
        </w:rPr>
        <w:t>35</w:t>
      </w:r>
      <w:r>
        <w:rPr>
          <w:rFonts w:ascii="Times New Roman" w:cs="Times New Roman"/>
          <w:bCs/>
        </w:rPr>
        <w:t>0m的套管已经完成，封隔浅层地下水和地表水、砂泥岩互层。</w:t>
      </w:r>
      <w:r>
        <w:rPr>
          <w:rFonts w:hint="eastAsia" w:ascii="Times New Roman" w:cs="Times New Roman"/>
          <w:bCs/>
        </w:rPr>
        <w:t>二</w:t>
      </w:r>
      <w:r>
        <w:rPr>
          <w:rFonts w:ascii="Times New Roman" w:cs="Times New Roman"/>
          <w:bCs/>
        </w:rPr>
        <w:t>~</w:t>
      </w:r>
      <w:r>
        <w:rPr>
          <w:rFonts w:hint="eastAsia" w:ascii="Times New Roman" w:cs="Times New Roman"/>
          <w:bCs/>
        </w:rPr>
        <w:t>三</w:t>
      </w:r>
      <w:r>
        <w:rPr>
          <w:rFonts w:ascii="Times New Roman" w:cs="Times New Roman"/>
          <w:bCs/>
        </w:rPr>
        <w:t>开段的钻井岩屑、泥浆返排不会污染（0～</w:t>
      </w:r>
      <w:r>
        <w:rPr>
          <w:rFonts w:hint="eastAsia" w:ascii="Times New Roman" w:cs="Times New Roman"/>
          <w:bCs/>
        </w:rPr>
        <w:t>35</w:t>
      </w:r>
      <w:r>
        <w:rPr>
          <w:rFonts w:ascii="Times New Roman" w:cs="Times New Roman"/>
          <w:bCs/>
        </w:rPr>
        <w:t>0m）含水层。</w:t>
      </w:r>
    </w:p>
    <w:p>
      <w:pPr>
        <w:numPr>
          <w:ilvl w:val="2"/>
          <w:numId w:val="4"/>
        </w:numPr>
        <w:topLinePunct w:val="0"/>
        <w:autoSpaceDE w:val="0"/>
        <w:autoSpaceDN w:val="0"/>
        <w:snapToGrid w:val="0"/>
        <w:ind w:firstLine="480" w:firstLineChars="0"/>
        <w:rPr>
          <w:rFonts w:ascii="Times New Roman" w:cs="Times New Roman"/>
          <w:bCs/>
        </w:rPr>
      </w:pPr>
      <w:r>
        <w:rPr>
          <w:rFonts w:ascii="Times New Roman" w:cs="Times New Roman"/>
          <w:bCs/>
        </w:rPr>
        <w:t>非正常情况——井漏泥浆污染</w:t>
      </w:r>
    </w:p>
    <w:p>
      <w:pPr>
        <w:autoSpaceDE w:val="0"/>
        <w:autoSpaceDN w:val="0"/>
        <w:snapToGrid w:val="0"/>
        <w:ind w:firstLine="480"/>
        <w:rPr>
          <w:rFonts w:ascii="Times New Roman" w:cs="Times New Roman"/>
          <w:bCs/>
        </w:rPr>
      </w:pPr>
      <w:r>
        <w:rPr>
          <w:rFonts w:ascii="Times New Roman" w:cs="Times New Roman"/>
          <w:bCs/>
        </w:rPr>
        <w:t>钻遇异常低压地层、溶洞、裂缝，造成钻井液迅速漏失，这些地层多与地下水层相连通，大量泥浆进入含水层，引发地下水污染。据周边钻井的资料统计分析，发生井漏的地层为上、下沙溪庙组、千佛崖组、自流井组。</w:t>
      </w:r>
      <w:r>
        <w:rPr>
          <w:rFonts w:hint="eastAsia" w:ascii="Times New Roman" w:cs="Times New Roman"/>
          <w:bCs/>
        </w:rPr>
        <w:t>一开段</w:t>
      </w:r>
      <w:r>
        <w:rPr>
          <w:rFonts w:ascii="Times New Roman" w:cs="Times New Roman"/>
          <w:bCs/>
        </w:rPr>
        <w:t>（0～</w:t>
      </w:r>
      <w:r>
        <w:rPr>
          <w:rFonts w:hint="eastAsia" w:ascii="Times New Roman" w:cs="Times New Roman"/>
          <w:bCs/>
        </w:rPr>
        <w:t>35</w:t>
      </w:r>
      <w:r>
        <w:rPr>
          <w:rFonts w:ascii="Times New Roman" w:cs="Times New Roman"/>
          <w:bCs/>
        </w:rPr>
        <w:t>0m）未发现发生井漏。总体发生井漏的机率小。井漏应以预防为主，尽可能避免人为失误发生井漏。钻井行业较完善的防范井漏和堵漏措施体系，钻井储备足够的堵漏剂以便及时堵漏减少漏失量。评价提出堵漏剂应选择清洁、无毒、对人体无害，环境污染轻种类，</w:t>
      </w:r>
      <w:r>
        <w:rPr>
          <w:rFonts w:hint="eastAsia" w:ascii="Times New Roman" w:cs="Times New Roman"/>
          <w:bCs/>
        </w:rPr>
        <w:t>一开段</w:t>
      </w:r>
      <w:r>
        <w:rPr>
          <w:rFonts w:ascii="Times New Roman" w:cs="Times New Roman"/>
          <w:bCs/>
        </w:rPr>
        <w:t>（0～</w:t>
      </w:r>
      <w:r>
        <w:rPr>
          <w:rFonts w:hint="eastAsia" w:ascii="Times New Roman" w:cs="Times New Roman"/>
          <w:bCs/>
        </w:rPr>
        <w:t>35</w:t>
      </w:r>
      <w:r>
        <w:rPr>
          <w:rFonts w:ascii="Times New Roman" w:cs="Times New Roman"/>
          <w:bCs/>
        </w:rPr>
        <w:t>0m）井漏应采用水泥堵漏。</w:t>
      </w:r>
    </w:p>
    <w:p>
      <w:pPr>
        <w:autoSpaceDE w:val="0"/>
        <w:autoSpaceDN w:val="0"/>
        <w:snapToGrid w:val="0"/>
        <w:ind w:firstLine="480"/>
        <w:rPr>
          <w:rFonts w:ascii="Times New Roman" w:cs="Times New Roman"/>
          <w:bCs/>
        </w:rPr>
      </w:pPr>
      <w:r>
        <w:rPr>
          <w:rFonts w:ascii="Times New Roman" w:cs="Times New Roman"/>
          <w:bCs/>
        </w:rPr>
        <w:t>发生井漏的地层为，发生井漏的地层为上、下沙溪庙组、千佛崖组、自流井组。总体发生井漏的机率小。井漏应以预防为主，尽可能避免人为失误发生井漏。钻井行业较完善的防范井漏和堵漏措施体系，钻井储备足够的堵漏剂以便及时堵漏减少漏失量。评价提出堵漏剂应选择清洁、无毒、对人体无害，环境污染轻种类，</w:t>
      </w:r>
      <w:r>
        <w:rPr>
          <w:rFonts w:hint="eastAsia" w:ascii="Times New Roman" w:cs="Times New Roman"/>
          <w:bCs/>
        </w:rPr>
        <w:t>一开段</w:t>
      </w:r>
      <w:r>
        <w:rPr>
          <w:rFonts w:ascii="Times New Roman" w:cs="Times New Roman"/>
          <w:bCs/>
        </w:rPr>
        <w:t>井漏（0～</w:t>
      </w:r>
      <w:r>
        <w:rPr>
          <w:rFonts w:hint="eastAsia" w:ascii="Times New Roman" w:cs="Times New Roman"/>
          <w:bCs/>
        </w:rPr>
        <w:t>35</w:t>
      </w:r>
      <w:r>
        <w:rPr>
          <w:rFonts w:ascii="Times New Roman" w:cs="Times New Roman"/>
          <w:bCs/>
        </w:rPr>
        <w:t>0m）采用水泥堵漏。漏失对表层地下水的影响也较小。</w:t>
      </w:r>
    </w:p>
    <w:p>
      <w:pPr>
        <w:autoSpaceDE w:val="0"/>
        <w:autoSpaceDN w:val="0"/>
        <w:snapToGrid w:val="0"/>
        <w:ind w:firstLine="480"/>
        <w:rPr>
          <w:rFonts w:ascii="Times New Roman" w:cs="Times New Roman"/>
          <w:bCs/>
        </w:rPr>
      </w:pPr>
      <w:r>
        <w:rPr>
          <w:rFonts w:ascii="Times New Roman" w:cs="Times New Roman"/>
          <w:bCs/>
        </w:rPr>
        <w:t>在</w:t>
      </w:r>
      <w:r>
        <w:rPr>
          <w:rFonts w:hint="eastAsia" w:ascii="Times New Roman" w:cs="Times New Roman"/>
          <w:bCs/>
        </w:rPr>
        <w:t>35</w:t>
      </w:r>
      <w:r>
        <w:rPr>
          <w:rFonts w:ascii="Times New Roman" w:cs="Times New Roman"/>
          <w:bCs/>
        </w:rPr>
        <w:t>0m以下含水层一旦发生井漏事故，可堵漏，井漏的泥浆少。钻井储备足够的堵漏剂以便及时堵漏减少漏失量。同时</w:t>
      </w:r>
      <w:r>
        <w:rPr>
          <w:rFonts w:hint="eastAsia" w:ascii="Times New Roman" w:cs="Times New Roman"/>
          <w:bCs/>
        </w:rPr>
        <w:t>35</w:t>
      </w:r>
      <w:r>
        <w:rPr>
          <w:rFonts w:ascii="Times New Roman" w:cs="Times New Roman"/>
          <w:bCs/>
        </w:rPr>
        <w:t>0m以下地层不是重点关注的含水层。井漏对地下水环境影响不突出。</w:t>
      </w:r>
    </w:p>
    <w:p>
      <w:pPr>
        <w:autoSpaceDE w:val="0"/>
        <w:autoSpaceDN w:val="0"/>
        <w:snapToGrid w:val="0"/>
        <w:ind w:firstLine="480"/>
        <w:rPr>
          <w:rFonts w:ascii="Times New Roman" w:cs="Times New Roman"/>
          <w:bCs/>
        </w:rPr>
      </w:pPr>
      <w:r>
        <w:rPr>
          <w:rFonts w:ascii="Times New Roman" w:cs="Times New Roman"/>
          <w:bCs/>
        </w:rPr>
        <w:t>（</w:t>
      </w:r>
      <w:r>
        <w:rPr>
          <w:rFonts w:hint="eastAsia" w:ascii="Times New Roman" w:cs="Times New Roman"/>
          <w:b/>
          <w:bCs/>
        </w:rPr>
        <w:t>3</w:t>
      </w:r>
      <w:r>
        <w:rPr>
          <w:rFonts w:ascii="Times New Roman" w:cs="Times New Roman"/>
          <w:bCs/>
        </w:rPr>
        <w:t>）洗井、压裂对地下水环境影响分析</w:t>
      </w:r>
    </w:p>
    <w:p>
      <w:pPr>
        <w:autoSpaceDE w:val="0"/>
        <w:autoSpaceDN w:val="0"/>
        <w:snapToGrid w:val="0"/>
        <w:ind w:firstLine="480"/>
        <w:rPr>
          <w:rFonts w:ascii="Times New Roman" w:cs="Times New Roman"/>
          <w:bCs/>
        </w:rPr>
      </w:pPr>
      <w:r>
        <w:rPr>
          <w:rFonts w:ascii="Times New Roman" w:cs="Times New Roman"/>
          <w:bCs/>
        </w:rPr>
        <w:t>根据本项目钻井设计资料，本项目目的层以清水进行洗井作业，压裂使用主要为含纤维携砂液和纯冻胶间隔液。根据井身结构判断，本项目洗井和压裂井段位于地面下2000m以下，通过套管固井保护，洗井废水、返排液进入浅层含水层（0～</w:t>
      </w:r>
      <w:r>
        <w:rPr>
          <w:rFonts w:hint="eastAsia" w:ascii="Times New Roman" w:cs="Times New Roman"/>
          <w:bCs/>
        </w:rPr>
        <w:t>35</w:t>
      </w:r>
      <w:r>
        <w:rPr>
          <w:rFonts w:ascii="Times New Roman" w:cs="Times New Roman"/>
          <w:bCs/>
        </w:rPr>
        <w:t>0m）可能性很小，洗井、压裂对项目所在地浅层地下含水层影响小，在当地地下水环境可接受范围内。</w:t>
      </w:r>
    </w:p>
    <w:p>
      <w:pPr>
        <w:autoSpaceDE w:val="0"/>
        <w:autoSpaceDN w:val="0"/>
        <w:snapToGrid w:val="0"/>
        <w:ind w:firstLine="480"/>
        <w:rPr>
          <w:rFonts w:ascii="Times New Roman" w:cs="Times New Roman"/>
          <w:bCs/>
        </w:rPr>
      </w:pPr>
      <w:r>
        <w:rPr>
          <w:rFonts w:ascii="Times New Roman" w:cs="Times New Roman"/>
          <w:bCs/>
        </w:rPr>
        <w:t>（</w:t>
      </w:r>
      <w:r>
        <w:rPr>
          <w:rFonts w:hint="eastAsia" w:ascii="Times New Roman" w:cs="Times New Roman"/>
          <w:b/>
          <w:bCs/>
        </w:rPr>
        <w:t>4</w:t>
      </w:r>
      <w:r>
        <w:rPr>
          <w:rFonts w:ascii="Times New Roman" w:cs="Times New Roman"/>
          <w:bCs/>
        </w:rPr>
        <w:t>）井场污染物渗透对地下水的影响</w:t>
      </w:r>
    </w:p>
    <w:p>
      <w:pPr>
        <w:autoSpaceDE w:val="0"/>
        <w:autoSpaceDN w:val="0"/>
        <w:snapToGrid w:val="0"/>
        <w:ind w:firstLine="480"/>
        <w:rPr>
          <w:rFonts w:ascii="Times New Roman" w:cs="Times New Roman"/>
          <w:bCs/>
        </w:rPr>
      </w:pPr>
      <w:r>
        <w:rPr>
          <w:rFonts w:ascii="Times New Roman" w:cs="Times New Roman"/>
          <w:bCs/>
        </w:rPr>
        <w:t>本项目最终废水、固体废物均外运处置，不长期储存，钻井污染物渗透进入地下水环境的量很小，通过采取的源头控制和分区防渗措施，进一步有效减少污染物的渗透。废水渗透进入井场及周边包气带的量很少，渗入点分散、量小。在包气带较薄、渗透性较好的地区，渗入地下或直接进入潜水含水层，可能会呈点状污染潜水，扩散速度缓慢，一般影响范围在占地内及周边50m内。钻井对潜水影响极其有限，呈点状分布在井场、废水池下方。污染物通过上部土层过滤吸附等，对包气带含水轻度影响。对下部遂宁组砂泥岩互层构造基岩裂隙水基本没有影响。</w:t>
      </w:r>
    </w:p>
    <w:p>
      <w:pPr>
        <w:autoSpaceDE w:val="0"/>
        <w:autoSpaceDN w:val="0"/>
        <w:snapToGrid w:val="0"/>
        <w:ind w:firstLine="480"/>
        <w:rPr>
          <w:rFonts w:ascii="Times New Roman" w:cs="Times New Roman"/>
          <w:bCs/>
        </w:rPr>
      </w:pPr>
      <w:r>
        <w:rPr>
          <w:rFonts w:ascii="Times New Roman" w:cs="Times New Roman"/>
          <w:bCs/>
        </w:rPr>
        <w:t>本项目井场占地范围距离最近居民取用泉水</w:t>
      </w:r>
      <w:r>
        <w:rPr>
          <w:rFonts w:hint="eastAsia" w:ascii="Times New Roman" w:cs="Times New Roman"/>
          <w:bCs/>
        </w:rPr>
        <w:t>970</w:t>
      </w:r>
      <w:r>
        <w:rPr>
          <w:rFonts w:ascii="Times New Roman" w:cs="Times New Roman"/>
          <w:bCs/>
        </w:rPr>
        <w:t>m，本项目对地下水环境和居民井泉的影响总体较小。</w:t>
      </w:r>
    </w:p>
    <w:p>
      <w:pPr>
        <w:autoSpaceDE w:val="0"/>
        <w:autoSpaceDN w:val="0"/>
        <w:snapToGrid w:val="0"/>
        <w:ind w:firstLine="480"/>
        <w:rPr>
          <w:rFonts w:ascii="Times New Roman" w:cs="Times New Roman"/>
          <w:bCs/>
        </w:rPr>
      </w:pPr>
      <w:r>
        <w:rPr>
          <w:rFonts w:ascii="Times New Roman" w:cs="Times New Roman"/>
          <w:bCs/>
        </w:rPr>
        <w:t>（</w:t>
      </w:r>
      <w:r>
        <w:rPr>
          <w:rFonts w:hint="eastAsia" w:ascii="Times New Roman" w:cs="Times New Roman"/>
          <w:b/>
          <w:bCs/>
        </w:rPr>
        <w:t>5</w:t>
      </w:r>
      <w:r>
        <w:rPr>
          <w:rFonts w:ascii="Times New Roman" w:cs="Times New Roman"/>
          <w:bCs/>
        </w:rPr>
        <w:t>）</w:t>
      </w:r>
      <w:r>
        <w:rPr>
          <w:rFonts w:hint="eastAsia" w:ascii="Times New Roman" w:cs="Times New Roman"/>
          <w:bCs/>
        </w:rPr>
        <w:t>放喷</w:t>
      </w:r>
      <w:r>
        <w:rPr>
          <w:rFonts w:ascii="Times New Roman" w:cs="Times New Roman"/>
          <w:bCs/>
        </w:rPr>
        <w:t>池废水泄漏对地下水的影响</w:t>
      </w:r>
    </w:p>
    <w:p>
      <w:pPr>
        <w:snapToGrid w:val="0"/>
        <w:ind w:firstLine="480"/>
        <w:rPr>
          <w:rFonts w:ascii="Times New Roman" w:cs="Times New Roman"/>
        </w:rPr>
      </w:pPr>
      <w:r>
        <w:rPr>
          <w:rFonts w:ascii="Times New Roman" w:cs="Times New Roman"/>
        </w:rPr>
        <w:t>一般地面防渗设施出现非正常渗漏容易发现并处理，</w:t>
      </w:r>
      <w:r>
        <w:rPr>
          <w:rFonts w:hint="eastAsia" w:ascii="Times New Roman" w:cs="Times New Roman"/>
        </w:rPr>
        <w:t>放喷</w:t>
      </w:r>
      <w:r>
        <w:rPr>
          <w:rFonts w:ascii="Times New Roman" w:cs="Times New Roman"/>
        </w:rPr>
        <w:t>池储存废水量最大，非正常工况下，若池底出现裂缝，将会导致废水、溶解于水中的污染物将进入地下水环境，进而污染井场所在地下水下游的地下水敏感点，因此，建设单位在施工过程中应注重</w:t>
      </w:r>
      <w:r>
        <w:rPr>
          <w:rFonts w:hint="eastAsia" w:ascii="Times New Roman" w:cs="Times New Roman"/>
        </w:rPr>
        <w:t>放喷</w:t>
      </w:r>
      <w:r>
        <w:rPr>
          <w:rFonts w:ascii="Times New Roman" w:cs="Times New Roman"/>
        </w:rPr>
        <w:t>池的施工质量，加强</w:t>
      </w:r>
      <w:r>
        <w:rPr>
          <w:rFonts w:hint="eastAsia" w:ascii="Times New Roman" w:cs="Times New Roman"/>
        </w:rPr>
        <w:t>放喷</w:t>
      </w:r>
      <w:r>
        <w:rPr>
          <w:rFonts w:ascii="Times New Roman" w:cs="Times New Roman"/>
        </w:rPr>
        <w:t>池的检查检修，杜绝非正常工况的发生，同时还应制定非正常工况风险事故防范、应急措施。加强对下游居民水井特别是JC</w:t>
      </w:r>
      <w:r>
        <w:rPr>
          <w:rFonts w:hint="eastAsia" w:ascii="Times New Roman" w:cs="Times New Roman"/>
        </w:rPr>
        <w:t>3</w:t>
      </w:r>
      <w:r>
        <w:rPr>
          <w:rFonts w:ascii="Times New Roman" w:cs="Times New Roman"/>
        </w:rPr>
        <w:t>、JC</w:t>
      </w:r>
      <w:r>
        <w:rPr>
          <w:rFonts w:hint="eastAsia" w:ascii="Times New Roman" w:cs="Times New Roman"/>
        </w:rPr>
        <w:t>4</w:t>
      </w:r>
      <w:r>
        <w:rPr>
          <w:rFonts w:ascii="Times New Roman" w:cs="Times New Roman"/>
        </w:rPr>
        <w:t>的跟踪监测和访问调查。</w:t>
      </w:r>
    </w:p>
    <w:p>
      <w:pPr>
        <w:snapToGrid w:val="0"/>
        <w:ind w:firstLine="480"/>
        <w:rPr>
          <w:rFonts w:ascii="Times New Roman" w:cs="Times New Roman"/>
        </w:rPr>
      </w:pPr>
      <w:r>
        <w:rPr>
          <w:rFonts w:ascii="Times New Roman" w:cs="Times New Roman"/>
        </w:rPr>
        <w:t>在事故性污染发生后，立即启动应急监测和地下水污染控制措施，即在污染物区域和地下水排泄边界进行抽水以阻隔污染物的扩散，根据应急监测情况，为下游受影响居民提供桶装饮用水、另找水源等方式保证居民正常用水。发生风险事故后，通过及时处理，工程建设对地下水环境影响可接受。</w:t>
      </w:r>
    </w:p>
    <w:p>
      <w:pPr>
        <w:snapToGrid w:val="0"/>
        <w:ind w:firstLine="480"/>
        <w:rPr>
          <w:rFonts w:ascii="Times New Roman" w:cs="Times New Roman"/>
        </w:rPr>
      </w:pPr>
      <w:r>
        <w:rPr>
          <w:rFonts w:ascii="Times New Roman" w:cs="Times New Roman"/>
        </w:rPr>
        <w:t>（</w:t>
      </w:r>
      <w:r>
        <w:rPr>
          <w:rFonts w:hint="eastAsia" w:ascii="Times New Roman" w:cs="Times New Roman"/>
        </w:rPr>
        <w:t>6</w:t>
      </w:r>
      <w:r>
        <w:rPr>
          <w:rFonts w:ascii="Times New Roman" w:cs="Times New Roman"/>
        </w:rPr>
        <w:t>）地下水污染防治措施</w:t>
      </w:r>
    </w:p>
    <w:p>
      <w:pPr>
        <w:pStyle w:val="551"/>
        <w:spacing w:line="360" w:lineRule="auto"/>
        <w:ind w:firstLine="480"/>
        <w:rPr>
          <w:rFonts w:ascii="Times New Roman" w:hAnsi="Times New Roman"/>
        </w:rPr>
      </w:pPr>
      <w:r>
        <w:rPr>
          <w:rFonts w:ascii="Times New Roman"/>
        </w:rPr>
        <w:t>本项目采取的地下水污染防治措施包括源头控制措施、分区防渗控制措施、实时监控措施、地下水污染监控措施和地下水污染治理措施。</w:t>
      </w:r>
    </w:p>
    <w:p>
      <w:pPr>
        <w:pStyle w:val="565"/>
        <w:spacing w:line="360" w:lineRule="auto"/>
        <w:ind w:firstLine="480"/>
        <w:rPr>
          <w:rFonts w:ascii="Times New Roman" w:hAnsi="Times New Roman"/>
        </w:rPr>
      </w:pPr>
      <w:r>
        <w:rPr>
          <w:rFonts w:ascii="Times New Roman" w:hAnsi="Times New Roman"/>
        </w:rPr>
        <w:t>1</w:t>
      </w:r>
      <w:r>
        <w:rPr>
          <w:rFonts w:ascii="Times New Roman"/>
        </w:rPr>
        <w:t>）源头控制措施：</w:t>
      </w:r>
    </w:p>
    <w:p>
      <w:pPr>
        <w:pStyle w:val="573"/>
        <w:spacing w:line="360" w:lineRule="auto"/>
        <w:rPr>
          <w:rFonts w:ascii="Times New Roman" w:hAnsi="Times New Roman"/>
        </w:rPr>
      </w:pPr>
      <w:r>
        <w:rPr>
          <w:rFonts w:ascii="Times New Roman" w:hAnsi="Times New Roman"/>
        </w:rPr>
        <w:t>a本项目</w:t>
      </w:r>
      <w:r>
        <w:rPr>
          <w:rFonts w:hint="eastAsia" w:ascii="Times New Roman" w:hAnsi="Times New Roman"/>
        </w:rPr>
        <w:t>一开、二开</w:t>
      </w:r>
      <w:r>
        <w:rPr>
          <w:rFonts w:ascii="Times New Roman" w:hAnsi="Times New Roman"/>
        </w:rPr>
        <w:t>采用水基</w:t>
      </w:r>
      <w:r>
        <w:rPr>
          <w:rFonts w:hint="eastAsia" w:ascii="Times New Roman" w:hAnsi="Times New Roman"/>
        </w:rPr>
        <w:t>钻井液（三开尽量减少油基钻井液使用）</w:t>
      </w:r>
      <w:r>
        <w:rPr>
          <w:rFonts w:ascii="Times New Roman" w:hAnsi="Times New Roman"/>
        </w:rPr>
        <w:t>，对地下水的影响小。</w:t>
      </w:r>
    </w:p>
    <w:p>
      <w:pPr>
        <w:pStyle w:val="573"/>
        <w:spacing w:line="360" w:lineRule="auto"/>
        <w:rPr>
          <w:rFonts w:ascii="Times New Roman" w:hAnsi="Times New Roman"/>
        </w:rPr>
      </w:pPr>
      <w:r>
        <w:rPr>
          <w:rFonts w:ascii="Times New Roman" w:hAnsi="Times New Roman"/>
        </w:rPr>
        <w:t>b</w:t>
      </w:r>
      <w:r>
        <w:rPr>
          <w:rFonts w:hint="eastAsia" w:ascii="Times New Roman" w:hAnsi="Times New Roman"/>
        </w:rPr>
        <w:t>一开段</w:t>
      </w:r>
      <w:r>
        <w:rPr>
          <w:rFonts w:ascii="Times New Roman" w:hAnsi="Times New Roman"/>
        </w:rPr>
        <w:t>套管下深</w:t>
      </w:r>
      <w:r>
        <w:rPr>
          <w:rFonts w:hint="eastAsia" w:ascii="Times New Roman" w:hAnsi="Times New Roman"/>
        </w:rPr>
        <w:t>35</w:t>
      </w:r>
      <w:r>
        <w:rPr>
          <w:rFonts w:ascii="Times New Roman" w:hAnsi="Times New Roman"/>
        </w:rPr>
        <w:t>0m，可有效避免地下水污染。</w:t>
      </w:r>
    </w:p>
    <w:p>
      <w:pPr>
        <w:pStyle w:val="573"/>
        <w:spacing w:line="360" w:lineRule="auto"/>
        <w:ind w:firstLine="480"/>
        <w:rPr>
          <w:rFonts w:ascii="Times New Roman" w:hAnsi="Times New Roman"/>
        </w:rPr>
      </w:pPr>
      <w:r>
        <w:rPr>
          <w:rFonts w:ascii="Times New Roman" w:hAnsi="Times New Roman"/>
        </w:rPr>
        <w:t>c在特殊工况使用泥浆钻时，针对可能发生的泥浆漏失情况，采用强钻方式快速钻穿漏失层达到固井层位。立即采取堵漏措施，减少漏失量。堵漏剂的选取应考虑清洁、无毒、对人体无害，环境污染轻的种类。选用合理泥浆密度，实现近平衡压力钻井，降低泥浆环空压耗，从而降低井筒中泥浆动压力，减小泥浆漏失量。</w:t>
      </w:r>
    </w:p>
    <w:p>
      <w:pPr>
        <w:pStyle w:val="573"/>
        <w:spacing w:line="360" w:lineRule="auto"/>
        <w:rPr>
          <w:rFonts w:ascii="Times New Roman" w:hAnsi="Times New Roman"/>
        </w:rPr>
      </w:pPr>
      <w:r>
        <w:rPr>
          <w:rFonts w:ascii="Times New Roman" w:hAnsi="Times New Roman"/>
        </w:rPr>
        <w:t>d提高固井质量，防止因为井漏事故造成的地下水环境污染。</w:t>
      </w:r>
    </w:p>
    <w:p>
      <w:pPr>
        <w:pStyle w:val="573"/>
        <w:spacing w:line="360" w:lineRule="auto"/>
        <w:rPr>
          <w:rFonts w:ascii="Times New Roman" w:hAnsi="Times New Roman"/>
        </w:rPr>
      </w:pPr>
      <w:r>
        <w:rPr>
          <w:rFonts w:ascii="Times New Roman" w:hAnsi="Times New Roman"/>
        </w:rPr>
        <w:t>e在钻井过程中加强压力检测，防止泥浆漏失污染等。</w:t>
      </w:r>
    </w:p>
    <w:p>
      <w:pPr>
        <w:pStyle w:val="573"/>
        <w:spacing w:line="360" w:lineRule="auto"/>
        <w:rPr>
          <w:rFonts w:ascii="Times New Roman" w:hAnsi="Times New Roman"/>
        </w:rPr>
      </w:pPr>
      <w:r>
        <w:rPr>
          <w:rFonts w:ascii="Times New Roman" w:hAnsi="Times New Roman"/>
        </w:rPr>
        <w:t>f作业用药品、材料集中放置在防渗漏地面，防止对地下水的污染。</w:t>
      </w:r>
    </w:p>
    <w:p>
      <w:pPr>
        <w:pStyle w:val="573"/>
        <w:spacing w:line="360" w:lineRule="auto"/>
        <w:ind w:firstLine="480"/>
        <w:rPr>
          <w:rFonts w:ascii="Times New Roman" w:hAnsi="Times New Roman"/>
        </w:rPr>
      </w:pPr>
      <w:r>
        <w:rPr>
          <w:rFonts w:ascii="Times New Roman" w:hAnsi="Times New Roman"/>
        </w:rPr>
        <w:t>g钻井过程中应加强钻井废水管理，防止出现废水渗漏、外溢等事故。</w:t>
      </w:r>
    </w:p>
    <w:p>
      <w:pPr>
        <w:pStyle w:val="573"/>
        <w:spacing w:line="360" w:lineRule="auto"/>
        <w:ind w:firstLine="480"/>
        <w:rPr>
          <w:rFonts w:ascii="Times New Roman" w:hAnsi="Times New Roman"/>
        </w:rPr>
      </w:pPr>
      <w:r>
        <w:rPr>
          <w:rFonts w:ascii="Times New Roman" w:hAnsi="Times New Roman"/>
        </w:rPr>
        <w:t>h加强油料的管理和控制，特别应加强和完善废油的控制措施。加强岩屑、废泥浆及其他固体废弃物收集、运输及暂存、处置等过程的环境管理。</w:t>
      </w:r>
    </w:p>
    <w:p>
      <w:pPr>
        <w:pStyle w:val="573"/>
        <w:spacing w:line="360" w:lineRule="auto"/>
        <w:ind w:firstLine="480"/>
        <w:rPr>
          <w:rFonts w:ascii="Times New Roman" w:hAnsi="Times New Roman"/>
        </w:rPr>
      </w:pPr>
      <w:r>
        <w:rPr>
          <w:rFonts w:ascii="Times New Roman" w:hAnsi="Times New Roman"/>
        </w:rPr>
        <w:t>i钻井液、压裂液等应做到循环利用。采取节水措施，减少耗水量。鼓励采用先进的工艺、设备。</w:t>
      </w:r>
    </w:p>
    <w:p>
      <w:pPr>
        <w:pStyle w:val="573"/>
        <w:spacing w:line="360" w:lineRule="auto"/>
        <w:ind w:firstLine="480"/>
        <w:rPr>
          <w:rFonts w:ascii="Times New Roman" w:hAnsi="Times New Roman"/>
        </w:rPr>
      </w:pPr>
      <w:r>
        <w:rPr>
          <w:rFonts w:ascii="Times New Roman" w:hAnsi="Times New Roman"/>
        </w:rPr>
        <w:t>j加强废水、废油等运输过程的管理。对承包转运的车辆实施车辆登记制度，加强运输过程中的监控措施，防止运输过程发生事故导致废水、废油等泄漏，污染环境。建立废水、废油等交接联单制度，确保不乱排乱倒。加强对罐车司机的安全教育，定期对罐车进行安全检查，严格遵守交通规则，避免交通事故发生。</w:t>
      </w:r>
    </w:p>
    <w:p>
      <w:pPr>
        <w:pStyle w:val="565"/>
        <w:spacing w:line="360" w:lineRule="auto"/>
        <w:ind w:firstLine="480"/>
        <w:rPr>
          <w:rFonts w:ascii="Times New Roman" w:hAnsi="Times New Roman"/>
        </w:rPr>
      </w:pPr>
      <w:r>
        <w:rPr>
          <w:rFonts w:ascii="Times New Roman" w:hAnsi="Times New Roman"/>
        </w:rPr>
        <w:t>2）分区防渗控制措施</w:t>
      </w:r>
    </w:p>
    <w:p>
      <w:pPr>
        <w:pStyle w:val="551"/>
        <w:spacing w:line="360" w:lineRule="auto"/>
        <w:ind w:firstLine="480"/>
        <w:rPr>
          <w:rFonts w:ascii="Times New Roman" w:hAnsi="Times New Roman"/>
        </w:rPr>
      </w:pPr>
      <w:r>
        <w:rPr>
          <w:rFonts w:ascii="Times New Roman" w:hAnsi="Times New Roman"/>
        </w:rPr>
        <w:t>参照《危险废物贮存污染控制标准》（GB 18597-20</w:t>
      </w:r>
      <w:r>
        <w:rPr>
          <w:rFonts w:hint="eastAsia" w:ascii="Times New Roman" w:hAnsi="Times New Roman"/>
        </w:rPr>
        <w:t>23</w:t>
      </w:r>
      <w:r>
        <w:rPr>
          <w:rFonts w:ascii="Times New Roman" w:hAnsi="Times New Roman"/>
        </w:rPr>
        <w:t>）制定防渗措施，一般污染防治区防渗层的防渗性能不应低于1.5m厚渗透系数为1.0×10</w:t>
      </w:r>
      <w:r>
        <w:rPr>
          <w:rFonts w:ascii="Times New Roman" w:hAnsi="Times New Roman"/>
          <w:vertAlign w:val="superscript"/>
        </w:rPr>
        <w:t>-7</w:t>
      </w:r>
      <w:r>
        <w:rPr>
          <w:rFonts w:ascii="Times New Roman" w:hAnsi="Times New Roman"/>
        </w:rPr>
        <w:t>cm/s的黏土层的防渗性能，重点污染防治区防渗层的防渗性能不应低于6.0m厚渗透系数为1.0×10</w:t>
      </w:r>
      <w:r>
        <w:rPr>
          <w:rFonts w:ascii="Times New Roman" w:hAnsi="Times New Roman"/>
          <w:vertAlign w:val="superscript"/>
        </w:rPr>
        <w:t>-7</w:t>
      </w:r>
      <w:r>
        <w:rPr>
          <w:rFonts w:ascii="Times New Roman" w:hAnsi="Times New Roman"/>
        </w:rPr>
        <w:t>cm/s的黏土层的防渗性能。</w:t>
      </w:r>
    </w:p>
    <w:p>
      <w:pPr>
        <w:pStyle w:val="573"/>
        <w:spacing w:line="360" w:lineRule="auto"/>
        <w:ind w:firstLine="480"/>
        <w:rPr>
          <w:rFonts w:hint="eastAsia" w:ascii="Times New Roman"/>
        </w:rPr>
      </w:pPr>
      <w:r>
        <w:rPr>
          <w:rFonts w:ascii="Times New Roman" w:hAnsi="Times New Roman"/>
        </w:rPr>
        <w:t>污染防治分区：</w:t>
      </w:r>
      <w:r>
        <w:rPr>
          <w:rFonts w:ascii="Times New Roman"/>
        </w:rPr>
        <w:t>根据钻井井场的平面布置，按照通过各种途径可能进入地下水环境的各种有毒有害物质的泄漏（含跑、冒、滴、漏）量及其他各类污染物的性质、产生和排放量，将钻井井场划分为污染防治区和非污染防治区，污染防治区包括重点污染防治区和一般污染防治区，污染防治区分区情况详见表</w:t>
      </w:r>
      <w:r>
        <w:rPr>
          <w:rFonts w:hint="eastAsia" w:ascii="Times New Roman" w:hAnsi="Times New Roman"/>
        </w:rPr>
        <w:t>6.1</w:t>
      </w:r>
      <w:r>
        <w:rPr>
          <w:rFonts w:ascii="Times New Roman" w:hAnsi="Times New Roman"/>
        </w:rPr>
        <w:t>-</w:t>
      </w:r>
      <w:r>
        <w:rPr>
          <w:rFonts w:hint="eastAsia" w:ascii="Times New Roman" w:hAnsi="Times New Roman"/>
        </w:rPr>
        <w:t>1</w:t>
      </w:r>
      <w:r>
        <w:rPr>
          <w:rFonts w:ascii="Times New Roman"/>
        </w:rPr>
        <w:t>。</w:t>
      </w:r>
    </w:p>
    <w:p>
      <w:pPr>
        <w:pStyle w:val="573"/>
        <w:spacing w:line="360" w:lineRule="auto"/>
        <w:ind w:firstLine="480"/>
        <w:rPr>
          <w:rFonts w:hint="eastAsia" w:ascii="Times New Roman"/>
        </w:rPr>
      </w:pPr>
    </w:p>
    <w:p>
      <w:pPr>
        <w:pStyle w:val="573"/>
        <w:spacing w:line="360" w:lineRule="auto"/>
        <w:ind w:firstLine="480"/>
        <w:rPr>
          <w:rFonts w:ascii="Times New Roman" w:hAnsi="Times New Roman"/>
        </w:rPr>
      </w:pPr>
    </w:p>
    <w:p>
      <w:pPr>
        <w:topLinePunct w:val="0"/>
        <w:snapToGrid w:val="0"/>
        <w:spacing w:beforeLines="50"/>
        <w:ind w:firstLine="480" w:firstLineChars="0"/>
        <w:jc w:val="center"/>
        <w:rPr>
          <w:rFonts w:hAnsi="Cambria" w:cs="Times New Roman"/>
          <w:kern w:val="2"/>
          <w:sz w:val="21"/>
          <w:szCs w:val="20"/>
        </w:rPr>
      </w:pPr>
      <w:bookmarkStart w:id="476" w:name="_Ref502860035"/>
      <w:r>
        <w:rPr>
          <w:rFonts w:ascii="Times New Roman" w:cs="Times New Roman"/>
          <w:kern w:val="2"/>
          <w:sz w:val="21"/>
          <w:szCs w:val="20"/>
        </w:rPr>
        <w:t xml:space="preserve">表 </w:t>
      </w:r>
      <w:bookmarkEnd w:id="476"/>
      <w:r>
        <w:rPr>
          <w:rFonts w:hint="eastAsia" w:ascii="Times New Roman" w:cs="Times New Roman"/>
          <w:kern w:val="2"/>
          <w:sz w:val="21"/>
          <w:szCs w:val="20"/>
        </w:rPr>
        <w:t>6.1</w:t>
      </w:r>
      <w:r>
        <w:rPr>
          <w:rFonts w:ascii="Times New Roman" w:cs="Times New Roman"/>
          <w:kern w:val="2"/>
          <w:sz w:val="21"/>
          <w:szCs w:val="20"/>
        </w:rPr>
        <w:t>-</w:t>
      </w:r>
      <w:r>
        <w:rPr>
          <w:rFonts w:hint="eastAsia" w:ascii="Times New Roman" w:cs="Times New Roman"/>
          <w:kern w:val="2"/>
          <w:sz w:val="21"/>
          <w:szCs w:val="20"/>
        </w:rPr>
        <w:t>1</w:t>
      </w:r>
      <w:r>
        <w:rPr>
          <w:rFonts w:hAnsi="Cambria" w:cs="Times New Roman"/>
          <w:kern w:val="2"/>
          <w:sz w:val="21"/>
          <w:szCs w:val="20"/>
        </w:rPr>
        <w:t xml:space="preserve"> </w:t>
      </w:r>
      <w:r>
        <w:rPr>
          <w:rFonts w:hint="eastAsia" w:hAnsi="Cambria" w:cs="Times New Roman"/>
          <w:kern w:val="2"/>
          <w:sz w:val="21"/>
          <w:szCs w:val="20"/>
        </w:rPr>
        <w:t xml:space="preserve">  本项目分区防渗方案一览表</w:t>
      </w:r>
    </w:p>
    <w:tbl>
      <w:tblPr>
        <w:tblStyle w:val="57"/>
        <w:tblW w:w="0" w:type="auto"/>
        <w:tblInd w:w="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904"/>
        <w:gridCol w:w="2791"/>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142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污染防治区类别</w:t>
            </w:r>
          </w:p>
        </w:tc>
        <w:tc>
          <w:tcPr>
            <w:tcW w:w="190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防渗性能要求</w:t>
            </w:r>
          </w:p>
        </w:tc>
        <w:tc>
          <w:tcPr>
            <w:tcW w:w="279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装置、单元名称</w:t>
            </w:r>
          </w:p>
        </w:tc>
        <w:tc>
          <w:tcPr>
            <w:tcW w:w="192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污染防治区域或部位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420" w:type="dxa"/>
            <w:vMerge w:val="restart"/>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重点污染防治区</w:t>
            </w:r>
          </w:p>
        </w:tc>
        <w:tc>
          <w:tcPr>
            <w:tcW w:w="1904" w:type="dxa"/>
            <w:vMerge w:val="restart"/>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防渗性能应不低于6.0m厚渗透系数为1.0×10</w:t>
            </w:r>
            <w:r>
              <w:rPr>
                <w:rFonts w:ascii="Times New Roman" w:cs="Times New Roman"/>
                <w:kern w:val="2"/>
                <w:sz w:val="21"/>
                <w:szCs w:val="21"/>
                <w:vertAlign w:val="superscript"/>
              </w:rPr>
              <w:t>-7</w:t>
            </w:r>
            <w:r>
              <w:rPr>
                <w:rFonts w:ascii="Times New Roman" w:cs="Times New Roman"/>
                <w:kern w:val="2"/>
                <w:sz w:val="21"/>
                <w:szCs w:val="21"/>
              </w:rPr>
              <w:t>cm/s的黏土层防渗性能</w:t>
            </w:r>
          </w:p>
        </w:tc>
        <w:tc>
          <w:tcPr>
            <w:tcW w:w="2791"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ascii="Times New Roman" w:cs="Times New Roman"/>
                <w:kern w:val="2"/>
                <w:sz w:val="21"/>
                <w:szCs w:val="21"/>
              </w:rPr>
              <w:t>井口区域、泥浆循环系统区域、泥浆储备罐区、柴油储罐</w:t>
            </w:r>
            <w:r>
              <w:rPr>
                <w:rFonts w:hint="eastAsia" w:ascii="Times New Roman" w:cs="Times New Roman"/>
                <w:kern w:val="2"/>
                <w:sz w:val="21"/>
                <w:szCs w:val="21"/>
              </w:rPr>
              <w:t>、凝析油储罐</w:t>
            </w:r>
            <w:r>
              <w:rPr>
                <w:rFonts w:ascii="Times New Roman" w:cs="Times New Roman"/>
                <w:kern w:val="2"/>
                <w:sz w:val="21"/>
                <w:szCs w:val="21"/>
              </w:rPr>
              <w:t>、危废暂存间</w:t>
            </w:r>
          </w:p>
        </w:tc>
        <w:tc>
          <w:tcPr>
            <w:tcW w:w="192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420" w:type="dxa"/>
            <w:vMerge w:val="continue"/>
            <w:vAlign w:val="center"/>
          </w:tcPr>
          <w:p>
            <w:pPr>
              <w:widowControl/>
              <w:topLinePunct w:val="0"/>
              <w:snapToGrid w:val="0"/>
              <w:spacing w:line="240" w:lineRule="auto"/>
              <w:ind w:firstLine="0" w:firstLineChars="0"/>
              <w:jc w:val="center"/>
              <w:rPr>
                <w:rFonts w:ascii="Times New Roman" w:cs="Times New Roman"/>
                <w:kern w:val="2"/>
                <w:sz w:val="21"/>
                <w:szCs w:val="21"/>
              </w:rPr>
            </w:pPr>
          </w:p>
        </w:tc>
        <w:tc>
          <w:tcPr>
            <w:tcW w:w="1904" w:type="dxa"/>
            <w:vMerge w:val="continue"/>
            <w:vAlign w:val="center"/>
          </w:tcPr>
          <w:p>
            <w:pPr>
              <w:widowControl/>
              <w:topLinePunct w:val="0"/>
              <w:snapToGrid w:val="0"/>
              <w:spacing w:line="240" w:lineRule="auto"/>
              <w:ind w:firstLine="0" w:firstLineChars="0"/>
              <w:jc w:val="center"/>
              <w:rPr>
                <w:rFonts w:ascii="Times New Roman" w:cs="Times New Roman"/>
                <w:kern w:val="2"/>
                <w:sz w:val="21"/>
                <w:szCs w:val="21"/>
              </w:rPr>
            </w:pPr>
          </w:p>
        </w:tc>
        <w:tc>
          <w:tcPr>
            <w:tcW w:w="2791"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hint="eastAsia" w:ascii="Times New Roman" w:cs="Times New Roman"/>
                <w:kern w:val="2"/>
                <w:sz w:val="21"/>
                <w:szCs w:val="21"/>
              </w:rPr>
              <w:t>污水池、</w:t>
            </w:r>
            <w:r>
              <w:rPr>
                <w:rFonts w:ascii="Times New Roman" w:cs="Times New Roman"/>
                <w:kern w:val="2"/>
                <w:sz w:val="21"/>
                <w:szCs w:val="21"/>
              </w:rPr>
              <w:t>放喷池</w:t>
            </w:r>
          </w:p>
        </w:tc>
        <w:tc>
          <w:tcPr>
            <w:tcW w:w="192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池底及池壁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420" w:type="dxa"/>
            <w:vMerge w:val="restart"/>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一般污染防治区</w:t>
            </w:r>
          </w:p>
        </w:tc>
        <w:tc>
          <w:tcPr>
            <w:tcW w:w="1904" w:type="dxa"/>
            <w:vMerge w:val="restart"/>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防渗性能应不低于1.5m厚渗透系数为1.0×10</w:t>
            </w:r>
            <w:r>
              <w:rPr>
                <w:rFonts w:ascii="Times New Roman" w:cs="Times New Roman"/>
                <w:kern w:val="2"/>
                <w:sz w:val="21"/>
                <w:szCs w:val="21"/>
                <w:vertAlign w:val="superscript"/>
              </w:rPr>
              <w:t>-7</w:t>
            </w:r>
            <w:r>
              <w:rPr>
                <w:rFonts w:ascii="Times New Roman" w:cs="Times New Roman"/>
                <w:kern w:val="2"/>
                <w:sz w:val="21"/>
                <w:szCs w:val="21"/>
              </w:rPr>
              <w:t>cm/s的黏土层防渗性能</w:t>
            </w:r>
          </w:p>
        </w:tc>
        <w:tc>
          <w:tcPr>
            <w:tcW w:w="279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井架基础、发电机房、高压房、材料棚</w:t>
            </w:r>
          </w:p>
        </w:tc>
        <w:tc>
          <w:tcPr>
            <w:tcW w:w="192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420" w:type="dxa"/>
            <w:vMerge w:val="continue"/>
            <w:vAlign w:val="center"/>
          </w:tcPr>
          <w:p>
            <w:pPr>
              <w:widowControl/>
              <w:topLinePunct w:val="0"/>
              <w:snapToGrid w:val="0"/>
              <w:spacing w:line="240" w:lineRule="auto"/>
              <w:ind w:firstLine="0" w:firstLineChars="0"/>
              <w:jc w:val="center"/>
              <w:rPr>
                <w:rFonts w:ascii="Times New Roman" w:cs="Times New Roman"/>
                <w:kern w:val="2"/>
                <w:sz w:val="21"/>
                <w:szCs w:val="21"/>
              </w:rPr>
            </w:pPr>
          </w:p>
        </w:tc>
        <w:tc>
          <w:tcPr>
            <w:tcW w:w="1904" w:type="dxa"/>
            <w:vMerge w:val="continue"/>
            <w:vAlign w:val="center"/>
          </w:tcPr>
          <w:p>
            <w:pPr>
              <w:widowControl/>
              <w:topLinePunct w:val="0"/>
              <w:snapToGrid w:val="0"/>
              <w:spacing w:line="240" w:lineRule="auto"/>
              <w:ind w:firstLine="0" w:firstLineChars="0"/>
              <w:jc w:val="center"/>
              <w:rPr>
                <w:rFonts w:ascii="Times New Roman" w:cs="Times New Roman"/>
                <w:kern w:val="2"/>
                <w:sz w:val="21"/>
                <w:szCs w:val="21"/>
              </w:rPr>
            </w:pPr>
          </w:p>
        </w:tc>
        <w:tc>
          <w:tcPr>
            <w:tcW w:w="279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雨、污分流区域</w:t>
            </w:r>
          </w:p>
        </w:tc>
        <w:tc>
          <w:tcPr>
            <w:tcW w:w="192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地面</w:t>
            </w:r>
          </w:p>
        </w:tc>
      </w:tr>
    </w:tbl>
    <w:p>
      <w:pPr>
        <w:snapToGrid w:val="0"/>
        <w:ind w:firstLine="480"/>
        <w:rPr>
          <w:rFonts w:ascii="Times New Roman" w:cs="Times New Roman"/>
          <w:b/>
          <w:bCs/>
        </w:rPr>
      </w:pPr>
      <w:r>
        <w:rPr>
          <w:rFonts w:ascii="Times New Roman" w:cs="Times New Roman"/>
        </w:rPr>
        <w:t>3）</w:t>
      </w:r>
      <w:r>
        <w:rPr>
          <w:rFonts w:ascii="Times New Roman" w:cs="Times New Roman"/>
          <w:bCs/>
        </w:rPr>
        <w:t>实时监控措施</w:t>
      </w:r>
    </w:p>
    <w:p>
      <w:pPr>
        <w:snapToGrid w:val="0"/>
        <w:ind w:firstLine="480"/>
        <w:rPr>
          <w:rFonts w:ascii="Times New Roman" w:cs="Times New Roman"/>
          <w:bCs/>
        </w:rPr>
      </w:pPr>
      <w:r>
        <w:rPr>
          <w:rFonts w:ascii="Times New Roman" w:cs="Times New Roman"/>
          <w:bCs/>
        </w:rPr>
        <w:t>井场储备足够的堵漏剂，在钻井过程对泥浆实时监控，一旦发现漏失，立即采取堵漏措施，减少漏失量。堵漏剂的选取应考虑清洁、无毒、对人体无害，环境污染轻的种类。</w:t>
      </w:r>
    </w:p>
    <w:p>
      <w:pPr>
        <w:snapToGrid w:val="0"/>
        <w:ind w:firstLine="480"/>
        <w:rPr>
          <w:rFonts w:ascii="Times New Roman" w:cs="Times New Roman"/>
          <w:bCs/>
        </w:rPr>
      </w:pPr>
      <w:r>
        <w:rPr>
          <w:rFonts w:ascii="Times New Roman" w:cs="Times New Roman"/>
        </w:rPr>
        <w:t>4）</w:t>
      </w:r>
      <w:r>
        <w:rPr>
          <w:rFonts w:ascii="Times New Roman" w:cs="Times New Roman"/>
          <w:bCs/>
        </w:rPr>
        <w:t>地下水敏感目标监控措施</w:t>
      </w:r>
    </w:p>
    <w:p>
      <w:pPr>
        <w:pStyle w:val="112"/>
        <w:ind w:firstLine="480"/>
        <w:rPr>
          <w:szCs w:val="24"/>
        </w:rPr>
      </w:pPr>
      <w:r>
        <w:rPr>
          <w:bCs/>
          <w:szCs w:val="24"/>
        </w:rPr>
        <w:t>建设预留一定资金，当在</w:t>
      </w:r>
      <w:r>
        <w:rPr>
          <w:rFonts w:hint="eastAsia"/>
          <w:bCs/>
          <w:szCs w:val="24"/>
        </w:rPr>
        <w:t>普陆4集气平台</w:t>
      </w:r>
      <w:r>
        <w:rPr>
          <w:bCs/>
          <w:szCs w:val="24"/>
        </w:rPr>
        <w:t>地下水下游民井不定期检测发生异常时，为农户提供备用水源或桶装水的措施来解决农户饮用水问题，并组织相关单位查找异常原因并解决。</w:t>
      </w:r>
    </w:p>
    <w:bookmarkEnd w:id="475"/>
    <w:p>
      <w:pPr>
        <w:pStyle w:val="4"/>
        <w:rPr>
          <w:rFonts w:eastAsia="宋体"/>
        </w:rPr>
      </w:pPr>
      <w:bookmarkStart w:id="477" w:name="_Toc19816061"/>
      <w:bookmarkStart w:id="478" w:name="_Toc12288660"/>
      <w:bookmarkStart w:id="479" w:name="_Toc19816056"/>
      <w:bookmarkStart w:id="480" w:name="_Toc12288654"/>
      <w:r>
        <w:rPr>
          <w:rFonts w:eastAsia="宋体"/>
        </w:rPr>
        <w:t>6.1.4 施工期环境空气影响分析</w:t>
      </w:r>
      <w:bookmarkEnd w:id="477"/>
      <w:bookmarkEnd w:id="478"/>
    </w:p>
    <w:p>
      <w:pPr>
        <w:pStyle w:val="6"/>
        <w:ind w:firstLine="482"/>
        <w:rPr>
          <w:rFonts w:ascii="Times New Roman" w:cs="Times New Roman"/>
          <w:b/>
          <w:bCs/>
        </w:rPr>
      </w:pPr>
      <w:bookmarkStart w:id="481" w:name="_Toc12288661"/>
      <w:r>
        <w:rPr>
          <w:rFonts w:ascii="Times New Roman" w:cs="Times New Roman"/>
          <w:b/>
          <w:bCs/>
        </w:rPr>
        <w:t>1、扬尘（粉尘）的影响分析</w:t>
      </w:r>
      <w:bookmarkEnd w:id="481"/>
    </w:p>
    <w:p>
      <w:pPr>
        <w:pStyle w:val="112"/>
        <w:ind w:firstLine="480"/>
      </w:pPr>
      <w:r>
        <w:t>本项目的扬尘（粉尘）主要产生于两个部分：管沟及站场的地面开挖、填埋、土石方堆放和车辆运输过程产生的扬尘（粉尘）。施工期间产生的扬尘（粉尘）污染主要取决于施工作业方式、材料的堆放以及风力等因素，其中受风力的影响因素最大，随着风速的增大，施工扬尘（粉尘）的污染程度和超标范围也将随之增强和扩大。</w:t>
      </w:r>
    </w:p>
    <w:p>
      <w:pPr>
        <w:pStyle w:val="112"/>
        <w:ind w:firstLine="480"/>
      </w:pPr>
      <w:r>
        <w:t>管道及</w:t>
      </w:r>
      <w:r>
        <w:rPr>
          <w:rFonts w:hint="eastAsia"/>
        </w:rPr>
        <w:t>场站</w:t>
      </w:r>
      <w:r>
        <w:t>的地面开挖、填埋、土石方堆放过程为分段进行，施工时间较短，作业带内产生的扬尘（粉尘）为无组织面源排放，根据类比调查，施工工地上风向50m范围内TSP浓度约0.3mg/m</w:t>
      </w:r>
      <w:r>
        <w:rPr>
          <w:vertAlign w:val="superscript"/>
        </w:rPr>
        <w:t>3</w:t>
      </w:r>
      <w:r>
        <w:t>，施工工地内TSP浓度约为0.6～0.8mg/m</w:t>
      </w:r>
      <w:r>
        <w:rPr>
          <w:vertAlign w:val="superscript"/>
        </w:rPr>
        <w:t>3</w:t>
      </w:r>
      <w:r>
        <w:t>，下风向50m距离TSP浓度约为0.45～0.5mg/m</w:t>
      </w:r>
      <w:r>
        <w:rPr>
          <w:vertAlign w:val="superscript"/>
        </w:rPr>
        <w:t>3</w:t>
      </w:r>
      <w:r>
        <w:t>，100m距离TSP浓度约为0.35～0.38mg/m</w:t>
      </w:r>
      <w:r>
        <w:rPr>
          <w:vertAlign w:val="superscript"/>
        </w:rPr>
        <w:t>3</w:t>
      </w:r>
      <w:r>
        <w:t>，150m距离TSP浓度约为0.31～0.34mg/m</w:t>
      </w:r>
      <w:r>
        <w:rPr>
          <w:vertAlign w:val="superscript"/>
        </w:rPr>
        <w:t>3</w:t>
      </w:r>
      <w:r>
        <w:t>。管道沿线的较近居住民施工期内会受到施工扬尘的影响，但由于施工过程为分段进行，施工时间较短，且以上地段管道沿线土壤多比较湿润，因此总体而言，管线施工作业扬尘污染是短时的，且影响不会很大。再加上土壤本身的湿润性，地面开挖时产生的扬尘很少；在采取合理化管理、作业面和土堆适当喷水、土堆和建筑材料遮盖、大风天停止作业等措施后，施工扬尘对周围保护目标的影响会大为降低。</w:t>
      </w:r>
    </w:p>
    <w:p>
      <w:pPr>
        <w:pStyle w:val="112"/>
        <w:ind w:firstLine="480"/>
      </w:pPr>
      <w:r>
        <w:t>施工阶段汽车运输过程中，也会产生扬尘污染。扬尘量、粒径大小等与多种因素有关，如路面状况、车辆行驶速度、载重量、天气情况等。其中风速、风向等天气状况直接影响扬尘的传输方向和距离。由于汽车运输过程中产生的扬尘时间短、扬尘落地快、影响范围主要集中在运输道路两侧，故汽车运输扬尘对周边的环境空气影响程度和范围较小，影响时间也较短。如果采用道路定时撒水抑尘、车辆不要装载过满并采取密闭或遮盖措施，可大大减少运输扬尘对周围环境空气的影响。</w:t>
      </w:r>
    </w:p>
    <w:p>
      <w:pPr>
        <w:pStyle w:val="112"/>
        <w:ind w:firstLine="480"/>
      </w:pPr>
      <w:r>
        <w:t>总体而言，施工期扬尘对管道沿经各环境空气敏感点影响很小，属可接受范围。</w:t>
      </w:r>
    </w:p>
    <w:p>
      <w:pPr>
        <w:pStyle w:val="6"/>
        <w:ind w:firstLine="482"/>
        <w:rPr>
          <w:rFonts w:ascii="Times New Roman" w:cs="Times New Roman"/>
          <w:b/>
          <w:bCs/>
        </w:rPr>
      </w:pPr>
      <w:bookmarkStart w:id="482" w:name="_Toc12288662"/>
      <w:r>
        <w:rPr>
          <w:rFonts w:ascii="Times New Roman" w:cs="Times New Roman"/>
          <w:b/>
          <w:bCs/>
        </w:rPr>
        <w:t>2、施工机械尾气影响分析</w:t>
      </w:r>
      <w:bookmarkEnd w:id="482"/>
    </w:p>
    <w:p>
      <w:pPr>
        <w:pStyle w:val="6"/>
        <w:ind w:firstLine="480"/>
        <w:rPr>
          <w:rFonts w:ascii="Times New Roman" w:cs="Times New Roman"/>
        </w:rPr>
      </w:pPr>
      <w:r>
        <w:rPr>
          <w:rFonts w:ascii="Times New Roman" w:cs="Times New Roman"/>
        </w:rPr>
        <w:t>施工期间，运输汽车、柴油机施工中，由于使用柴油机等设备，将产生燃烧烟气，主要污染物为SO</w:t>
      </w:r>
      <w:r>
        <w:rPr>
          <w:rFonts w:ascii="Times New Roman" w:cs="Times New Roman"/>
          <w:sz w:val="16"/>
          <w:szCs w:val="16"/>
        </w:rPr>
        <w:t>2</w:t>
      </w:r>
      <w:r>
        <w:rPr>
          <w:rFonts w:ascii="Times New Roman" w:cs="Times New Roman"/>
        </w:rPr>
        <w:t>、NO</w:t>
      </w:r>
      <w:r>
        <w:rPr>
          <w:rFonts w:ascii="Times New Roman" w:cs="Times New Roman"/>
          <w:sz w:val="16"/>
          <w:szCs w:val="16"/>
        </w:rPr>
        <w:t>2</w:t>
      </w:r>
      <w:r>
        <w:rPr>
          <w:rFonts w:ascii="Times New Roman" w:cs="Times New Roman"/>
        </w:rPr>
        <w:t>、C</w:t>
      </w:r>
      <w:r>
        <w:rPr>
          <w:rFonts w:ascii="Times New Roman" w:cs="Times New Roman"/>
          <w:sz w:val="16"/>
          <w:szCs w:val="16"/>
        </w:rPr>
        <w:t>m</w:t>
      </w:r>
      <w:r>
        <w:rPr>
          <w:rFonts w:ascii="Times New Roman" w:cs="Times New Roman"/>
        </w:rPr>
        <w:t>H</w:t>
      </w:r>
      <w:r>
        <w:rPr>
          <w:rFonts w:ascii="Times New Roman" w:cs="Times New Roman"/>
          <w:sz w:val="16"/>
          <w:szCs w:val="16"/>
        </w:rPr>
        <w:t>n</w:t>
      </w:r>
      <w:r>
        <w:rPr>
          <w:rFonts w:ascii="Times New Roman" w:cs="Times New Roman"/>
        </w:rPr>
        <w:t>等。但由于废气量较小且施工现场均在野外，有利于空气的扩散。同时施工过程中应加强大型施工机械和车辆管理，工程承包商的机械设备应配备相应的消烟除尘设备。考虑到管线走向基本沿公路并行敷设，两者相距较近，因此，本项目运输车辆较公路上其它车辆的车流量要低的多，因此对大气环境的影响可忽略。此外，施工机械排放燃烧烟气具有排放量小、间歇性、短期性和流动性的特点，该类污染源对大气环境的影响较轻。</w:t>
      </w:r>
    </w:p>
    <w:p>
      <w:pPr>
        <w:pStyle w:val="6"/>
        <w:ind w:firstLine="482"/>
        <w:rPr>
          <w:rFonts w:ascii="Times New Roman" w:cs="Times New Roman"/>
          <w:b/>
          <w:bCs/>
        </w:rPr>
      </w:pPr>
      <w:r>
        <w:rPr>
          <w:rFonts w:ascii="Times New Roman" w:cs="Times New Roman"/>
          <w:b/>
          <w:bCs/>
        </w:rPr>
        <w:t>3、施工焊接烟尘影响分析</w:t>
      </w:r>
    </w:p>
    <w:p>
      <w:pPr>
        <w:pStyle w:val="6"/>
        <w:ind w:firstLine="480"/>
        <w:rPr>
          <w:rFonts w:ascii="Times New Roman" w:cs="Times New Roman"/>
        </w:rPr>
      </w:pPr>
      <w:r>
        <w:rPr>
          <w:rFonts w:ascii="Times New Roman" w:cs="Times New Roman"/>
        </w:rPr>
        <w:t>本工程产生的焊接烟尘废气量较小，且施工场地分散，废气污染源具有排放量小、间断分散的特点，该类污染源对大气环境的影响较小。</w:t>
      </w:r>
    </w:p>
    <w:p>
      <w:pPr>
        <w:pStyle w:val="112"/>
        <w:ind w:firstLine="480"/>
      </w:pPr>
      <w:r>
        <w:t>综上，项目施工期将会对施工场地周围的环境空气质量造成一定影响，但这些影响随着施工期的结束也会结束。因此，项目施工期不会造成项目所在地环境空气质量明显恶化。</w:t>
      </w:r>
    </w:p>
    <w:p>
      <w:pPr>
        <w:pStyle w:val="6"/>
        <w:ind w:firstLine="482"/>
        <w:rPr>
          <w:rFonts w:ascii="Times New Roman" w:cs="Times New Roman"/>
          <w:b/>
          <w:bCs/>
        </w:rPr>
      </w:pPr>
      <w:r>
        <w:rPr>
          <w:rFonts w:hint="eastAsia" w:ascii="Times New Roman" w:cs="Times New Roman"/>
          <w:b/>
          <w:bCs/>
        </w:rPr>
        <w:t>4</w:t>
      </w:r>
      <w:r>
        <w:rPr>
          <w:rFonts w:ascii="Times New Roman" w:cs="Times New Roman"/>
          <w:b/>
          <w:bCs/>
        </w:rPr>
        <w:t>、</w:t>
      </w:r>
      <w:r>
        <w:rPr>
          <w:rFonts w:hint="eastAsia" w:ascii="Times New Roman" w:cs="Times New Roman"/>
          <w:b/>
          <w:bCs/>
        </w:rPr>
        <w:t>气体钻（空气或氮气）的粉尘</w:t>
      </w:r>
      <w:r>
        <w:rPr>
          <w:rFonts w:ascii="Times New Roman" w:cs="Times New Roman"/>
          <w:b/>
          <w:bCs/>
        </w:rPr>
        <w:t>影响分析</w:t>
      </w:r>
    </w:p>
    <w:p>
      <w:pPr>
        <w:pStyle w:val="112"/>
        <w:ind w:firstLine="480"/>
        <w:rPr>
          <w:bCs/>
        </w:rPr>
      </w:pPr>
      <w:r>
        <w:t>本工程</w:t>
      </w:r>
      <w:r>
        <w:rPr>
          <w:bCs/>
        </w:rPr>
        <w:t>使用气体钻时会返出一定量的粉尘，从而导致周围空气粉尘</w:t>
      </w:r>
      <w:r>
        <w:rPr>
          <w:rFonts w:hint="eastAsia"/>
          <w:bCs/>
        </w:rPr>
        <w:t>量</w:t>
      </w:r>
      <w:r>
        <w:rPr>
          <w:bCs/>
        </w:rPr>
        <w:t>增加。本项目在气体钻的排</w:t>
      </w:r>
      <w:r>
        <w:rPr>
          <w:rFonts w:hint="eastAsia"/>
          <w:bCs/>
        </w:rPr>
        <w:t>屑</w:t>
      </w:r>
      <w:r>
        <w:rPr>
          <w:bCs/>
        </w:rPr>
        <w:t>管</w:t>
      </w:r>
      <w:r>
        <w:rPr>
          <w:rFonts w:hint="eastAsia"/>
          <w:bCs/>
        </w:rPr>
        <w:t>处</w:t>
      </w:r>
      <w:r>
        <w:rPr>
          <w:bCs/>
        </w:rPr>
        <w:t>喷淋降尘</w:t>
      </w:r>
      <w:r>
        <w:rPr>
          <w:rFonts w:hint="eastAsia"/>
          <w:bCs/>
        </w:rPr>
        <w:t>，</w:t>
      </w:r>
      <w:r>
        <w:rPr>
          <w:bCs/>
        </w:rPr>
        <w:t>同时产生的污水及泥</w:t>
      </w:r>
      <w:r>
        <w:rPr>
          <w:rFonts w:hint="eastAsia"/>
          <w:bCs/>
        </w:rPr>
        <w:t>砂</w:t>
      </w:r>
      <w:r>
        <w:rPr>
          <w:bCs/>
        </w:rPr>
        <w:t>进入</w:t>
      </w:r>
      <w:r>
        <w:rPr>
          <w:rFonts w:hint="eastAsia"/>
          <w:bCs/>
        </w:rPr>
        <w:t>清洁化操作平台处理</w:t>
      </w:r>
      <w:r>
        <w:rPr>
          <w:bCs/>
        </w:rPr>
        <w:t>。</w:t>
      </w:r>
      <w:r>
        <w:rPr>
          <w:rFonts w:hint="eastAsia"/>
          <w:bCs/>
        </w:rPr>
        <w:t>由于</w:t>
      </w:r>
      <w:r>
        <w:rPr>
          <w:bCs/>
        </w:rPr>
        <w:t>产生的粉尘量小，</w:t>
      </w:r>
      <w:r>
        <w:rPr>
          <w:rFonts w:hint="eastAsia"/>
          <w:bCs/>
        </w:rPr>
        <w:t>因此</w:t>
      </w:r>
      <w:r>
        <w:rPr>
          <w:bCs/>
        </w:rPr>
        <w:t>对周围环境影响较小</w:t>
      </w:r>
      <w:r>
        <w:rPr>
          <w:rFonts w:hint="eastAsia"/>
          <w:bCs/>
        </w:rPr>
        <w:t>。</w:t>
      </w:r>
    </w:p>
    <w:p>
      <w:pPr>
        <w:pStyle w:val="6"/>
        <w:ind w:firstLine="482"/>
        <w:rPr>
          <w:rFonts w:ascii="Times New Roman" w:cs="Times New Roman"/>
          <w:b/>
          <w:bCs/>
        </w:rPr>
      </w:pPr>
      <w:r>
        <w:rPr>
          <w:rFonts w:hint="eastAsia" w:ascii="Times New Roman" w:cs="Times New Roman"/>
          <w:b/>
          <w:bCs/>
        </w:rPr>
        <w:t>5</w:t>
      </w:r>
      <w:r>
        <w:rPr>
          <w:rFonts w:ascii="Times New Roman" w:cs="Times New Roman"/>
          <w:b/>
          <w:bCs/>
        </w:rPr>
        <w:t>、</w:t>
      </w:r>
      <w:r>
        <w:rPr>
          <w:rFonts w:hint="eastAsia" w:ascii="Times New Roman" w:cs="Times New Roman"/>
          <w:b/>
          <w:bCs/>
        </w:rPr>
        <w:t>测试放喷废气</w:t>
      </w:r>
      <w:r>
        <w:rPr>
          <w:rFonts w:ascii="Times New Roman" w:cs="Times New Roman"/>
          <w:b/>
          <w:bCs/>
        </w:rPr>
        <w:t>影响分析</w:t>
      </w:r>
    </w:p>
    <w:p>
      <w:pPr>
        <w:pStyle w:val="112"/>
        <w:ind w:firstLine="480"/>
      </w:pPr>
      <w:r>
        <w:rPr>
          <w:rFonts w:hint="eastAsia"/>
        </w:rPr>
        <w:t>测试放喷的天然气经专用放喷管线引至放喷池后点火燃烧，单井测试放喷时间约</w:t>
      </w:r>
      <w:r>
        <w:t>1d</w:t>
      </w:r>
      <w:r>
        <w:rPr>
          <w:rFonts w:hint="eastAsia"/>
        </w:rPr>
        <w:t>～</w:t>
      </w:r>
      <w:r>
        <w:t>2d</w:t>
      </w:r>
      <w:r>
        <w:rPr>
          <w:rFonts w:hint="eastAsia"/>
        </w:rPr>
        <w:t>，依据测试气量，间歇放喷，每次持续放喷时间约</w:t>
      </w:r>
      <w:r>
        <w:t>4h</w:t>
      </w:r>
      <w:r>
        <w:rPr>
          <w:rFonts w:hint="eastAsia"/>
        </w:rPr>
        <w:t>～</w:t>
      </w:r>
      <w:r>
        <w:t>6h</w:t>
      </w:r>
      <w:r>
        <w:rPr>
          <w:rFonts w:hint="eastAsia"/>
        </w:rPr>
        <w:t>，废气排放属不连续排放。测试放喷的天然气经点火燃烧，其主要污染物为C</w:t>
      </w:r>
      <w:r>
        <w:t>O</w:t>
      </w:r>
      <w:r>
        <w:rPr>
          <w:vertAlign w:val="subscript"/>
        </w:rPr>
        <w:t>2</w:t>
      </w:r>
      <w:r>
        <w:rPr>
          <w:rFonts w:hint="eastAsia"/>
        </w:rPr>
        <w:t>。测试放喷的天然气经专用放喷管线引至放喷池后点火燃烧，单井测试放喷时间约</w:t>
      </w:r>
      <w:r>
        <w:t>1d</w:t>
      </w:r>
      <w:r>
        <w:rPr>
          <w:rFonts w:hint="eastAsia"/>
        </w:rPr>
        <w:t>～</w:t>
      </w:r>
      <w:r>
        <w:t>2d</w:t>
      </w:r>
      <w:r>
        <w:rPr>
          <w:rFonts w:hint="eastAsia"/>
        </w:rPr>
        <w:t>，依据测试气量，间歇放喷，每次持续放喷时间约</w:t>
      </w:r>
      <w:r>
        <w:t>4h</w:t>
      </w:r>
      <w:r>
        <w:rPr>
          <w:rFonts w:hint="eastAsia"/>
        </w:rPr>
        <w:t>～</w:t>
      </w:r>
      <w:r>
        <w:t>6h</w:t>
      </w:r>
      <w:r>
        <w:rPr>
          <w:rFonts w:hint="eastAsia"/>
        </w:rPr>
        <w:t>，废气排放属不连续排放。测试放喷的天然气经点火燃烧，其主要污染物为C</w:t>
      </w:r>
      <w:r>
        <w:t>O</w:t>
      </w:r>
      <w:r>
        <w:rPr>
          <w:vertAlign w:val="subscript"/>
        </w:rPr>
        <w:t>2</w:t>
      </w:r>
      <w:r>
        <w:rPr>
          <w:rFonts w:hint="eastAsia"/>
        </w:rPr>
        <w:t>。根据企业提供的资料，预计本项目可能放喷的最大天然气流量为</w:t>
      </w:r>
      <w:r>
        <w:rPr>
          <w:rFonts w:hint="eastAsia"/>
          <w:bCs/>
        </w:rPr>
        <w:t>5.27</w:t>
      </w:r>
      <w:r>
        <w:rPr>
          <w:bCs/>
        </w:rPr>
        <w:t>×10</w:t>
      </w:r>
      <w:r>
        <w:rPr>
          <w:bCs/>
          <w:vertAlign w:val="superscript"/>
        </w:rPr>
        <w:t>4</w:t>
      </w:r>
      <w:r>
        <w:rPr>
          <w:bCs/>
        </w:rPr>
        <w:t>m</w:t>
      </w:r>
      <w:r>
        <w:rPr>
          <w:bCs/>
          <w:vertAlign w:val="superscript"/>
        </w:rPr>
        <w:t>3</w:t>
      </w:r>
      <w:r>
        <w:rPr>
          <w:bCs/>
        </w:rPr>
        <w:t>/d</w:t>
      </w:r>
      <w:r>
        <w:rPr>
          <w:rFonts w:hint="eastAsia"/>
        </w:rPr>
        <w:t>，天然气经放喷管线外输至放喷池点燃。</w:t>
      </w:r>
      <w:r>
        <w:rPr>
          <w:rFonts w:hint="eastAsia"/>
          <w:bCs/>
        </w:rPr>
        <w:t>本项目测试放喷废气</w:t>
      </w:r>
      <w:r>
        <w:rPr>
          <w:bCs/>
        </w:rPr>
        <w:t>排放满足《大气污染物综合排放标准》（GB16297-1996），</w:t>
      </w:r>
      <w:r>
        <w:rPr>
          <w:rFonts w:hint="eastAsia"/>
          <w:bCs/>
        </w:rPr>
        <w:t>能够</w:t>
      </w:r>
      <w:r>
        <w:rPr>
          <w:bCs/>
        </w:rPr>
        <w:t>实现达标排放</w:t>
      </w:r>
      <w:r>
        <w:rPr>
          <w:rFonts w:hint="eastAsia"/>
          <w:bCs/>
        </w:rPr>
        <w:t>，说明本项目的建设对评价区域大气环境影响较小，环境可接受。</w:t>
      </w:r>
    </w:p>
    <w:p>
      <w:pPr>
        <w:pStyle w:val="112"/>
        <w:ind w:firstLine="480"/>
        <w:rPr>
          <w:bCs/>
        </w:rPr>
      </w:pPr>
      <w:r>
        <w:rPr>
          <w:rFonts w:hint="eastAsia"/>
          <w:bCs/>
        </w:rPr>
        <w:t>本项目测试放喷通过专用的放喷管线将天然气引至放喷池进行点火燃烧，放喷池周围设置</w:t>
      </w:r>
      <w:r>
        <w:rPr>
          <w:bCs/>
        </w:rPr>
        <w:t>3面挡墙，高度3.5m</w:t>
      </w:r>
      <w:r>
        <w:rPr>
          <w:rFonts w:hint="eastAsia"/>
          <w:bCs/>
        </w:rPr>
        <w:t>，可有效减小热辐射对测试区周围植被的灼伤。放喷池周边植被主要为农作物及少量的杂草，均为常见植被，周围地势空旷便于燃烧热值扩散，一般</w:t>
      </w:r>
      <w:r>
        <w:rPr>
          <w:bCs/>
        </w:rPr>
        <w:t>情况下，放喷对植被的影响可自行恢复</w:t>
      </w:r>
      <w:r>
        <w:rPr>
          <w:rFonts w:hint="eastAsia"/>
          <w:bCs/>
        </w:rPr>
        <w:t>。测试放喷对放喷口周围植被产生的灼烧影响是暂时的，可逆的，测试完后一定时间内可恢复。并且在放喷测试前已对放喷池周围植被进行清理，因此测试放喷热污染不会影响到清理范围外的植被。</w:t>
      </w:r>
    </w:p>
    <w:p>
      <w:pPr>
        <w:pStyle w:val="112"/>
        <w:ind w:firstLine="480"/>
      </w:pPr>
      <w:r>
        <w:rPr>
          <w:rFonts w:hint="eastAsia"/>
        </w:rPr>
        <w:t>本项目在放喷前，建设单位会对距离井口500m范围内的居民临时撤离，并建立警戒点进行24小时警戒，严禁居民靠近，以减轻放喷废气对这些居民的影响。同时由于测试放喷属短期排放，不会形成长期环境影响，短期影响也可控制在周边居民健康安全限值以下，污染物排放随测试放喷的结束而停止，不会长期存在，不会影响区域环境空气功能区划。</w:t>
      </w:r>
    </w:p>
    <w:p>
      <w:pPr>
        <w:pStyle w:val="112"/>
        <w:ind w:firstLine="480"/>
      </w:pPr>
      <w:r>
        <w:rPr>
          <w:bCs/>
        </w:rPr>
        <w:t>本项目测试放喷</w:t>
      </w:r>
      <w:r>
        <w:rPr>
          <w:rFonts w:hint="eastAsia"/>
          <w:bCs/>
        </w:rPr>
        <w:t>在昼间进行，且</w:t>
      </w:r>
      <w:r>
        <w:rPr>
          <w:bCs/>
        </w:rPr>
        <w:t>时间较短（类比同类钻井，一般测试时间为1d</w:t>
      </w:r>
      <w:r>
        <w:rPr>
          <w:rFonts w:hint="eastAsia"/>
          <w:bCs/>
        </w:rPr>
        <w:t>～</w:t>
      </w:r>
      <w:r>
        <w:rPr>
          <w:bCs/>
        </w:rPr>
        <w:t>2d，每次4h</w:t>
      </w:r>
      <w:r>
        <w:rPr>
          <w:rFonts w:hint="eastAsia"/>
          <w:bCs/>
        </w:rPr>
        <w:t>～</w:t>
      </w:r>
      <w:r>
        <w:rPr>
          <w:bCs/>
        </w:rPr>
        <w:t>6</w:t>
      </w:r>
      <w:r>
        <w:rPr>
          <w:rFonts w:hint="eastAsia"/>
          <w:bCs/>
        </w:rPr>
        <w:t>h</w:t>
      </w:r>
      <w:r>
        <w:rPr>
          <w:bCs/>
        </w:rPr>
        <w:t>），燃烧后主要污染物为</w:t>
      </w:r>
      <w:r>
        <w:rPr>
          <w:rFonts w:hint="eastAsia"/>
          <w:bCs/>
        </w:rPr>
        <w:t>C</w:t>
      </w:r>
      <w:r>
        <w:rPr>
          <w:bCs/>
        </w:rPr>
        <w:t>O</w:t>
      </w:r>
      <w:r>
        <w:rPr>
          <w:bCs/>
          <w:vertAlign w:val="subscript"/>
        </w:rPr>
        <w:t>2</w:t>
      </w:r>
      <w:r>
        <w:rPr>
          <w:bCs/>
        </w:rPr>
        <w:t>。</w:t>
      </w:r>
      <w:r>
        <w:rPr>
          <w:rFonts w:hint="eastAsia"/>
          <w:bCs/>
        </w:rPr>
        <w:t>测试放喷</w:t>
      </w:r>
      <w:r>
        <w:rPr>
          <w:bCs/>
        </w:rPr>
        <w:t>所产生的污染物产生量较小，并将随测试放喷的结束而消除，故对环境空气影响较小。</w:t>
      </w:r>
    </w:p>
    <w:bookmarkEnd w:id="479"/>
    <w:bookmarkEnd w:id="480"/>
    <w:p>
      <w:pPr>
        <w:pStyle w:val="4"/>
        <w:rPr>
          <w:rFonts w:eastAsia="宋体"/>
        </w:rPr>
      </w:pPr>
      <w:bookmarkStart w:id="483" w:name="_Toc12288655"/>
      <w:bookmarkStart w:id="484" w:name="_Toc19816057"/>
      <w:r>
        <w:rPr>
          <w:rFonts w:eastAsia="宋体"/>
        </w:rPr>
        <w:t>6.1.5 施工期声环境影响预测</w:t>
      </w:r>
      <w:bookmarkEnd w:id="483"/>
      <w:bookmarkEnd w:id="484"/>
    </w:p>
    <w:p>
      <w:pPr>
        <w:pStyle w:val="112"/>
        <w:ind w:firstLine="482"/>
        <w:rPr>
          <w:b/>
          <w:bCs/>
        </w:rPr>
      </w:pPr>
      <w:r>
        <w:rPr>
          <w:b/>
          <w:bCs/>
        </w:rPr>
        <w:t>6.1.5</w:t>
      </w:r>
      <w:r>
        <w:rPr>
          <w:rFonts w:hint="eastAsia"/>
          <w:b/>
          <w:bCs/>
        </w:rPr>
        <w:t>.1管道、站场施工</w:t>
      </w:r>
    </w:p>
    <w:p>
      <w:pPr>
        <w:pStyle w:val="112"/>
        <w:ind w:firstLine="482"/>
        <w:rPr>
          <w:b/>
          <w:bCs/>
        </w:rPr>
      </w:pPr>
      <w:r>
        <w:rPr>
          <w:b/>
          <w:bCs/>
        </w:rPr>
        <w:t>1、施工噪声源</w:t>
      </w:r>
    </w:p>
    <w:p>
      <w:pPr>
        <w:pStyle w:val="112"/>
        <w:ind w:firstLine="480"/>
      </w:pPr>
      <w:r>
        <w:t>本项目主要穿越丘陵</w:t>
      </w:r>
      <w:r>
        <w:rPr>
          <w:rFonts w:hint="eastAsia"/>
        </w:rPr>
        <w:t>山</w:t>
      </w:r>
      <w:r>
        <w:t>区，经工程分析，施工对声环境的影响中主要是由施工机械和运输车辆造成。各施工区段内随着项目进展，将采用不同的机械设备施工，如在挖沟时采用挖掘机，布管时使用运输车辆，焊接时使用电焊机及发电机，管线入沟时采用吊管机，回填时使用推土机，这些施工均为白天作业，根据施工内容交替使用施工机械，并随施工位置变化移动。</w:t>
      </w:r>
    </w:p>
    <w:p>
      <w:pPr>
        <w:pStyle w:val="112"/>
        <w:ind w:firstLine="480"/>
      </w:pPr>
      <w:r>
        <w:t>根据类比调查和现场踏勘监测以及项目初步设计中提供的主要设备选型等有关资料分析，设备高达85dB（A）以上的噪声源施工机械有：挖掘机、吊管机、电焊机、推土机、混凝土搅拌机、切割机、石料运输车等，具体见表6.</w:t>
      </w:r>
      <w:r>
        <w:rPr>
          <w:rFonts w:hint="eastAsia"/>
        </w:rPr>
        <w:t>1</w:t>
      </w:r>
      <w:r>
        <w:t>-</w:t>
      </w:r>
      <w:r>
        <w:rPr>
          <w:rFonts w:hint="eastAsia"/>
        </w:rPr>
        <w:t>2</w:t>
      </w:r>
      <w:r>
        <w:t>。</w:t>
      </w:r>
    </w:p>
    <w:p>
      <w:pPr>
        <w:pStyle w:val="37"/>
        <w:rPr>
          <w:rFonts w:cs="Times New Roman"/>
        </w:rPr>
      </w:pPr>
      <w:r>
        <w:rPr>
          <w:rFonts w:cs="Times New Roman"/>
        </w:rPr>
        <w:t>表6.</w:t>
      </w:r>
      <w:r>
        <w:rPr>
          <w:rFonts w:hint="eastAsia" w:cs="Times New Roman"/>
        </w:rPr>
        <w:t>1</w:t>
      </w:r>
      <w:r>
        <w:rPr>
          <w:rFonts w:cs="Times New Roman"/>
        </w:rPr>
        <w:t>-</w:t>
      </w:r>
      <w:r>
        <w:rPr>
          <w:rFonts w:hint="eastAsia" w:cs="Times New Roman"/>
        </w:rPr>
        <w:t>2</w:t>
      </w:r>
      <w:r>
        <w:rPr>
          <w:rFonts w:cs="Times New Roman"/>
        </w:rPr>
        <w:t xml:space="preserve">  主要施工机械噪声值   单位：dB（A）</w:t>
      </w:r>
    </w:p>
    <w:tbl>
      <w:tblPr>
        <w:tblStyle w:val="57"/>
        <w:tblW w:w="5231"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66"/>
        <w:gridCol w:w="4333"/>
        <w:gridCol w:w="319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671" w:type="pct"/>
            <w:tcBorders>
              <w:top w:val="single" w:color="000000" w:sz="12" w:space="0"/>
              <w:left w:val="nil"/>
              <w:bottom w:val="single" w:color="000000" w:sz="4" w:space="0"/>
              <w:right w:val="single" w:color="000000" w:sz="4" w:space="0"/>
            </w:tcBorders>
            <w:vAlign w:val="center"/>
          </w:tcPr>
          <w:p>
            <w:pPr>
              <w:pStyle w:val="132"/>
              <w:rPr>
                <w:b/>
                <w:bCs/>
              </w:rPr>
            </w:pPr>
            <w:r>
              <w:rPr>
                <w:b/>
                <w:bCs/>
              </w:rPr>
              <w:t>序号</w:t>
            </w:r>
          </w:p>
        </w:tc>
        <w:tc>
          <w:tcPr>
            <w:tcW w:w="2493" w:type="pct"/>
            <w:tcBorders>
              <w:top w:val="single" w:color="000000" w:sz="12" w:space="0"/>
              <w:left w:val="single" w:color="000000" w:sz="4" w:space="0"/>
              <w:bottom w:val="single" w:color="000000" w:sz="4" w:space="0"/>
              <w:right w:val="single" w:color="000000" w:sz="4" w:space="0"/>
            </w:tcBorders>
            <w:vAlign w:val="center"/>
          </w:tcPr>
          <w:p>
            <w:pPr>
              <w:pStyle w:val="132"/>
              <w:rPr>
                <w:b/>
                <w:bCs/>
              </w:rPr>
            </w:pPr>
            <w:r>
              <w:rPr>
                <w:b/>
                <w:bCs/>
              </w:rPr>
              <w:t>噪声源</w:t>
            </w:r>
          </w:p>
        </w:tc>
        <w:tc>
          <w:tcPr>
            <w:tcW w:w="1836" w:type="pct"/>
            <w:tcBorders>
              <w:top w:val="single" w:color="000000" w:sz="12" w:space="0"/>
              <w:left w:val="single" w:color="000000" w:sz="4" w:space="0"/>
              <w:bottom w:val="single" w:color="000000" w:sz="4" w:space="0"/>
              <w:right w:val="nil"/>
            </w:tcBorders>
            <w:vAlign w:val="center"/>
          </w:tcPr>
          <w:p>
            <w:pPr>
              <w:pStyle w:val="132"/>
              <w:rPr>
                <w:b/>
                <w:bCs/>
              </w:rPr>
            </w:pPr>
            <w:r>
              <w:rPr>
                <w:b/>
                <w:bCs/>
              </w:rPr>
              <w:t>噪声强度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671" w:type="pct"/>
            <w:tcBorders>
              <w:top w:val="single" w:color="000000" w:sz="4" w:space="0"/>
              <w:left w:val="nil"/>
              <w:bottom w:val="single" w:color="000000" w:sz="4" w:space="0"/>
              <w:right w:val="single" w:color="000000" w:sz="4" w:space="0"/>
            </w:tcBorders>
            <w:vAlign w:val="center"/>
          </w:tcPr>
          <w:p>
            <w:pPr>
              <w:pStyle w:val="132"/>
            </w:pPr>
            <w:r>
              <w:t>1</w:t>
            </w:r>
          </w:p>
        </w:tc>
        <w:tc>
          <w:tcPr>
            <w:tcW w:w="2493" w:type="pct"/>
            <w:tcBorders>
              <w:top w:val="single" w:color="000000" w:sz="4" w:space="0"/>
              <w:left w:val="single" w:color="000000" w:sz="4" w:space="0"/>
              <w:bottom w:val="single" w:color="000000" w:sz="4" w:space="0"/>
              <w:right w:val="single" w:color="000000" w:sz="4" w:space="0"/>
            </w:tcBorders>
            <w:vAlign w:val="center"/>
          </w:tcPr>
          <w:p>
            <w:pPr>
              <w:pStyle w:val="132"/>
            </w:pPr>
            <w:r>
              <w:t>挖掘机</w:t>
            </w:r>
          </w:p>
        </w:tc>
        <w:tc>
          <w:tcPr>
            <w:tcW w:w="1836" w:type="pct"/>
            <w:tcBorders>
              <w:top w:val="single" w:color="000000" w:sz="4" w:space="0"/>
              <w:left w:val="single" w:color="000000" w:sz="4" w:space="0"/>
              <w:bottom w:val="single" w:color="000000" w:sz="4" w:space="0"/>
              <w:right w:val="nil"/>
            </w:tcBorders>
            <w:vAlign w:val="center"/>
          </w:tcPr>
          <w:p>
            <w:pPr>
              <w:pStyle w:val="132"/>
            </w:pPr>
            <w:r>
              <w:t>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671" w:type="pct"/>
            <w:tcBorders>
              <w:top w:val="single" w:color="000000" w:sz="4" w:space="0"/>
              <w:left w:val="nil"/>
              <w:bottom w:val="single" w:color="000000" w:sz="4" w:space="0"/>
              <w:right w:val="single" w:color="000000" w:sz="4" w:space="0"/>
            </w:tcBorders>
            <w:vAlign w:val="center"/>
          </w:tcPr>
          <w:p>
            <w:pPr>
              <w:pStyle w:val="132"/>
            </w:pPr>
            <w:r>
              <w:t>2</w:t>
            </w:r>
          </w:p>
        </w:tc>
        <w:tc>
          <w:tcPr>
            <w:tcW w:w="2493" w:type="pct"/>
            <w:tcBorders>
              <w:top w:val="single" w:color="000000" w:sz="4" w:space="0"/>
              <w:left w:val="single" w:color="000000" w:sz="4" w:space="0"/>
              <w:bottom w:val="single" w:color="000000" w:sz="4" w:space="0"/>
              <w:right w:val="single" w:color="000000" w:sz="4" w:space="0"/>
            </w:tcBorders>
            <w:vAlign w:val="center"/>
          </w:tcPr>
          <w:p>
            <w:pPr>
              <w:pStyle w:val="132"/>
            </w:pPr>
            <w:r>
              <w:t>吊管机</w:t>
            </w:r>
          </w:p>
        </w:tc>
        <w:tc>
          <w:tcPr>
            <w:tcW w:w="1836" w:type="pct"/>
            <w:tcBorders>
              <w:top w:val="single" w:color="000000" w:sz="4" w:space="0"/>
              <w:left w:val="single" w:color="000000" w:sz="4" w:space="0"/>
              <w:bottom w:val="single" w:color="000000" w:sz="4" w:space="0"/>
              <w:right w:val="nil"/>
            </w:tcBorders>
            <w:vAlign w:val="center"/>
          </w:tcPr>
          <w:p>
            <w:pPr>
              <w:pStyle w:val="132"/>
            </w:pPr>
            <w:r>
              <w:t>88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671" w:type="pct"/>
            <w:tcBorders>
              <w:top w:val="single" w:color="000000" w:sz="4" w:space="0"/>
              <w:left w:val="nil"/>
              <w:bottom w:val="single" w:color="000000" w:sz="4" w:space="0"/>
              <w:right w:val="single" w:color="000000" w:sz="4" w:space="0"/>
            </w:tcBorders>
            <w:vAlign w:val="center"/>
          </w:tcPr>
          <w:p>
            <w:pPr>
              <w:pStyle w:val="132"/>
            </w:pPr>
            <w:r>
              <w:t>3</w:t>
            </w:r>
          </w:p>
        </w:tc>
        <w:tc>
          <w:tcPr>
            <w:tcW w:w="2493" w:type="pct"/>
            <w:tcBorders>
              <w:top w:val="single" w:color="000000" w:sz="4" w:space="0"/>
              <w:left w:val="single" w:color="000000" w:sz="4" w:space="0"/>
              <w:bottom w:val="single" w:color="000000" w:sz="4" w:space="0"/>
              <w:right w:val="single" w:color="000000" w:sz="4" w:space="0"/>
            </w:tcBorders>
            <w:vAlign w:val="center"/>
          </w:tcPr>
          <w:p>
            <w:pPr>
              <w:pStyle w:val="132"/>
            </w:pPr>
            <w:r>
              <w:t>电焊机</w:t>
            </w:r>
          </w:p>
        </w:tc>
        <w:tc>
          <w:tcPr>
            <w:tcW w:w="1836" w:type="pct"/>
            <w:tcBorders>
              <w:top w:val="single" w:color="000000" w:sz="4" w:space="0"/>
              <w:left w:val="single" w:color="000000" w:sz="4" w:space="0"/>
              <w:bottom w:val="single" w:color="000000" w:sz="4" w:space="0"/>
              <w:right w:val="nil"/>
            </w:tcBorders>
            <w:vAlign w:val="center"/>
          </w:tcPr>
          <w:p>
            <w:pPr>
              <w:pStyle w:val="132"/>
            </w:pPr>
            <w:r>
              <w:t>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671" w:type="pct"/>
            <w:tcBorders>
              <w:top w:val="single" w:color="000000" w:sz="4" w:space="0"/>
              <w:left w:val="nil"/>
              <w:bottom w:val="single" w:color="000000" w:sz="4" w:space="0"/>
              <w:right w:val="single" w:color="000000" w:sz="4" w:space="0"/>
            </w:tcBorders>
            <w:vAlign w:val="center"/>
          </w:tcPr>
          <w:p>
            <w:pPr>
              <w:pStyle w:val="132"/>
            </w:pPr>
            <w:r>
              <w:t>4</w:t>
            </w:r>
          </w:p>
        </w:tc>
        <w:tc>
          <w:tcPr>
            <w:tcW w:w="2493" w:type="pct"/>
            <w:tcBorders>
              <w:top w:val="single" w:color="000000" w:sz="4" w:space="0"/>
              <w:left w:val="single" w:color="000000" w:sz="4" w:space="0"/>
              <w:bottom w:val="single" w:color="000000" w:sz="4" w:space="0"/>
              <w:right w:val="single" w:color="000000" w:sz="4" w:space="0"/>
            </w:tcBorders>
            <w:vAlign w:val="center"/>
          </w:tcPr>
          <w:p>
            <w:pPr>
              <w:pStyle w:val="132"/>
            </w:pPr>
            <w:r>
              <w:t>推土机</w:t>
            </w:r>
          </w:p>
        </w:tc>
        <w:tc>
          <w:tcPr>
            <w:tcW w:w="1836" w:type="pct"/>
            <w:tcBorders>
              <w:top w:val="single" w:color="000000" w:sz="4" w:space="0"/>
              <w:left w:val="single" w:color="000000" w:sz="4" w:space="0"/>
              <w:bottom w:val="single" w:color="000000" w:sz="4" w:space="0"/>
              <w:right w:val="nil"/>
            </w:tcBorders>
            <w:vAlign w:val="center"/>
          </w:tcPr>
          <w:p>
            <w:pPr>
              <w:pStyle w:val="132"/>
            </w:pPr>
            <w:r>
              <w:t>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671" w:type="pct"/>
            <w:tcBorders>
              <w:top w:val="single" w:color="000000" w:sz="4" w:space="0"/>
              <w:left w:val="nil"/>
              <w:bottom w:val="single" w:color="000000" w:sz="4" w:space="0"/>
              <w:right w:val="single" w:color="000000" w:sz="4" w:space="0"/>
            </w:tcBorders>
            <w:vAlign w:val="center"/>
          </w:tcPr>
          <w:p>
            <w:pPr>
              <w:pStyle w:val="132"/>
            </w:pPr>
            <w:r>
              <w:t>5</w:t>
            </w:r>
          </w:p>
        </w:tc>
        <w:tc>
          <w:tcPr>
            <w:tcW w:w="2493" w:type="pct"/>
            <w:tcBorders>
              <w:top w:val="single" w:color="000000" w:sz="4" w:space="0"/>
              <w:left w:val="single" w:color="000000" w:sz="4" w:space="0"/>
              <w:bottom w:val="single" w:color="000000" w:sz="4" w:space="0"/>
              <w:right w:val="single" w:color="000000" w:sz="4" w:space="0"/>
            </w:tcBorders>
            <w:vAlign w:val="center"/>
          </w:tcPr>
          <w:p>
            <w:pPr>
              <w:pStyle w:val="132"/>
            </w:pPr>
            <w:r>
              <w:t>混凝土搅拌机</w:t>
            </w:r>
          </w:p>
        </w:tc>
        <w:tc>
          <w:tcPr>
            <w:tcW w:w="1836" w:type="pct"/>
            <w:tcBorders>
              <w:top w:val="single" w:color="000000" w:sz="4" w:space="0"/>
              <w:left w:val="single" w:color="000000" w:sz="4" w:space="0"/>
              <w:bottom w:val="single" w:color="000000" w:sz="4" w:space="0"/>
              <w:right w:val="nil"/>
            </w:tcBorders>
            <w:vAlign w:val="center"/>
          </w:tcPr>
          <w:p>
            <w:pPr>
              <w:pStyle w:val="132"/>
            </w:pPr>
            <w:r>
              <w:t>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671" w:type="pct"/>
            <w:tcBorders>
              <w:top w:val="single" w:color="000000" w:sz="4" w:space="0"/>
              <w:left w:val="nil"/>
              <w:bottom w:val="single" w:color="000000" w:sz="4" w:space="0"/>
              <w:right w:val="single" w:color="000000" w:sz="4" w:space="0"/>
            </w:tcBorders>
            <w:vAlign w:val="center"/>
          </w:tcPr>
          <w:p>
            <w:pPr>
              <w:pStyle w:val="132"/>
            </w:pPr>
            <w:r>
              <w:t>6</w:t>
            </w:r>
          </w:p>
        </w:tc>
        <w:tc>
          <w:tcPr>
            <w:tcW w:w="2493" w:type="pct"/>
            <w:tcBorders>
              <w:top w:val="single" w:color="000000" w:sz="4" w:space="0"/>
              <w:left w:val="single" w:color="000000" w:sz="4" w:space="0"/>
              <w:bottom w:val="single" w:color="000000" w:sz="4" w:space="0"/>
              <w:right w:val="single" w:color="000000" w:sz="4" w:space="0"/>
            </w:tcBorders>
            <w:vAlign w:val="center"/>
          </w:tcPr>
          <w:p>
            <w:pPr>
              <w:pStyle w:val="132"/>
            </w:pPr>
            <w:r>
              <w:t>定向钻机</w:t>
            </w:r>
          </w:p>
        </w:tc>
        <w:tc>
          <w:tcPr>
            <w:tcW w:w="1836" w:type="pct"/>
            <w:tcBorders>
              <w:top w:val="single" w:color="000000" w:sz="4" w:space="0"/>
              <w:left w:val="single" w:color="000000" w:sz="4" w:space="0"/>
              <w:bottom w:val="single" w:color="000000" w:sz="4" w:space="0"/>
              <w:right w:val="nil"/>
            </w:tcBorders>
            <w:vAlign w:val="center"/>
          </w:tcPr>
          <w:p>
            <w:pPr>
              <w:pStyle w:val="132"/>
            </w:pPr>
            <w:r>
              <w:t>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671" w:type="pct"/>
            <w:tcBorders>
              <w:top w:val="single" w:color="000000" w:sz="4" w:space="0"/>
              <w:left w:val="nil"/>
              <w:bottom w:val="single" w:color="000000" w:sz="4" w:space="0"/>
              <w:right w:val="single" w:color="000000" w:sz="4" w:space="0"/>
            </w:tcBorders>
            <w:vAlign w:val="center"/>
          </w:tcPr>
          <w:p>
            <w:pPr>
              <w:pStyle w:val="132"/>
            </w:pPr>
            <w:r>
              <w:t>7</w:t>
            </w:r>
          </w:p>
        </w:tc>
        <w:tc>
          <w:tcPr>
            <w:tcW w:w="2493" w:type="pct"/>
            <w:tcBorders>
              <w:top w:val="single" w:color="000000" w:sz="4" w:space="0"/>
              <w:left w:val="single" w:color="000000" w:sz="4" w:space="0"/>
              <w:bottom w:val="single" w:color="000000" w:sz="4" w:space="0"/>
              <w:right w:val="single" w:color="000000" w:sz="4" w:space="0"/>
            </w:tcBorders>
            <w:vAlign w:val="center"/>
          </w:tcPr>
          <w:p>
            <w:pPr>
              <w:pStyle w:val="132"/>
            </w:pPr>
            <w:r>
              <w:t>混凝土翻斗车</w:t>
            </w:r>
          </w:p>
        </w:tc>
        <w:tc>
          <w:tcPr>
            <w:tcW w:w="1836" w:type="pct"/>
            <w:tcBorders>
              <w:top w:val="single" w:color="000000" w:sz="4" w:space="0"/>
              <w:left w:val="single" w:color="000000" w:sz="4" w:space="0"/>
              <w:bottom w:val="single" w:color="000000" w:sz="4" w:space="0"/>
              <w:right w:val="nil"/>
            </w:tcBorders>
            <w:vAlign w:val="center"/>
          </w:tcPr>
          <w:p>
            <w:pPr>
              <w:pStyle w:val="132"/>
            </w:pPr>
            <w:r>
              <w:t>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671" w:type="pct"/>
            <w:tcBorders>
              <w:top w:val="single" w:color="000000" w:sz="4" w:space="0"/>
              <w:left w:val="nil"/>
              <w:bottom w:val="single" w:color="000000" w:sz="4" w:space="0"/>
              <w:right w:val="single" w:color="000000" w:sz="4" w:space="0"/>
            </w:tcBorders>
            <w:vAlign w:val="center"/>
          </w:tcPr>
          <w:p>
            <w:pPr>
              <w:pStyle w:val="132"/>
            </w:pPr>
            <w:r>
              <w:t>8</w:t>
            </w:r>
          </w:p>
        </w:tc>
        <w:tc>
          <w:tcPr>
            <w:tcW w:w="2493" w:type="pct"/>
            <w:tcBorders>
              <w:top w:val="single" w:color="000000" w:sz="4" w:space="0"/>
              <w:left w:val="single" w:color="000000" w:sz="4" w:space="0"/>
              <w:bottom w:val="single" w:color="000000" w:sz="4" w:space="0"/>
              <w:right w:val="single" w:color="000000" w:sz="4" w:space="0"/>
            </w:tcBorders>
            <w:vAlign w:val="center"/>
          </w:tcPr>
          <w:p>
            <w:pPr>
              <w:pStyle w:val="132"/>
            </w:pPr>
            <w:r>
              <w:t>切割机</w:t>
            </w:r>
          </w:p>
        </w:tc>
        <w:tc>
          <w:tcPr>
            <w:tcW w:w="1836" w:type="pct"/>
            <w:tcBorders>
              <w:top w:val="single" w:color="000000" w:sz="4" w:space="0"/>
              <w:left w:val="single" w:color="000000" w:sz="4" w:space="0"/>
              <w:bottom w:val="single" w:color="000000" w:sz="4" w:space="0"/>
              <w:right w:val="nil"/>
            </w:tcBorders>
            <w:vAlign w:val="center"/>
          </w:tcPr>
          <w:p>
            <w:pPr>
              <w:pStyle w:val="132"/>
            </w:pPr>
            <w:r>
              <w:t>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671" w:type="pct"/>
            <w:tcBorders>
              <w:top w:val="single" w:color="000000" w:sz="4" w:space="0"/>
              <w:left w:val="nil"/>
              <w:bottom w:val="single" w:color="000000" w:sz="4" w:space="0"/>
              <w:right w:val="single" w:color="000000" w:sz="4" w:space="0"/>
            </w:tcBorders>
            <w:vAlign w:val="center"/>
          </w:tcPr>
          <w:p>
            <w:pPr>
              <w:pStyle w:val="132"/>
            </w:pPr>
            <w:r>
              <w:t>9</w:t>
            </w:r>
          </w:p>
        </w:tc>
        <w:tc>
          <w:tcPr>
            <w:tcW w:w="2493" w:type="pct"/>
            <w:tcBorders>
              <w:top w:val="single" w:color="000000" w:sz="4" w:space="0"/>
              <w:left w:val="single" w:color="000000" w:sz="4" w:space="0"/>
              <w:bottom w:val="single" w:color="000000" w:sz="4" w:space="0"/>
              <w:right w:val="single" w:color="000000" w:sz="4" w:space="0"/>
            </w:tcBorders>
            <w:vAlign w:val="center"/>
          </w:tcPr>
          <w:p>
            <w:pPr>
              <w:pStyle w:val="132"/>
            </w:pPr>
            <w:r>
              <w:t>柴油发电机</w:t>
            </w:r>
          </w:p>
        </w:tc>
        <w:tc>
          <w:tcPr>
            <w:tcW w:w="1836" w:type="pct"/>
            <w:tcBorders>
              <w:top w:val="single" w:color="000000" w:sz="4" w:space="0"/>
              <w:left w:val="single" w:color="000000" w:sz="4" w:space="0"/>
              <w:bottom w:val="single" w:color="000000" w:sz="4" w:space="0"/>
              <w:right w:val="nil"/>
            </w:tcBorders>
            <w:vAlign w:val="center"/>
          </w:tcPr>
          <w:p>
            <w:pPr>
              <w:pStyle w:val="132"/>
            </w:pPr>
            <w: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 w:hRule="atLeast"/>
          <w:jc w:val="center"/>
        </w:trPr>
        <w:tc>
          <w:tcPr>
            <w:tcW w:w="671" w:type="pct"/>
            <w:tcBorders>
              <w:top w:val="single" w:color="000000" w:sz="4" w:space="0"/>
              <w:left w:val="nil"/>
              <w:bottom w:val="single" w:color="000000" w:sz="12" w:space="0"/>
              <w:right w:val="single" w:color="000000" w:sz="4" w:space="0"/>
            </w:tcBorders>
            <w:vAlign w:val="center"/>
          </w:tcPr>
          <w:p>
            <w:pPr>
              <w:pStyle w:val="132"/>
            </w:pPr>
            <w:r>
              <w:t>10</w:t>
            </w:r>
          </w:p>
        </w:tc>
        <w:tc>
          <w:tcPr>
            <w:tcW w:w="2493" w:type="pct"/>
            <w:tcBorders>
              <w:top w:val="single" w:color="000000" w:sz="4" w:space="0"/>
              <w:left w:val="single" w:color="000000" w:sz="4" w:space="0"/>
              <w:bottom w:val="single" w:color="000000" w:sz="12" w:space="0"/>
              <w:right w:val="single" w:color="000000" w:sz="4" w:space="0"/>
            </w:tcBorders>
            <w:vAlign w:val="center"/>
          </w:tcPr>
          <w:p>
            <w:pPr>
              <w:pStyle w:val="132"/>
            </w:pPr>
            <w:r>
              <w:t>混凝土震动棒</w:t>
            </w:r>
          </w:p>
        </w:tc>
        <w:tc>
          <w:tcPr>
            <w:tcW w:w="1836" w:type="pct"/>
            <w:tcBorders>
              <w:top w:val="single" w:color="000000" w:sz="4" w:space="0"/>
              <w:left w:val="single" w:color="000000" w:sz="4" w:space="0"/>
              <w:bottom w:val="single" w:color="000000" w:sz="12" w:space="0"/>
              <w:right w:val="nil"/>
            </w:tcBorders>
            <w:vAlign w:val="center"/>
          </w:tcPr>
          <w:p>
            <w:pPr>
              <w:pStyle w:val="132"/>
            </w:pPr>
            <w:r>
              <w:t>105</w:t>
            </w:r>
          </w:p>
        </w:tc>
      </w:tr>
    </w:tbl>
    <w:p>
      <w:pPr>
        <w:pStyle w:val="112"/>
        <w:ind w:firstLine="482"/>
        <w:rPr>
          <w:b/>
          <w:bCs/>
        </w:rPr>
      </w:pPr>
      <w:r>
        <w:rPr>
          <w:b/>
          <w:bCs/>
        </w:rPr>
        <w:t>2、施工期噪声影响评价</w:t>
      </w:r>
    </w:p>
    <w:p>
      <w:pPr>
        <w:pStyle w:val="112"/>
        <w:ind w:firstLine="480"/>
      </w:pPr>
      <w:r>
        <w:t>（1）噪声预测公式的选用</w:t>
      </w:r>
    </w:p>
    <w:p>
      <w:pPr>
        <w:pStyle w:val="112"/>
        <w:ind w:firstLine="480"/>
      </w:pPr>
      <w:r>
        <w:t>当声源的大小与预测距离相比小的多时，可以将此声源看作点源，声源噪声值随距离衰减的计算公式如下：</w:t>
      </w:r>
    </w:p>
    <w:p>
      <w:pPr>
        <w:pStyle w:val="6"/>
        <w:ind w:firstLine="0" w:firstLineChars="0"/>
        <w:jc w:val="center"/>
        <w:rPr>
          <w:rFonts w:ascii="Times New Roman" w:cs="Times New Roman"/>
        </w:rPr>
      </w:pPr>
      <w:r>
        <w:rPr>
          <w:rFonts w:ascii="Times New Roman" w:cs="Times New Roman"/>
        </w:rPr>
        <w:t>L＝L－20lg（r</w:t>
      </w:r>
      <w:r>
        <w:rPr>
          <w:rFonts w:ascii="Times New Roman" w:cs="Times New Roman"/>
          <w:vertAlign w:val="subscript"/>
        </w:rPr>
        <w:t>2</w:t>
      </w:r>
      <w:r>
        <w:rPr>
          <w:rFonts w:ascii="Times New Roman" w:cs="Times New Roman"/>
        </w:rPr>
        <w:t>/r</w:t>
      </w:r>
      <w:r>
        <w:rPr>
          <w:rFonts w:ascii="Times New Roman" w:cs="Times New Roman"/>
          <w:vertAlign w:val="subscript"/>
        </w:rPr>
        <w:t>1</w:t>
      </w:r>
      <w:r>
        <w:rPr>
          <w:rFonts w:ascii="Times New Roman" w:cs="Times New Roman"/>
        </w:rPr>
        <w:t>）</w:t>
      </w:r>
    </w:p>
    <w:p>
      <w:pPr>
        <w:pStyle w:val="6"/>
        <w:ind w:firstLine="480"/>
        <w:rPr>
          <w:rFonts w:ascii="Times New Roman" w:cs="Times New Roman"/>
        </w:rPr>
      </w:pPr>
      <w:r>
        <w:rPr>
          <w:rFonts w:ascii="Times New Roman" w:cs="Times New Roman"/>
        </w:rPr>
        <w:t>式中：r</w:t>
      </w:r>
      <w:r>
        <w:rPr>
          <w:rFonts w:ascii="Times New Roman" w:cs="Times New Roman"/>
          <w:vertAlign w:val="subscript"/>
        </w:rPr>
        <w:t>2</w:t>
      </w:r>
      <w:r>
        <w:rPr>
          <w:rFonts w:ascii="Times New Roman" w:cs="Times New Roman"/>
        </w:rPr>
        <w:t>、r</w:t>
      </w:r>
      <w:r>
        <w:rPr>
          <w:rFonts w:ascii="Times New Roman" w:cs="Times New Roman"/>
          <w:vertAlign w:val="subscript"/>
        </w:rPr>
        <w:t>1</w:t>
      </w:r>
      <w:r>
        <w:rPr>
          <w:rFonts w:ascii="Times New Roman" w:cs="Times New Roman"/>
        </w:rPr>
        <w:t>——距声源的距离（m）；</w:t>
      </w:r>
    </w:p>
    <w:p>
      <w:pPr>
        <w:pStyle w:val="6"/>
        <w:ind w:firstLine="1200" w:firstLineChars="500"/>
        <w:rPr>
          <w:rFonts w:ascii="Times New Roman" w:cs="Times New Roman"/>
        </w:rPr>
      </w:pPr>
      <w:r>
        <w:rPr>
          <w:rFonts w:ascii="Times New Roman" w:cs="Times New Roman"/>
        </w:rPr>
        <w:t>L</w:t>
      </w:r>
      <w:r>
        <w:rPr>
          <w:rFonts w:ascii="Times New Roman" w:cs="Times New Roman"/>
          <w:vertAlign w:val="subscript"/>
        </w:rPr>
        <w:t>1</w:t>
      </w:r>
      <w:r>
        <w:rPr>
          <w:rFonts w:ascii="Times New Roman" w:cs="Times New Roman"/>
        </w:rPr>
        <w:t>、L</w:t>
      </w:r>
      <w:r>
        <w:rPr>
          <w:rFonts w:ascii="Times New Roman" w:cs="Times New Roman"/>
          <w:vertAlign w:val="subscript"/>
        </w:rPr>
        <w:t>2</w:t>
      </w:r>
      <w:r>
        <w:rPr>
          <w:rFonts w:ascii="Times New Roman" w:cs="Times New Roman"/>
        </w:rPr>
        <w:t>——声源相距r</w:t>
      </w:r>
      <w:r>
        <w:rPr>
          <w:rFonts w:ascii="Times New Roman" w:cs="Times New Roman"/>
          <w:vertAlign w:val="subscript"/>
        </w:rPr>
        <w:t>1</w:t>
      </w:r>
      <w:r>
        <w:rPr>
          <w:rFonts w:ascii="Times New Roman" w:cs="Times New Roman"/>
        </w:rPr>
        <w:t>、r</w:t>
      </w:r>
      <w:r>
        <w:rPr>
          <w:rFonts w:ascii="Times New Roman" w:cs="Times New Roman"/>
          <w:vertAlign w:val="subscript"/>
        </w:rPr>
        <w:t>2</w:t>
      </w:r>
      <w:r>
        <w:rPr>
          <w:rFonts w:ascii="Times New Roman" w:cs="Times New Roman"/>
        </w:rPr>
        <w:t>处的噪声声级dB(A)。</w:t>
      </w:r>
    </w:p>
    <w:p>
      <w:pPr>
        <w:pStyle w:val="6"/>
        <w:ind w:firstLine="480"/>
        <w:rPr>
          <w:rFonts w:ascii="Times New Roman" w:cs="Times New Roman"/>
        </w:rPr>
      </w:pPr>
      <w:r>
        <w:rPr>
          <w:rFonts w:ascii="Times New Roman" w:cs="Times New Roman"/>
        </w:rPr>
        <w:t>（2）预测结果及评价</w:t>
      </w:r>
    </w:p>
    <w:p>
      <w:pPr>
        <w:pStyle w:val="6"/>
        <w:ind w:firstLine="480"/>
        <w:rPr>
          <w:rFonts w:ascii="Times New Roman" w:cs="Times New Roman"/>
        </w:rPr>
      </w:pPr>
      <w:r>
        <w:rPr>
          <w:rFonts w:ascii="Times New Roman" w:cs="Times New Roman"/>
        </w:rPr>
        <w:t>通常施工场地上有多台不同种类的施工机械同时作业，它们的辐射声级将叠加，其强度增量视噪声源种类、数量、相对分布的距离等因素而不同。施工噪声随距离衰减后的预测值见表6.</w:t>
      </w:r>
      <w:r>
        <w:rPr>
          <w:rFonts w:hint="eastAsia" w:ascii="Times New Roman" w:cs="Times New Roman"/>
        </w:rPr>
        <w:t>1</w:t>
      </w:r>
      <w:r>
        <w:rPr>
          <w:rFonts w:ascii="Times New Roman" w:cs="Times New Roman"/>
        </w:rPr>
        <w:t>-</w:t>
      </w:r>
      <w:r>
        <w:rPr>
          <w:rFonts w:hint="eastAsia" w:ascii="Times New Roman" w:cs="Times New Roman"/>
        </w:rPr>
        <w:t>3</w:t>
      </w:r>
      <w:r>
        <w:rPr>
          <w:rFonts w:ascii="Times New Roman" w:cs="Times New Roman"/>
        </w:rPr>
        <w:t>。</w:t>
      </w:r>
    </w:p>
    <w:p>
      <w:pPr>
        <w:pStyle w:val="37"/>
        <w:rPr>
          <w:rFonts w:cs="Times New Roman"/>
        </w:rPr>
      </w:pPr>
      <w:r>
        <w:rPr>
          <w:rFonts w:cs="Times New Roman"/>
        </w:rPr>
        <w:t>表6.</w:t>
      </w:r>
      <w:r>
        <w:rPr>
          <w:rFonts w:hint="eastAsia" w:cs="Times New Roman"/>
        </w:rPr>
        <w:t>1</w:t>
      </w:r>
      <w:r>
        <w:rPr>
          <w:rFonts w:cs="Times New Roman"/>
        </w:rPr>
        <w:t>-</w:t>
      </w:r>
      <w:r>
        <w:rPr>
          <w:rFonts w:hint="eastAsia" w:cs="Times New Roman"/>
        </w:rPr>
        <w:t>3</w:t>
      </w:r>
      <w:r>
        <w:rPr>
          <w:rFonts w:cs="Times New Roman"/>
        </w:rPr>
        <w:t xml:space="preserve">   施工噪声随距离的衰减情况  单位：dB（A）</w:t>
      </w:r>
    </w:p>
    <w:tbl>
      <w:tblPr>
        <w:tblStyle w:val="5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864"/>
        <w:gridCol w:w="1073"/>
        <w:gridCol w:w="1078"/>
        <w:gridCol w:w="1073"/>
        <w:gridCol w:w="1073"/>
        <w:gridCol w:w="1073"/>
        <w:gridCol w:w="107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122" w:type="pct"/>
            <w:vAlign w:val="center"/>
          </w:tcPr>
          <w:p>
            <w:pPr>
              <w:pStyle w:val="132"/>
              <w:rPr>
                <w:b/>
                <w:bCs/>
              </w:rPr>
            </w:pPr>
            <w:r>
              <w:rPr>
                <w:b/>
                <w:bCs/>
              </w:rPr>
              <w:t>距离（m）</w:t>
            </w:r>
          </w:p>
        </w:tc>
        <w:tc>
          <w:tcPr>
            <w:tcW w:w="646" w:type="pct"/>
            <w:vAlign w:val="center"/>
          </w:tcPr>
          <w:p>
            <w:pPr>
              <w:pStyle w:val="132"/>
              <w:rPr>
                <w:b/>
                <w:bCs/>
              </w:rPr>
            </w:pPr>
            <w:r>
              <w:rPr>
                <w:b/>
                <w:bCs/>
              </w:rPr>
              <w:t>10</w:t>
            </w:r>
          </w:p>
        </w:tc>
        <w:tc>
          <w:tcPr>
            <w:tcW w:w="649" w:type="pct"/>
            <w:vAlign w:val="center"/>
          </w:tcPr>
          <w:p>
            <w:pPr>
              <w:pStyle w:val="132"/>
              <w:rPr>
                <w:b/>
                <w:bCs/>
              </w:rPr>
            </w:pPr>
            <w:r>
              <w:rPr>
                <w:b/>
                <w:bCs/>
              </w:rPr>
              <w:t>20</w:t>
            </w:r>
          </w:p>
        </w:tc>
        <w:tc>
          <w:tcPr>
            <w:tcW w:w="646" w:type="pct"/>
            <w:vAlign w:val="center"/>
          </w:tcPr>
          <w:p>
            <w:pPr>
              <w:pStyle w:val="132"/>
              <w:rPr>
                <w:b/>
                <w:bCs/>
              </w:rPr>
            </w:pPr>
            <w:r>
              <w:rPr>
                <w:b/>
                <w:bCs/>
              </w:rPr>
              <w:t>40</w:t>
            </w:r>
          </w:p>
        </w:tc>
        <w:tc>
          <w:tcPr>
            <w:tcW w:w="646" w:type="pct"/>
            <w:vAlign w:val="center"/>
          </w:tcPr>
          <w:p>
            <w:pPr>
              <w:pStyle w:val="132"/>
              <w:rPr>
                <w:b/>
                <w:bCs/>
              </w:rPr>
            </w:pPr>
            <w:r>
              <w:rPr>
                <w:b/>
                <w:bCs/>
              </w:rPr>
              <w:t>80</w:t>
            </w:r>
          </w:p>
        </w:tc>
        <w:tc>
          <w:tcPr>
            <w:tcW w:w="646" w:type="pct"/>
            <w:vAlign w:val="center"/>
          </w:tcPr>
          <w:p>
            <w:pPr>
              <w:pStyle w:val="132"/>
              <w:rPr>
                <w:b/>
                <w:bCs/>
              </w:rPr>
            </w:pPr>
            <w:r>
              <w:rPr>
                <w:b/>
                <w:bCs/>
              </w:rPr>
              <w:t>100</w:t>
            </w:r>
          </w:p>
        </w:tc>
        <w:tc>
          <w:tcPr>
            <w:tcW w:w="646" w:type="pct"/>
            <w:vAlign w:val="center"/>
          </w:tcPr>
          <w:p>
            <w:pPr>
              <w:pStyle w:val="132"/>
              <w:rPr>
                <w:b/>
                <w:bCs/>
              </w:rPr>
            </w:pPr>
            <w:r>
              <w:rPr>
                <w:b/>
                <w:bCs/>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122" w:type="pct"/>
            <w:vAlign w:val="center"/>
          </w:tcPr>
          <w:p>
            <w:pPr>
              <w:pStyle w:val="132"/>
            </w:pPr>
            <w:r>
              <w:t>挖掘机</w:t>
            </w:r>
          </w:p>
        </w:tc>
        <w:tc>
          <w:tcPr>
            <w:tcW w:w="646" w:type="pct"/>
            <w:vAlign w:val="center"/>
          </w:tcPr>
          <w:p>
            <w:pPr>
              <w:pStyle w:val="132"/>
            </w:pPr>
            <w:r>
              <w:t>72</w:t>
            </w:r>
          </w:p>
        </w:tc>
        <w:tc>
          <w:tcPr>
            <w:tcW w:w="649" w:type="pct"/>
            <w:vAlign w:val="center"/>
          </w:tcPr>
          <w:p>
            <w:pPr>
              <w:pStyle w:val="132"/>
            </w:pPr>
            <w:r>
              <w:t>66</w:t>
            </w:r>
          </w:p>
        </w:tc>
        <w:tc>
          <w:tcPr>
            <w:tcW w:w="646" w:type="pct"/>
            <w:vAlign w:val="center"/>
          </w:tcPr>
          <w:p>
            <w:pPr>
              <w:pStyle w:val="132"/>
            </w:pPr>
            <w:r>
              <w:t>60</w:t>
            </w:r>
          </w:p>
        </w:tc>
        <w:tc>
          <w:tcPr>
            <w:tcW w:w="646" w:type="pct"/>
            <w:vAlign w:val="center"/>
          </w:tcPr>
          <w:p>
            <w:pPr>
              <w:pStyle w:val="132"/>
            </w:pPr>
            <w:r>
              <w:t>54</w:t>
            </w:r>
          </w:p>
        </w:tc>
        <w:tc>
          <w:tcPr>
            <w:tcW w:w="646" w:type="pct"/>
            <w:vAlign w:val="center"/>
          </w:tcPr>
          <w:p>
            <w:pPr>
              <w:pStyle w:val="132"/>
            </w:pPr>
            <w:r>
              <w:t>52</w:t>
            </w:r>
          </w:p>
        </w:tc>
        <w:tc>
          <w:tcPr>
            <w:tcW w:w="646" w:type="pct"/>
            <w:vAlign w:val="center"/>
          </w:tcPr>
          <w:p>
            <w:pPr>
              <w:pStyle w:val="132"/>
            </w:pPr>
            <w:r>
              <w:t>46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122" w:type="pct"/>
            <w:vAlign w:val="center"/>
          </w:tcPr>
          <w:p>
            <w:pPr>
              <w:pStyle w:val="132"/>
            </w:pPr>
            <w:r>
              <w:t>吊管机</w:t>
            </w:r>
          </w:p>
        </w:tc>
        <w:tc>
          <w:tcPr>
            <w:tcW w:w="646" w:type="pct"/>
            <w:vAlign w:val="center"/>
          </w:tcPr>
          <w:p>
            <w:pPr>
              <w:pStyle w:val="132"/>
            </w:pPr>
            <w:r>
              <w:t>68</w:t>
            </w:r>
          </w:p>
        </w:tc>
        <w:tc>
          <w:tcPr>
            <w:tcW w:w="649" w:type="pct"/>
            <w:vAlign w:val="center"/>
          </w:tcPr>
          <w:p>
            <w:pPr>
              <w:pStyle w:val="132"/>
            </w:pPr>
            <w:r>
              <w:t>62</w:t>
            </w:r>
          </w:p>
        </w:tc>
        <w:tc>
          <w:tcPr>
            <w:tcW w:w="646" w:type="pct"/>
            <w:vAlign w:val="center"/>
          </w:tcPr>
          <w:p>
            <w:pPr>
              <w:pStyle w:val="132"/>
            </w:pPr>
            <w:r>
              <w:t>56</w:t>
            </w:r>
          </w:p>
        </w:tc>
        <w:tc>
          <w:tcPr>
            <w:tcW w:w="646" w:type="pct"/>
            <w:vAlign w:val="center"/>
          </w:tcPr>
          <w:p>
            <w:pPr>
              <w:pStyle w:val="132"/>
            </w:pPr>
            <w:r>
              <w:t>50</w:t>
            </w:r>
          </w:p>
        </w:tc>
        <w:tc>
          <w:tcPr>
            <w:tcW w:w="646" w:type="pct"/>
            <w:vAlign w:val="center"/>
          </w:tcPr>
          <w:p>
            <w:pPr>
              <w:pStyle w:val="132"/>
            </w:pPr>
            <w:r>
              <w:t>48</w:t>
            </w:r>
          </w:p>
        </w:tc>
        <w:tc>
          <w:tcPr>
            <w:tcW w:w="646" w:type="pct"/>
            <w:vAlign w:val="center"/>
          </w:tcPr>
          <w:p>
            <w:pPr>
              <w:pStyle w:val="132"/>
            </w:pPr>
            <w:r>
              <w:t>42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122" w:type="pct"/>
            <w:vAlign w:val="center"/>
          </w:tcPr>
          <w:p>
            <w:pPr>
              <w:pStyle w:val="132"/>
            </w:pPr>
            <w:r>
              <w:t>电焊机</w:t>
            </w:r>
          </w:p>
        </w:tc>
        <w:tc>
          <w:tcPr>
            <w:tcW w:w="646" w:type="pct"/>
            <w:vAlign w:val="center"/>
          </w:tcPr>
          <w:p>
            <w:pPr>
              <w:pStyle w:val="132"/>
            </w:pPr>
            <w:r>
              <w:t>65</w:t>
            </w:r>
          </w:p>
        </w:tc>
        <w:tc>
          <w:tcPr>
            <w:tcW w:w="649" w:type="pct"/>
            <w:vAlign w:val="center"/>
          </w:tcPr>
          <w:p>
            <w:pPr>
              <w:pStyle w:val="132"/>
            </w:pPr>
            <w:r>
              <w:t>59</w:t>
            </w:r>
          </w:p>
        </w:tc>
        <w:tc>
          <w:tcPr>
            <w:tcW w:w="646" w:type="pct"/>
            <w:vAlign w:val="center"/>
          </w:tcPr>
          <w:p>
            <w:pPr>
              <w:pStyle w:val="132"/>
            </w:pPr>
            <w:r>
              <w:t>53</w:t>
            </w:r>
          </w:p>
        </w:tc>
        <w:tc>
          <w:tcPr>
            <w:tcW w:w="646" w:type="pct"/>
            <w:vAlign w:val="center"/>
          </w:tcPr>
          <w:p>
            <w:pPr>
              <w:pStyle w:val="132"/>
            </w:pPr>
            <w:r>
              <w:t>47</w:t>
            </w:r>
          </w:p>
        </w:tc>
        <w:tc>
          <w:tcPr>
            <w:tcW w:w="646" w:type="pct"/>
            <w:vAlign w:val="center"/>
          </w:tcPr>
          <w:p>
            <w:pPr>
              <w:pStyle w:val="132"/>
            </w:pPr>
            <w:r>
              <w:t>45</w:t>
            </w:r>
          </w:p>
        </w:tc>
        <w:tc>
          <w:tcPr>
            <w:tcW w:w="646" w:type="pct"/>
            <w:vAlign w:val="center"/>
          </w:tcPr>
          <w:p>
            <w:pPr>
              <w:pStyle w:val="132"/>
            </w:pPr>
            <w:r>
              <w:t>39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122" w:type="pct"/>
            <w:vAlign w:val="center"/>
          </w:tcPr>
          <w:p>
            <w:pPr>
              <w:pStyle w:val="132"/>
            </w:pPr>
            <w:r>
              <w:t>推土机</w:t>
            </w:r>
          </w:p>
        </w:tc>
        <w:tc>
          <w:tcPr>
            <w:tcW w:w="646" w:type="pct"/>
            <w:vAlign w:val="center"/>
          </w:tcPr>
          <w:p>
            <w:pPr>
              <w:pStyle w:val="132"/>
            </w:pPr>
            <w:r>
              <w:t>70</w:t>
            </w:r>
          </w:p>
        </w:tc>
        <w:tc>
          <w:tcPr>
            <w:tcW w:w="649" w:type="pct"/>
            <w:vAlign w:val="center"/>
          </w:tcPr>
          <w:p>
            <w:pPr>
              <w:pStyle w:val="132"/>
            </w:pPr>
            <w:r>
              <w:t>64</w:t>
            </w:r>
          </w:p>
        </w:tc>
        <w:tc>
          <w:tcPr>
            <w:tcW w:w="646" w:type="pct"/>
            <w:vAlign w:val="center"/>
          </w:tcPr>
          <w:p>
            <w:pPr>
              <w:pStyle w:val="132"/>
            </w:pPr>
            <w:r>
              <w:t>58</w:t>
            </w:r>
          </w:p>
        </w:tc>
        <w:tc>
          <w:tcPr>
            <w:tcW w:w="646" w:type="pct"/>
            <w:vAlign w:val="center"/>
          </w:tcPr>
          <w:p>
            <w:pPr>
              <w:pStyle w:val="132"/>
            </w:pPr>
            <w:r>
              <w:t>52</w:t>
            </w:r>
          </w:p>
        </w:tc>
        <w:tc>
          <w:tcPr>
            <w:tcW w:w="646" w:type="pct"/>
            <w:vAlign w:val="center"/>
          </w:tcPr>
          <w:p>
            <w:pPr>
              <w:pStyle w:val="132"/>
            </w:pPr>
            <w:r>
              <w:t>50</w:t>
            </w:r>
          </w:p>
        </w:tc>
        <w:tc>
          <w:tcPr>
            <w:tcW w:w="646" w:type="pct"/>
            <w:vAlign w:val="center"/>
          </w:tcPr>
          <w:p>
            <w:pPr>
              <w:pStyle w:val="132"/>
            </w:pPr>
            <w:r>
              <w:t>44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122" w:type="pct"/>
            <w:vAlign w:val="center"/>
          </w:tcPr>
          <w:p>
            <w:pPr>
              <w:pStyle w:val="132"/>
            </w:pPr>
            <w:r>
              <w:t>混凝土搅拌机</w:t>
            </w:r>
          </w:p>
        </w:tc>
        <w:tc>
          <w:tcPr>
            <w:tcW w:w="646" w:type="pct"/>
            <w:vAlign w:val="center"/>
          </w:tcPr>
          <w:p>
            <w:pPr>
              <w:pStyle w:val="132"/>
            </w:pPr>
            <w:r>
              <w:t>75</w:t>
            </w:r>
          </w:p>
        </w:tc>
        <w:tc>
          <w:tcPr>
            <w:tcW w:w="649" w:type="pct"/>
            <w:vAlign w:val="center"/>
          </w:tcPr>
          <w:p>
            <w:pPr>
              <w:pStyle w:val="132"/>
            </w:pPr>
            <w:r>
              <w:t>69</w:t>
            </w:r>
          </w:p>
        </w:tc>
        <w:tc>
          <w:tcPr>
            <w:tcW w:w="646" w:type="pct"/>
            <w:vAlign w:val="center"/>
          </w:tcPr>
          <w:p>
            <w:pPr>
              <w:pStyle w:val="132"/>
            </w:pPr>
            <w:r>
              <w:t>63</w:t>
            </w:r>
          </w:p>
        </w:tc>
        <w:tc>
          <w:tcPr>
            <w:tcW w:w="646" w:type="pct"/>
            <w:vAlign w:val="center"/>
          </w:tcPr>
          <w:p>
            <w:pPr>
              <w:pStyle w:val="132"/>
            </w:pPr>
            <w:r>
              <w:t>57</w:t>
            </w:r>
          </w:p>
        </w:tc>
        <w:tc>
          <w:tcPr>
            <w:tcW w:w="646" w:type="pct"/>
            <w:vAlign w:val="center"/>
          </w:tcPr>
          <w:p>
            <w:pPr>
              <w:pStyle w:val="132"/>
            </w:pPr>
            <w:r>
              <w:t>55</w:t>
            </w:r>
          </w:p>
        </w:tc>
        <w:tc>
          <w:tcPr>
            <w:tcW w:w="646" w:type="pct"/>
            <w:vAlign w:val="center"/>
          </w:tcPr>
          <w:p>
            <w:pPr>
              <w:pStyle w:val="132"/>
            </w:pPr>
            <w:r>
              <w:t>49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122" w:type="pct"/>
            <w:vAlign w:val="center"/>
          </w:tcPr>
          <w:p>
            <w:pPr>
              <w:pStyle w:val="132"/>
            </w:pPr>
            <w:r>
              <w:t>混凝土翻斗车</w:t>
            </w:r>
          </w:p>
        </w:tc>
        <w:tc>
          <w:tcPr>
            <w:tcW w:w="646" w:type="pct"/>
            <w:vAlign w:val="center"/>
          </w:tcPr>
          <w:p>
            <w:pPr>
              <w:pStyle w:val="132"/>
            </w:pPr>
            <w:r>
              <w:t>75</w:t>
            </w:r>
          </w:p>
        </w:tc>
        <w:tc>
          <w:tcPr>
            <w:tcW w:w="649" w:type="pct"/>
            <w:vAlign w:val="center"/>
          </w:tcPr>
          <w:p>
            <w:pPr>
              <w:pStyle w:val="132"/>
            </w:pPr>
            <w:r>
              <w:t>69</w:t>
            </w:r>
          </w:p>
        </w:tc>
        <w:tc>
          <w:tcPr>
            <w:tcW w:w="646" w:type="pct"/>
            <w:vAlign w:val="center"/>
          </w:tcPr>
          <w:p>
            <w:pPr>
              <w:pStyle w:val="132"/>
            </w:pPr>
            <w:r>
              <w:t>63</w:t>
            </w:r>
          </w:p>
        </w:tc>
        <w:tc>
          <w:tcPr>
            <w:tcW w:w="646" w:type="pct"/>
            <w:vAlign w:val="center"/>
          </w:tcPr>
          <w:p>
            <w:pPr>
              <w:pStyle w:val="132"/>
            </w:pPr>
            <w:r>
              <w:t>57</w:t>
            </w:r>
          </w:p>
        </w:tc>
        <w:tc>
          <w:tcPr>
            <w:tcW w:w="646" w:type="pct"/>
            <w:vAlign w:val="center"/>
          </w:tcPr>
          <w:p>
            <w:pPr>
              <w:pStyle w:val="132"/>
            </w:pPr>
            <w:r>
              <w:t>55</w:t>
            </w:r>
          </w:p>
        </w:tc>
        <w:tc>
          <w:tcPr>
            <w:tcW w:w="646" w:type="pct"/>
            <w:vAlign w:val="center"/>
          </w:tcPr>
          <w:p>
            <w:pPr>
              <w:pStyle w:val="132"/>
            </w:pPr>
            <w:r>
              <w:t>49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122" w:type="pct"/>
            <w:vAlign w:val="center"/>
          </w:tcPr>
          <w:p>
            <w:pPr>
              <w:pStyle w:val="132"/>
            </w:pPr>
            <w:r>
              <w:t>切割机</w:t>
            </w:r>
          </w:p>
        </w:tc>
        <w:tc>
          <w:tcPr>
            <w:tcW w:w="646" w:type="pct"/>
            <w:vAlign w:val="center"/>
          </w:tcPr>
          <w:p>
            <w:pPr>
              <w:pStyle w:val="132"/>
            </w:pPr>
            <w:r>
              <w:t>75</w:t>
            </w:r>
          </w:p>
        </w:tc>
        <w:tc>
          <w:tcPr>
            <w:tcW w:w="649" w:type="pct"/>
            <w:vAlign w:val="center"/>
          </w:tcPr>
          <w:p>
            <w:pPr>
              <w:pStyle w:val="132"/>
            </w:pPr>
            <w:r>
              <w:t>69</w:t>
            </w:r>
          </w:p>
        </w:tc>
        <w:tc>
          <w:tcPr>
            <w:tcW w:w="646" w:type="pct"/>
            <w:vAlign w:val="center"/>
          </w:tcPr>
          <w:p>
            <w:pPr>
              <w:pStyle w:val="132"/>
            </w:pPr>
            <w:r>
              <w:t>63</w:t>
            </w:r>
          </w:p>
        </w:tc>
        <w:tc>
          <w:tcPr>
            <w:tcW w:w="646" w:type="pct"/>
            <w:vAlign w:val="center"/>
          </w:tcPr>
          <w:p>
            <w:pPr>
              <w:pStyle w:val="132"/>
            </w:pPr>
            <w:r>
              <w:t>57</w:t>
            </w:r>
          </w:p>
        </w:tc>
        <w:tc>
          <w:tcPr>
            <w:tcW w:w="646" w:type="pct"/>
            <w:vAlign w:val="center"/>
          </w:tcPr>
          <w:p>
            <w:pPr>
              <w:pStyle w:val="132"/>
            </w:pPr>
            <w:r>
              <w:t>55</w:t>
            </w:r>
          </w:p>
        </w:tc>
        <w:tc>
          <w:tcPr>
            <w:tcW w:w="646" w:type="pct"/>
            <w:vAlign w:val="center"/>
          </w:tcPr>
          <w:p>
            <w:pPr>
              <w:pStyle w:val="132"/>
            </w:pPr>
            <w:r>
              <w:t>49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122" w:type="pct"/>
            <w:vAlign w:val="center"/>
          </w:tcPr>
          <w:p>
            <w:pPr>
              <w:pStyle w:val="132"/>
            </w:pPr>
            <w:r>
              <w:t>柴油发电机</w:t>
            </w:r>
          </w:p>
        </w:tc>
        <w:tc>
          <w:tcPr>
            <w:tcW w:w="646" w:type="pct"/>
            <w:vAlign w:val="center"/>
          </w:tcPr>
          <w:p>
            <w:pPr>
              <w:pStyle w:val="132"/>
            </w:pPr>
            <w:r>
              <w:t>80</w:t>
            </w:r>
          </w:p>
        </w:tc>
        <w:tc>
          <w:tcPr>
            <w:tcW w:w="649" w:type="pct"/>
            <w:vAlign w:val="center"/>
          </w:tcPr>
          <w:p>
            <w:pPr>
              <w:pStyle w:val="132"/>
            </w:pPr>
            <w:r>
              <w:t>74</w:t>
            </w:r>
          </w:p>
        </w:tc>
        <w:tc>
          <w:tcPr>
            <w:tcW w:w="646" w:type="pct"/>
            <w:vAlign w:val="center"/>
          </w:tcPr>
          <w:p>
            <w:pPr>
              <w:pStyle w:val="132"/>
            </w:pPr>
            <w:r>
              <w:t>68</w:t>
            </w:r>
          </w:p>
        </w:tc>
        <w:tc>
          <w:tcPr>
            <w:tcW w:w="646" w:type="pct"/>
            <w:vAlign w:val="center"/>
          </w:tcPr>
          <w:p>
            <w:pPr>
              <w:pStyle w:val="132"/>
            </w:pPr>
            <w:r>
              <w:t>62</w:t>
            </w:r>
          </w:p>
        </w:tc>
        <w:tc>
          <w:tcPr>
            <w:tcW w:w="646" w:type="pct"/>
            <w:vAlign w:val="center"/>
          </w:tcPr>
          <w:p>
            <w:pPr>
              <w:pStyle w:val="132"/>
            </w:pPr>
            <w:r>
              <w:t>60</w:t>
            </w:r>
          </w:p>
        </w:tc>
        <w:tc>
          <w:tcPr>
            <w:tcW w:w="646" w:type="pct"/>
            <w:vAlign w:val="center"/>
          </w:tcPr>
          <w:p>
            <w:pPr>
              <w:pStyle w:val="132"/>
            </w:pPr>
            <w:r>
              <w:t>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122" w:type="pct"/>
            <w:vAlign w:val="center"/>
          </w:tcPr>
          <w:p>
            <w:pPr>
              <w:pStyle w:val="132"/>
            </w:pPr>
            <w:r>
              <w:t>混凝土震动棒</w:t>
            </w:r>
          </w:p>
        </w:tc>
        <w:tc>
          <w:tcPr>
            <w:tcW w:w="646" w:type="pct"/>
            <w:vAlign w:val="center"/>
          </w:tcPr>
          <w:p>
            <w:pPr>
              <w:pStyle w:val="132"/>
            </w:pPr>
            <w:r>
              <w:t>85</w:t>
            </w:r>
          </w:p>
        </w:tc>
        <w:tc>
          <w:tcPr>
            <w:tcW w:w="649" w:type="pct"/>
            <w:vAlign w:val="center"/>
          </w:tcPr>
          <w:p>
            <w:pPr>
              <w:pStyle w:val="132"/>
            </w:pPr>
            <w:r>
              <w:t>79</w:t>
            </w:r>
          </w:p>
        </w:tc>
        <w:tc>
          <w:tcPr>
            <w:tcW w:w="646" w:type="pct"/>
            <w:vAlign w:val="center"/>
          </w:tcPr>
          <w:p>
            <w:pPr>
              <w:pStyle w:val="132"/>
            </w:pPr>
            <w:r>
              <w:t>73</w:t>
            </w:r>
          </w:p>
        </w:tc>
        <w:tc>
          <w:tcPr>
            <w:tcW w:w="646" w:type="pct"/>
            <w:vAlign w:val="center"/>
          </w:tcPr>
          <w:p>
            <w:pPr>
              <w:pStyle w:val="132"/>
            </w:pPr>
            <w:r>
              <w:t>67</w:t>
            </w:r>
          </w:p>
        </w:tc>
        <w:tc>
          <w:tcPr>
            <w:tcW w:w="646" w:type="pct"/>
            <w:vAlign w:val="center"/>
          </w:tcPr>
          <w:p>
            <w:pPr>
              <w:pStyle w:val="132"/>
            </w:pPr>
            <w:r>
              <w:t>65</w:t>
            </w:r>
          </w:p>
        </w:tc>
        <w:tc>
          <w:tcPr>
            <w:tcW w:w="646" w:type="pct"/>
            <w:vAlign w:val="center"/>
          </w:tcPr>
          <w:p>
            <w:pPr>
              <w:pStyle w:val="132"/>
            </w:pPr>
            <w:r>
              <w:t>59</w:t>
            </w:r>
          </w:p>
        </w:tc>
      </w:tr>
    </w:tbl>
    <w:p>
      <w:pPr>
        <w:pStyle w:val="112"/>
        <w:ind w:firstLine="480"/>
      </w:pPr>
      <w:r>
        <w:t>在线路施工中，使用挖掘机的时间较长，噪声强度较高，持续时间较长，而其它施工机械如混凝土震捣棒、混凝土搅拌机、混凝土翻斗车、切割机、推土机等一般间歇使用，且施工时间较短，故挖掘机施工噪声基本反映了管线施工噪声的影响水平。</w:t>
      </w:r>
    </w:p>
    <w:p>
      <w:pPr>
        <w:pStyle w:val="112"/>
        <w:ind w:firstLine="480"/>
      </w:pPr>
      <w:r>
        <w:t>从计算结果可以看出：主要机械在40m以外均不超过建筑物施工场界昼间噪声限值75dB（A），而在夜间若不超过55dB（A）的标准，其距离要远到200m以上，且不适用产噪设备较大的混凝土震动棒。</w:t>
      </w:r>
    </w:p>
    <w:p>
      <w:pPr>
        <w:pStyle w:val="112"/>
        <w:ind w:firstLine="480"/>
      </w:pPr>
      <w:r>
        <w:t>由于管线所经地区敏感目标主要是农村居住区。对于采用机械施工的地段，预测参照《声环境质量噪声标准》进行评价。</w:t>
      </w:r>
    </w:p>
    <w:p>
      <w:pPr>
        <w:pStyle w:val="112"/>
        <w:ind w:firstLine="480"/>
      </w:pPr>
      <w:r>
        <w:t>本项目的施工机械混凝土搅拌机、混凝土翻斗机、切割机和柴油发电机基本在站场施工时使用，使用频率低，挖掘机使用频率最高，因此，以挖掘机为代表说明本项目施工期噪声影响，计算结果可知，本项目施工期设备噪声声级值以施工管道沿线向外逐渐减弱，距声源200m以外挖掘机的噪声声级值已低于54dB</w:t>
      </w:r>
      <w:r>
        <w:rPr>
          <w:rFonts w:hint="eastAsia"/>
        </w:rPr>
        <w:t>（</w:t>
      </w:r>
      <w:r>
        <w:t>A</w:t>
      </w:r>
      <w:r>
        <w:rPr>
          <w:rFonts w:hint="eastAsia"/>
        </w:rPr>
        <w:t>）</w:t>
      </w:r>
      <w:r>
        <w:t>。根据调查，管线沿线两侧200m内，</w:t>
      </w:r>
      <w:r>
        <w:rPr>
          <w:rFonts w:hint="eastAsia"/>
        </w:rPr>
        <w:t>无</w:t>
      </w:r>
      <w:r>
        <w:t>自然村分布。施工噪声是短暂的且具有分散性，一般在白天施工，不会对夜间声环境产生影响</w:t>
      </w:r>
      <w:r>
        <w:rPr>
          <w:rFonts w:hint="eastAsia"/>
        </w:rPr>
        <w:t>，同时</w:t>
      </w:r>
      <w:r>
        <w:t>施工沿线居民集中点设挡声板。因此，一般施工噪声对周围居民的生活影响不是很大。</w:t>
      </w:r>
    </w:p>
    <w:p>
      <w:pPr>
        <w:pStyle w:val="112"/>
        <w:ind w:firstLine="480"/>
      </w:pPr>
      <w:r>
        <w:t>（3）施工期噪声对敏感点影响分析</w:t>
      </w:r>
    </w:p>
    <w:p>
      <w:pPr>
        <w:pStyle w:val="112"/>
        <w:ind w:firstLine="480"/>
      </w:pPr>
      <w:r>
        <w:rPr>
          <w:rFonts w:hint="eastAsia"/>
        </w:rPr>
        <w:t>由于本工程施工期较短，施工机械使用较少，同时，项目施工噪声是暂时的，将随着施工期的结束而消失，在采取限值车辆行驶速度、合理安排作业时间、采用低噪声设备等措施后，目施工不会对评价范围内声环境造成明显不利影响。</w:t>
      </w:r>
    </w:p>
    <w:p>
      <w:pPr>
        <w:pStyle w:val="112"/>
        <w:ind w:firstLine="482"/>
      </w:pPr>
      <w:r>
        <w:rPr>
          <w:b/>
          <w:bCs/>
        </w:rPr>
        <w:t>6.1.5</w:t>
      </w:r>
      <w:r>
        <w:rPr>
          <w:rFonts w:hint="eastAsia"/>
          <w:b/>
          <w:bCs/>
        </w:rPr>
        <w:t>.2钻井施工</w:t>
      </w:r>
    </w:p>
    <w:p>
      <w:pPr>
        <w:numPr>
          <w:ilvl w:val="4"/>
          <w:numId w:val="0"/>
        </w:numPr>
        <w:topLinePunct w:val="0"/>
        <w:adjustRightInd/>
        <w:snapToGrid w:val="0"/>
        <w:spacing w:line="331" w:lineRule="auto"/>
        <w:ind w:left="26" w:firstLine="400"/>
        <w:rPr>
          <w:rFonts w:ascii="Times New Roman" w:cs="Times New Roman"/>
          <w:kern w:val="2"/>
        </w:rPr>
      </w:pPr>
      <w:r>
        <w:rPr>
          <w:rFonts w:hint="eastAsia" w:ascii="Times New Roman" w:hAnsi="宋体" w:cs="Times New Roman"/>
          <w:kern w:val="2"/>
        </w:rPr>
        <w:t>1、</w:t>
      </w:r>
      <w:r>
        <w:rPr>
          <w:rFonts w:ascii="Times New Roman" w:hAnsi="宋体" w:cs="Times New Roman"/>
          <w:kern w:val="2"/>
        </w:rPr>
        <w:t>常规钻钻井阶段</w:t>
      </w:r>
    </w:p>
    <w:p>
      <w:pPr>
        <w:topLinePunct w:val="0"/>
        <w:snapToGrid w:val="0"/>
        <w:spacing w:line="331" w:lineRule="auto"/>
        <w:ind w:firstLine="476" w:firstLineChars="0"/>
        <w:rPr>
          <w:rFonts w:ascii="Times New Roman" w:cs="Times New Roman"/>
          <w:kern w:val="2"/>
        </w:rPr>
      </w:pPr>
      <w:r>
        <w:rPr>
          <w:rFonts w:ascii="Times New Roman" w:hAnsi="宋体" w:cs="Times New Roman"/>
          <w:kern w:val="2"/>
        </w:rPr>
        <w:t>①噪声源强</w:t>
      </w:r>
    </w:p>
    <w:p>
      <w:pPr>
        <w:widowControl/>
        <w:topLinePunct w:val="0"/>
        <w:snapToGrid w:val="0"/>
        <w:spacing w:line="331" w:lineRule="auto"/>
        <w:ind w:firstLine="480"/>
        <w:rPr>
          <w:rFonts w:ascii="Times New Roman" w:cs="Times New Roman"/>
          <w:kern w:val="2"/>
        </w:rPr>
      </w:pPr>
      <w:r>
        <w:rPr>
          <w:rFonts w:ascii="Times New Roman" w:hAnsi="宋体" w:cs="Times New Roman"/>
          <w:kern w:val="2"/>
        </w:rPr>
        <w:t>钻井过程中的噪声主要包括正常钻井施工过程中的机械、设备运行和施工过程产生的噪声，其产生情况为：钻机、振动筛、泥浆泵、离心机以及其他各种机械转动所产生的噪声。设备的噪声值见表</w:t>
      </w:r>
      <w:r>
        <w:rPr>
          <w:rFonts w:ascii="Times New Roman" w:cs="Times New Roman"/>
        </w:rPr>
        <w:t>6.</w:t>
      </w:r>
      <w:r>
        <w:rPr>
          <w:rFonts w:hint="eastAsia" w:ascii="Times New Roman" w:cs="Times New Roman"/>
        </w:rPr>
        <w:t>1</w:t>
      </w:r>
      <w:r>
        <w:rPr>
          <w:rFonts w:ascii="Times New Roman" w:cs="Times New Roman"/>
        </w:rPr>
        <w:t>-</w:t>
      </w:r>
      <w:r>
        <w:rPr>
          <w:rFonts w:hint="eastAsia" w:ascii="Times New Roman" w:cs="Times New Roman"/>
        </w:rPr>
        <w:t>4</w:t>
      </w:r>
      <w:r>
        <w:rPr>
          <w:rFonts w:ascii="Times New Roman" w:hAnsi="宋体" w:cs="Times New Roman"/>
          <w:kern w:val="2"/>
        </w:rPr>
        <w:t>。</w:t>
      </w:r>
    </w:p>
    <w:p>
      <w:pPr>
        <w:topLinePunct w:val="0"/>
        <w:snapToGrid w:val="0"/>
        <w:spacing w:beforeLines="50"/>
        <w:ind w:firstLine="480" w:firstLineChars="0"/>
        <w:jc w:val="center"/>
        <w:rPr>
          <w:rFonts w:ascii="Times New Roman" w:cs="Times New Roman"/>
          <w:kern w:val="2"/>
          <w:sz w:val="21"/>
          <w:szCs w:val="20"/>
        </w:rPr>
      </w:pPr>
      <w:bookmarkStart w:id="485" w:name="_Ref496287886"/>
      <w:r>
        <w:rPr>
          <w:rFonts w:ascii="Times New Roman" w:cs="Times New Roman"/>
          <w:kern w:val="2"/>
          <w:sz w:val="21"/>
          <w:szCs w:val="20"/>
        </w:rPr>
        <w:t>表</w:t>
      </w:r>
      <w:bookmarkEnd w:id="485"/>
      <w:r>
        <w:rPr>
          <w:rFonts w:ascii="Times New Roman" w:cs="Times New Roman"/>
          <w:kern w:val="2"/>
          <w:sz w:val="21"/>
          <w:szCs w:val="20"/>
        </w:rPr>
        <w:t>6.</w:t>
      </w:r>
      <w:r>
        <w:rPr>
          <w:rFonts w:hint="eastAsia" w:ascii="Times New Roman" w:cs="Times New Roman"/>
          <w:kern w:val="2"/>
          <w:sz w:val="21"/>
          <w:szCs w:val="20"/>
        </w:rPr>
        <w:t>1</w:t>
      </w:r>
      <w:r>
        <w:rPr>
          <w:rFonts w:ascii="Times New Roman" w:cs="Times New Roman"/>
          <w:kern w:val="2"/>
          <w:sz w:val="21"/>
          <w:szCs w:val="20"/>
        </w:rPr>
        <w:t>-</w:t>
      </w:r>
      <w:r>
        <w:rPr>
          <w:rFonts w:hint="eastAsia" w:ascii="Times New Roman" w:cs="Times New Roman"/>
          <w:kern w:val="2"/>
          <w:sz w:val="21"/>
          <w:szCs w:val="20"/>
        </w:rPr>
        <w:t>4</w:t>
      </w:r>
      <w:r>
        <w:rPr>
          <w:rFonts w:ascii="Times New Roman" w:cs="Times New Roman"/>
          <w:kern w:val="2"/>
          <w:sz w:val="21"/>
          <w:szCs w:val="20"/>
        </w:rPr>
        <w:t xml:space="preserve">  常规钻钻井作业过程中采取降噪措施后的噪声源强</w:t>
      </w:r>
    </w:p>
    <w:tbl>
      <w:tblPr>
        <w:tblStyle w:val="57"/>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6" w:type="dxa"/>
          <w:bottom w:w="0" w:type="dxa"/>
          <w:right w:w="6" w:type="dxa"/>
        </w:tblCellMar>
      </w:tblPr>
      <w:tblGrid>
        <w:gridCol w:w="709"/>
        <w:gridCol w:w="1000"/>
        <w:gridCol w:w="713"/>
        <w:gridCol w:w="1426"/>
        <w:gridCol w:w="1142"/>
        <w:gridCol w:w="1558"/>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6" w:type="dxa"/>
            <w:bottom w:w="0" w:type="dxa"/>
            <w:right w:w="6" w:type="dxa"/>
          </w:tblCellMar>
        </w:tblPrEx>
        <w:trPr>
          <w:trHeight w:val="554" w:hRule="atLeast"/>
          <w:tblHeader/>
          <w:jc w:val="center"/>
        </w:trPr>
        <w:tc>
          <w:tcPr>
            <w:tcW w:w="70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序号</w:t>
            </w:r>
          </w:p>
        </w:tc>
        <w:tc>
          <w:tcPr>
            <w:tcW w:w="100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声源名称</w:t>
            </w:r>
          </w:p>
        </w:tc>
        <w:tc>
          <w:tcPr>
            <w:tcW w:w="713"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数量（台）</w:t>
            </w:r>
          </w:p>
        </w:tc>
        <w:tc>
          <w:tcPr>
            <w:tcW w:w="142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降噪前声级</w:t>
            </w:r>
          </w:p>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w:t>
            </w:r>
            <w:r>
              <w:rPr>
                <w:rFonts w:ascii="Times New Roman" w:cs="Times New Roman"/>
                <w:kern w:val="2"/>
                <w:sz w:val="21"/>
                <w:szCs w:val="21"/>
              </w:rPr>
              <w:t>dB</w:t>
            </w:r>
            <w:r>
              <w:rPr>
                <w:rFonts w:ascii="Times New Roman" w:hAnsi="宋体" w:cs="Times New Roman"/>
                <w:kern w:val="2"/>
                <w:sz w:val="21"/>
                <w:szCs w:val="21"/>
              </w:rPr>
              <w:t>（</w:t>
            </w:r>
            <w:r>
              <w:rPr>
                <w:rFonts w:ascii="Times New Roman" w:cs="Times New Roman"/>
                <w:kern w:val="2"/>
                <w:sz w:val="21"/>
                <w:szCs w:val="21"/>
              </w:rPr>
              <w:t>A</w:t>
            </w:r>
            <w:r>
              <w:rPr>
                <w:rFonts w:ascii="Times New Roman" w:hAnsi="宋体" w:cs="Times New Roman"/>
                <w:kern w:val="2"/>
                <w:sz w:val="21"/>
                <w:szCs w:val="21"/>
              </w:rPr>
              <w:t>））</w:t>
            </w:r>
          </w:p>
        </w:tc>
        <w:tc>
          <w:tcPr>
            <w:tcW w:w="114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声源高度（</w:t>
            </w:r>
            <w:r>
              <w:rPr>
                <w:rFonts w:ascii="Times New Roman" w:cs="Times New Roman"/>
                <w:kern w:val="2"/>
                <w:sz w:val="21"/>
                <w:szCs w:val="21"/>
              </w:rPr>
              <w:t>m</w:t>
            </w:r>
            <w:r>
              <w:rPr>
                <w:rFonts w:ascii="Times New Roman" w:hAnsi="宋体" w:cs="Times New Roman"/>
                <w:kern w:val="2"/>
                <w:sz w:val="21"/>
                <w:szCs w:val="21"/>
              </w:rPr>
              <w:t>）</w:t>
            </w:r>
          </w:p>
        </w:tc>
        <w:tc>
          <w:tcPr>
            <w:tcW w:w="155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降噪措施</w:t>
            </w:r>
          </w:p>
        </w:tc>
        <w:tc>
          <w:tcPr>
            <w:tcW w:w="170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降噪后声级</w:t>
            </w:r>
          </w:p>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w:t>
            </w:r>
            <w:r>
              <w:rPr>
                <w:rFonts w:ascii="Times New Roman" w:cs="Times New Roman"/>
                <w:kern w:val="2"/>
                <w:sz w:val="21"/>
                <w:szCs w:val="21"/>
              </w:rPr>
              <w:t>dB</w:t>
            </w:r>
            <w:r>
              <w:rPr>
                <w:rFonts w:ascii="Times New Roman" w:hAnsi="宋体" w:cs="Times New Roman"/>
                <w:kern w:val="2"/>
                <w:sz w:val="21"/>
                <w:szCs w:val="21"/>
              </w:rPr>
              <w:t>（</w:t>
            </w:r>
            <w:r>
              <w:rPr>
                <w:rFonts w:ascii="Times New Roman" w:cs="Times New Roman"/>
                <w:kern w:val="2"/>
                <w:sz w:val="21"/>
                <w:szCs w:val="21"/>
              </w:rPr>
              <w:t>A</w:t>
            </w:r>
            <w:r>
              <w:rPr>
                <w:rFonts w:ascii="Times New Roman" w:hAnsi="宋体" w:cs="Times New Roman"/>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6" w:type="dxa"/>
            <w:bottom w:w="0" w:type="dxa"/>
            <w:right w:w="6" w:type="dxa"/>
          </w:tblCellMar>
        </w:tblPrEx>
        <w:trPr>
          <w:trHeight w:val="277" w:hRule="atLeast"/>
          <w:jc w:val="center"/>
        </w:trPr>
        <w:tc>
          <w:tcPr>
            <w:tcW w:w="70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100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钻机</w:t>
            </w:r>
          </w:p>
        </w:tc>
        <w:tc>
          <w:tcPr>
            <w:tcW w:w="713"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142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85</w:t>
            </w:r>
            <w:r>
              <w:rPr>
                <w:rFonts w:ascii="Times New Roman" w:hAnsi="宋体" w:cs="Times New Roman"/>
                <w:kern w:val="2"/>
                <w:sz w:val="21"/>
                <w:szCs w:val="21"/>
              </w:rPr>
              <w:t>～</w:t>
            </w:r>
            <w:r>
              <w:rPr>
                <w:rFonts w:ascii="Times New Roman" w:cs="Times New Roman"/>
                <w:kern w:val="2"/>
                <w:sz w:val="21"/>
                <w:szCs w:val="21"/>
              </w:rPr>
              <w:t>95</w:t>
            </w:r>
          </w:p>
        </w:tc>
        <w:tc>
          <w:tcPr>
            <w:tcW w:w="114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155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170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85</w:t>
            </w:r>
            <w:r>
              <w:rPr>
                <w:rFonts w:ascii="Times New Roman" w:hAnsi="宋体" w:cs="Times New Roman"/>
                <w:kern w:val="2"/>
                <w:sz w:val="21"/>
                <w:szCs w:val="21"/>
              </w:rPr>
              <w:t>～</w:t>
            </w:r>
            <w:r>
              <w:rPr>
                <w:rFonts w:ascii="Times New Roman" w:cs="Times New Roman"/>
                <w:kern w:val="2"/>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6" w:type="dxa"/>
            <w:bottom w:w="0" w:type="dxa"/>
            <w:right w:w="6" w:type="dxa"/>
          </w:tblCellMar>
        </w:tblPrEx>
        <w:trPr>
          <w:trHeight w:val="277" w:hRule="atLeast"/>
          <w:jc w:val="center"/>
        </w:trPr>
        <w:tc>
          <w:tcPr>
            <w:tcW w:w="70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100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泥浆泵</w:t>
            </w:r>
          </w:p>
        </w:tc>
        <w:tc>
          <w:tcPr>
            <w:tcW w:w="713"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142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85</w:t>
            </w:r>
            <w:r>
              <w:rPr>
                <w:rFonts w:ascii="Times New Roman" w:hAnsi="宋体" w:cs="Times New Roman"/>
                <w:kern w:val="2"/>
                <w:sz w:val="21"/>
                <w:szCs w:val="21"/>
              </w:rPr>
              <w:t>～</w:t>
            </w:r>
            <w:r>
              <w:rPr>
                <w:rFonts w:ascii="Times New Roman" w:cs="Times New Roman"/>
                <w:kern w:val="2"/>
                <w:sz w:val="21"/>
                <w:szCs w:val="21"/>
              </w:rPr>
              <w:t>95</w:t>
            </w:r>
          </w:p>
        </w:tc>
        <w:tc>
          <w:tcPr>
            <w:tcW w:w="114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155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加衬弹性垫料</w:t>
            </w:r>
          </w:p>
        </w:tc>
        <w:tc>
          <w:tcPr>
            <w:tcW w:w="170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80</w:t>
            </w:r>
            <w:r>
              <w:rPr>
                <w:rFonts w:ascii="Times New Roman" w:hAnsi="宋体" w:cs="Times New Roman"/>
                <w:kern w:val="2"/>
                <w:sz w:val="21"/>
                <w:szCs w:val="21"/>
              </w:rPr>
              <w:t>～</w:t>
            </w:r>
            <w:r>
              <w:rPr>
                <w:rFonts w:ascii="Times New Roman" w:cs="Times New Roman"/>
                <w:kern w:val="2"/>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6" w:type="dxa"/>
            <w:bottom w:w="0" w:type="dxa"/>
            <w:right w:w="6" w:type="dxa"/>
          </w:tblCellMar>
        </w:tblPrEx>
        <w:trPr>
          <w:trHeight w:val="277" w:hRule="atLeast"/>
          <w:jc w:val="center"/>
        </w:trPr>
        <w:tc>
          <w:tcPr>
            <w:tcW w:w="70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100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振动筛</w:t>
            </w:r>
          </w:p>
        </w:tc>
        <w:tc>
          <w:tcPr>
            <w:tcW w:w="713"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142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80</w:t>
            </w:r>
            <w:r>
              <w:rPr>
                <w:rFonts w:ascii="Times New Roman" w:hAnsi="宋体" w:cs="Times New Roman"/>
                <w:kern w:val="2"/>
                <w:sz w:val="21"/>
                <w:szCs w:val="21"/>
              </w:rPr>
              <w:t>～</w:t>
            </w:r>
            <w:r>
              <w:rPr>
                <w:rFonts w:ascii="Times New Roman" w:cs="Times New Roman"/>
                <w:kern w:val="2"/>
                <w:sz w:val="21"/>
                <w:szCs w:val="21"/>
              </w:rPr>
              <w:t>90</w:t>
            </w:r>
          </w:p>
        </w:tc>
        <w:tc>
          <w:tcPr>
            <w:tcW w:w="114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155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加衬弹性垫料</w:t>
            </w:r>
          </w:p>
        </w:tc>
        <w:tc>
          <w:tcPr>
            <w:tcW w:w="170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75</w:t>
            </w:r>
            <w:r>
              <w:rPr>
                <w:rFonts w:ascii="Times New Roman" w:hAnsi="宋体" w:cs="Times New Roman"/>
                <w:kern w:val="2"/>
                <w:sz w:val="21"/>
                <w:szCs w:val="21"/>
              </w:rPr>
              <w:t>～</w:t>
            </w:r>
            <w:r>
              <w:rPr>
                <w:rFonts w:ascii="Times New Roman" w:cs="Times New Roman"/>
                <w:kern w:val="2"/>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6" w:type="dxa"/>
            <w:bottom w:w="0" w:type="dxa"/>
            <w:right w:w="6" w:type="dxa"/>
          </w:tblCellMar>
        </w:tblPrEx>
        <w:trPr>
          <w:trHeight w:val="293" w:hRule="atLeast"/>
          <w:jc w:val="center"/>
        </w:trPr>
        <w:tc>
          <w:tcPr>
            <w:tcW w:w="70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w:t>
            </w:r>
          </w:p>
        </w:tc>
        <w:tc>
          <w:tcPr>
            <w:tcW w:w="100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离心机</w:t>
            </w:r>
          </w:p>
        </w:tc>
        <w:tc>
          <w:tcPr>
            <w:tcW w:w="713"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142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80</w:t>
            </w:r>
            <w:r>
              <w:rPr>
                <w:rFonts w:ascii="Times New Roman" w:hAnsi="宋体" w:cs="Times New Roman"/>
                <w:kern w:val="2"/>
                <w:sz w:val="21"/>
                <w:szCs w:val="21"/>
              </w:rPr>
              <w:t>～</w:t>
            </w:r>
            <w:r>
              <w:rPr>
                <w:rFonts w:ascii="Times New Roman" w:cs="Times New Roman"/>
                <w:kern w:val="2"/>
                <w:sz w:val="21"/>
                <w:szCs w:val="21"/>
              </w:rPr>
              <w:t>90</w:t>
            </w:r>
          </w:p>
        </w:tc>
        <w:tc>
          <w:tcPr>
            <w:tcW w:w="1142"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155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加衬弹性垫料</w:t>
            </w:r>
          </w:p>
        </w:tc>
        <w:tc>
          <w:tcPr>
            <w:tcW w:w="170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75</w:t>
            </w:r>
            <w:r>
              <w:rPr>
                <w:rFonts w:ascii="Times New Roman" w:hAnsi="宋体" w:cs="Times New Roman"/>
                <w:kern w:val="2"/>
                <w:sz w:val="21"/>
                <w:szCs w:val="21"/>
              </w:rPr>
              <w:t>～</w:t>
            </w:r>
            <w:r>
              <w:rPr>
                <w:rFonts w:ascii="Times New Roman" w:cs="Times New Roman"/>
                <w:kern w:val="2"/>
                <w:sz w:val="21"/>
                <w:szCs w:val="21"/>
              </w:rPr>
              <w:t>85</w:t>
            </w:r>
          </w:p>
        </w:tc>
      </w:tr>
    </w:tbl>
    <w:p>
      <w:pPr>
        <w:topLinePunct w:val="0"/>
        <w:snapToGrid w:val="0"/>
        <w:spacing w:line="331" w:lineRule="auto"/>
        <w:ind w:firstLine="472" w:firstLineChars="197"/>
        <w:rPr>
          <w:rFonts w:ascii="Times New Roman" w:cs="Times New Roman"/>
          <w:kern w:val="2"/>
        </w:rPr>
      </w:pPr>
      <w:r>
        <w:rPr>
          <w:rFonts w:hint="eastAsia" w:hAnsi="宋体" w:cs="Times New Roman"/>
          <w:kern w:val="2"/>
        </w:rPr>
        <w:t>②</w:t>
      </w:r>
      <w:r>
        <w:rPr>
          <w:rFonts w:ascii="Times New Roman" w:hAnsi="宋体" w:cs="Times New Roman"/>
          <w:kern w:val="2"/>
        </w:rPr>
        <w:t>预测结果</w:t>
      </w:r>
    </w:p>
    <w:p>
      <w:pPr>
        <w:widowControl/>
        <w:topLinePunct w:val="0"/>
        <w:snapToGrid w:val="0"/>
        <w:spacing w:line="331" w:lineRule="auto"/>
        <w:ind w:firstLine="480"/>
        <w:rPr>
          <w:rFonts w:ascii="Times New Roman" w:cs="Times New Roman"/>
          <w:kern w:val="2"/>
        </w:rPr>
      </w:pPr>
      <w:r>
        <w:rPr>
          <w:rFonts w:ascii="Times New Roman" w:hAnsi="宋体" w:cs="Times New Roman"/>
          <w:kern w:val="2"/>
        </w:rPr>
        <w:t>井场四周环境噪声预测结果见表</w:t>
      </w:r>
      <w:r>
        <w:rPr>
          <w:rFonts w:ascii="Times New Roman" w:cs="Times New Roman"/>
        </w:rPr>
        <w:t>6.</w:t>
      </w:r>
      <w:r>
        <w:rPr>
          <w:rFonts w:hint="eastAsia" w:ascii="Times New Roman" w:cs="Times New Roman"/>
        </w:rPr>
        <w:t>1</w:t>
      </w:r>
      <w:r>
        <w:rPr>
          <w:rFonts w:ascii="Times New Roman" w:cs="Times New Roman"/>
        </w:rPr>
        <w:t>-</w:t>
      </w:r>
      <w:r>
        <w:rPr>
          <w:rFonts w:hint="eastAsia" w:ascii="Times New Roman" w:cs="Times New Roman"/>
        </w:rPr>
        <w:t>5</w:t>
      </w:r>
      <w:r>
        <w:rPr>
          <w:rFonts w:ascii="Times New Roman" w:hAnsi="宋体" w:cs="Times New Roman"/>
          <w:kern w:val="2"/>
        </w:rPr>
        <w:t>。</w:t>
      </w:r>
    </w:p>
    <w:p>
      <w:pPr>
        <w:topLinePunct w:val="0"/>
        <w:adjustRightInd/>
        <w:spacing w:line="240" w:lineRule="auto"/>
        <w:ind w:firstLine="0" w:firstLineChars="0"/>
        <w:jc w:val="center"/>
        <w:rPr>
          <w:rFonts w:ascii="Times New Roman" w:cs="Times New Roman"/>
          <w:bCs/>
          <w:kern w:val="2"/>
          <w:sz w:val="21"/>
        </w:rPr>
      </w:pPr>
      <w:r>
        <w:rPr>
          <w:rFonts w:ascii="Times New Roman" w:cs="Times New Roman"/>
          <w:bCs/>
          <w:kern w:val="2"/>
          <w:sz w:val="21"/>
        </w:rPr>
        <w:t>表6.</w:t>
      </w:r>
      <w:r>
        <w:rPr>
          <w:rFonts w:hint="eastAsia" w:ascii="Times New Roman" w:cs="Times New Roman"/>
          <w:bCs/>
          <w:kern w:val="2"/>
          <w:sz w:val="21"/>
        </w:rPr>
        <w:t>1</w:t>
      </w:r>
      <w:r>
        <w:rPr>
          <w:rFonts w:ascii="Times New Roman" w:cs="Times New Roman"/>
          <w:bCs/>
          <w:kern w:val="2"/>
          <w:sz w:val="21"/>
        </w:rPr>
        <w:t>-</w:t>
      </w:r>
      <w:r>
        <w:rPr>
          <w:rFonts w:hint="eastAsia" w:ascii="Times New Roman" w:cs="Times New Roman"/>
          <w:bCs/>
          <w:kern w:val="2"/>
          <w:sz w:val="21"/>
        </w:rPr>
        <w:t>5</w:t>
      </w:r>
      <w:r>
        <w:rPr>
          <w:rFonts w:ascii="Times New Roman" w:cs="Times New Roman"/>
          <w:bCs/>
          <w:kern w:val="2"/>
          <w:sz w:val="21"/>
        </w:rPr>
        <w:t xml:space="preserve">  </w:t>
      </w:r>
      <w:r>
        <w:rPr>
          <w:rFonts w:ascii="Times New Roman" w:cs="Times New Roman"/>
          <w:kern w:val="2"/>
          <w:sz w:val="21"/>
        </w:rPr>
        <w:t>钻井工程噪声预测（常规钻）</w:t>
      </w:r>
      <w:r>
        <w:rPr>
          <w:rFonts w:ascii="Times New Roman" w:cs="Times New Roman"/>
          <w:bCs/>
          <w:kern w:val="2"/>
          <w:sz w:val="21"/>
        </w:rPr>
        <w:t xml:space="preserve">    单位：dB(A)</w:t>
      </w:r>
    </w:p>
    <w:tbl>
      <w:tblPr>
        <w:tblStyle w:val="57"/>
        <w:tblW w:w="808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92"/>
        <w:gridCol w:w="1326"/>
        <w:gridCol w:w="1098"/>
        <w:gridCol w:w="1196"/>
        <w:gridCol w:w="1189"/>
        <w:gridCol w:w="1080"/>
        <w:gridCol w:w="119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1" w:hRule="atLeast"/>
          <w:jc w:val="center"/>
        </w:trPr>
        <w:tc>
          <w:tcPr>
            <w:tcW w:w="992" w:type="dxa"/>
            <w:vMerge w:val="restart"/>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噪声源</w:t>
            </w:r>
          </w:p>
        </w:tc>
        <w:tc>
          <w:tcPr>
            <w:tcW w:w="1326" w:type="dxa"/>
            <w:vMerge w:val="restart"/>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源强（采取各种措施衰减后）</w:t>
            </w:r>
          </w:p>
        </w:tc>
        <w:tc>
          <w:tcPr>
            <w:tcW w:w="4563" w:type="dxa"/>
            <w:gridSpan w:val="4"/>
            <w:tcBorders>
              <w:bottom w:val="single" w:color="auto" w:sz="4" w:space="0"/>
            </w:tcBorders>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在各厂界噪声贡献值</w:t>
            </w:r>
          </w:p>
        </w:tc>
        <w:tc>
          <w:tcPr>
            <w:tcW w:w="1199" w:type="dxa"/>
            <w:vMerge w:val="restart"/>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达标情况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2" w:hRule="atLeast"/>
          <w:jc w:val="center"/>
        </w:trPr>
        <w:tc>
          <w:tcPr>
            <w:tcW w:w="992"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rPr>
            </w:pPr>
          </w:p>
        </w:tc>
        <w:tc>
          <w:tcPr>
            <w:tcW w:w="1326"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rPr>
            </w:pPr>
          </w:p>
        </w:tc>
        <w:tc>
          <w:tcPr>
            <w:tcW w:w="1098" w:type="dxa"/>
            <w:tcBorders>
              <w:top w:val="single" w:color="auto" w:sz="4" w:space="0"/>
            </w:tcBorders>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东厂界</w:t>
            </w:r>
          </w:p>
        </w:tc>
        <w:tc>
          <w:tcPr>
            <w:tcW w:w="1196" w:type="dxa"/>
            <w:tcBorders>
              <w:top w:val="single" w:color="auto" w:sz="4" w:space="0"/>
            </w:tcBorders>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南厂界</w:t>
            </w:r>
          </w:p>
        </w:tc>
        <w:tc>
          <w:tcPr>
            <w:tcW w:w="1189" w:type="dxa"/>
            <w:tcBorders>
              <w:top w:val="single" w:color="auto" w:sz="4" w:space="0"/>
            </w:tcBorders>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西厂界</w:t>
            </w:r>
          </w:p>
        </w:tc>
        <w:tc>
          <w:tcPr>
            <w:tcW w:w="1080" w:type="dxa"/>
            <w:tcBorders>
              <w:top w:val="single" w:color="auto" w:sz="4" w:space="0"/>
            </w:tcBorders>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北厂界</w:t>
            </w:r>
          </w:p>
        </w:tc>
        <w:tc>
          <w:tcPr>
            <w:tcW w:w="1199"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992"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钻机</w:t>
            </w:r>
          </w:p>
        </w:tc>
        <w:tc>
          <w:tcPr>
            <w:tcW w:w="1326"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85</w:t>
            </w:r>
            <w:r>
              <w:rPr>
                <w:rFonts w:ascii="Times New Roman" w:hAnsi="宋体" w:cs="Times New Roman"/>
                <w:kern w:val="2"/>
                <w:sz w:val="21"/>
                <w:szCs w:val="21"/>
              </w:rPr>
              <w:t>～</w:t>
            </w:r>
            <w:r>
              <w:rPr>
                <w:rFonts w:ascii="Times New Roman" w:cs="Times New Roman"/>
                <w:kern w:val="2"/>
                <w:sz w:val="21"/>
                <w:szCs w:val="21"/>
              </w:rPr>
              <w:t>95</w:t>
            </w:r>
          </w:p>
        </w:tc>
        <w:tc>
          <w:tcPr>
            <w:tcW w:w="1098"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64.1</w:t>
            </w:r>
          </w:p>
        </w:tc>
        <w:tc>
          <w:tcPr>
            <w:tcW w:w="1196"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58.5</w:t>
            </w:r>
          </w:p>
        </w:tc>
        <w:tc>
          <w:tcPr>
            <w:tcW w:w="1189"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64.3</w:t>
            </w:r>
          </w:p>
        </w:tc>
        <w:tc>
          <w:tcPr>
            <w:tcW w:w="1080"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63.3</w:t>
            </w:r>
          </w:p>
        </w:tc>
        <w:tc>
          <w:tcPr>
            <w:tcW w:w="1199" w:type="dxa"/>
            <w:vMerge w:val="restart"/>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昼间达标，夜间超标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1" w:hRule="atLeast"/>
          <w:jc w:val="center"/>
        </w:trPr>
        <w:tc>
          <w:tcPr>
            <w:tcW w:w="992"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泥浆泵</w:t>
            </w:r>
          </w:p>
        </w:tc>
        <w:tc>
          <w:tcPr>
            <w:tcW w:w="1326"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80</w:t>
            </w:r>
            <w:r>
              <w:rPr>
                <w:rFonts w:ascii="Times New Roman" w:hAnsi="宋体" w:cs="Times New Roman"/>
                <w:kern w:val="2"/>
                <w:sz w:val="21"/>
                <w:szCs w:val="21"/>
              </w:rPr>
              <w:t>～</w:t>
            </w:r>
            <w:r>
              <w:rPr>
                <w:rFonts w:ascii="Times New Roman" w:cs="Times New Roman"/>
                <w:kern w:val="2"/>
                <w:sz w:val="21"/>
                <w:szCs w:val="21"/>
              </w:rPr>
              <w:t>90</w:t>
            </w:r>
          </w:p>
        </w:tc>
        <w:tc>
          <w:tcPr>
            <w:tcW w:w="1098"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58.9</w:t>
            </w:r>
          </w:p>
        </w:tc>
        <w:tc>
          <w:tcPr>
            <w:tcW w:w="1196"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53.6</w:t>
            </w:r>
          </w:p>
        </w:tc>
        <w:tc>
          <w:tcPr>
            <w:tcW w:w="1189"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59.8</w:t>
            </w:r>
          </w:p>
        </w:tc>
        <w:tc>
          <w:tcPr>
            <w:tcW w:w="1080"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57.9</w:t>
            </w:r>
          </w:p>
        </w:tc>
        <w:tc>
          <w:tcPr>
            <w:tcW w:w="1199"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992"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振动筛</w:t>
            </w:r>
          </w:p>
        </w:tc>
        <w:tc>
          <w:tcPr>
            <w:tcW w:w="1326"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75</w:t>
            </w:r>
            <w:r>
              <w:rPr>
                <w:rFonts w:ascii="Times New Roman" w:hAnsi="宋体" w:cs="Times New Roman"/>
                <w:kern w:val="2"/>
                <w:sz w:val="21"/>
                <w:szCs w:val="21"/>
              </w:rPr>
              <w:t>～</w:t>
            </w:r>
            <w:r>
              <w:rPr>
                <w:rFonts w:ascii="Times New Roman" w:cs="Times New Roman"/>
                <w:kern w:val="2"/>
                <w:sz w:val="21"/>
                <w:szCs w:val="21"/>
              </w:rPr>
              <w:t>85</w:t>
            </w:r>
          </w:p>
        </w:tc>
        <w:tc>
          <w:tcPr>
            <w:tcW w:w="1098"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54.2</w:t>
            </w:r>
          </w:p>
        </w:tc>
        <w:tc>
          <w:tcPr>
            <w:tcW w:w="1196"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48.8</w:t>
            </w:r>
          </w:p>
        </w:tc>
        <w:tc>
          <w:tcPr>
            <w:tcW w:w="1189"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54.5</w:t>
            </w:r>
          </w:p>
        </w:tc>
        <w:tc>
          <w:tcPr>
            <w:tcW w:w="1080"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52.6</w:t>
            </w:r>
          </w:p>
        </w:tc>
        <w:tc>
          <w:tcPr>
            <w:tcW w:w="1199"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992"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离心机</w:t>
            </w:r>
          </w:p>
        </w:tc>
        <w:tc>
          <w:tcPr>
            <w:tcW w:w="1326"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75</w:t>
            </w:r>
            <w:r>
              <w:rPr>
                <w:rFonts w:ascii="Times New Roman" w:hAnsi="宋体" w:cs="Times New Roman"/>
                <w:kern w:val="2"/>
                <w:sz w:val="21"/>
                <w:szCs w:val="21"/>
              </w:rPr>
              <w:t>～</w:t>
            </w:r>
            <w:r>
              <w:rPr>
                <w:rFonts w:ascii="Times New Roman" w:cs="Times New Roman"/>
                <w:kern w:val="2"/>
                <w:sz w:val="21"/>
                <w:szCs w:val="21"/>
              </w:rPr>
              <w:t>85</w:t>
            </w:r>
          </w:p>
        </w:tc>
        <w:tc>
          <w:tcPr>
            <w:tcW w:w="1098"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53.8</w:t>
            </w:r>
          </w:p>
        </w:tc>
        <w:tc>
          <w:tcPr>
            <w:tcW w:w="1196"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50.9</w:t>
            </w:r>
          </w:p>
        </w:tc>
        <w:tc>
          <w:tcPr>
            <w:tcW w:w="1189"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54.2</w:t>
            </w:r>
          </w:p>
        </w:tc>
        <w:tc>
          <w:tcPr>
            <w:tcW w:w="1080"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50.6</w:t>
            </w:r>
          </w:p>
        </w:tc>
        <w:tc>
          <w:tcPr>
            <w:tcW w:w="1199"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2318" w:type="dxa"/>
            <w:gridSpan w:val="2"/>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叠加值</w:t>
            </w:r>
          </w:p>
        </w:tc>
        <w:tc>
          <w:tcPr>
            <w:tcW w:w="1098"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65.2</w:t>
            </w:r>
          </w:p>
        </w:tc>
        <w:tc>
          <w:tcPr>
            <w:tcW w:w="1196"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59.6</w:t>
            </w:r>
          </w:p>
        </w:tc>
        <w:tc>
          <w:tcPr>
            <w:tcW w:w="1189"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65.</w:t>
            </w:r>
            <w:r>
              <w:rPr>
                <w:rFonts w:hint="eastAsia" w:ascii="Times New Roman" w:cs="Times New Roman"/>
                <w:kern w:val="2"/>
                <w:sz w:val="21"/>
              </w:rPr>
              <w:t>5</w:t>
            </w:r>
          </w:p>
        </w:tc>
        <w:tc>
          <w:tcPr>
            <w:tcW w:w="1080"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64.2</w:t>
            </w:r>
          </w:p>
        </w:tc>
        <w:tc>
          <w:tcPr>
            <w:tcW w:w="1199"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rPr>
            </w:pPr>
          </w:p>
        </w:tc>
      </w:tr>
    </w:tbl>
    <w:p>
      <w:pPr>
        <w:widowControl/>
        <w:topLinePunct w:val="0"/>
        <w:snapToGrid w:val="0"/>
        <w:spacing w:line="331" w:lineRule="auto"/>
        <w:ind w:firstLine="480"/>
        <w:rPr>
          <w:rFonts w:ascii="Times New Roman" w:cs="Times New Roman"/>
          <w:kern w:val="2"/>
        </w:rPr>
      </w:pPr>
      <w:r>
        <w:rPr>
          <w:rFonts w:ascii="Times New Roman" w:hAnsi="宋体" w:cs="Times New Roman"/>
          <w:kern w:val="2"/>
        </w:rPr>
        <w:t>预测结果表明：常规钻钻井过程中井场东、南、西、北边界噪声贡献值分别为</w:t>
      </w:r>
      <w:r>
        <w:rPr>
          <w:rFonts w:ascii="Times New Roman" w:cs="Times New Roman"/>
          <w:kern w:val="2"/>
        </w:rPr>
        <w:t>65.2dB</w:t>
      </w:r>
      <w:r>
        <w:rPr>
          <w:rFonts w:ascii="Times New Roman" w:hAnsi="宋体" w:cs="Times New Roman"/>
          <w:kern w:val="2"/>
        </w:rPr>
        <w:t>（</w:t>
      </w:r>
      <w:r>
        <w:rPr>
          <w:rFonts w:ascii="Times New Roman" w:cs="Times New Roman"/>
          <w:kern w:val="2"/>
        </w:rPr>
        <w:t>A</w:t>
      </w:r>
      <w:r>
        <w:rPr>
          <w:rFonts w:ascii="Times New Roman" w:hAnsi="宋体" w:cs="Times New Roman"/>
          <w:kern w:val="2"/>
        </w:rPr>
        <w:t>）、</w:t>
      </w:r>
      <w:r>
        <w:rPr>
          <w:rFonts w:ascii="Times New Roman" w:cs="Times New Roman"/>
          <w:kern w:val="2"/>
        </w:rPr>
        <w:t>59.6dB</w:t>
      </w:r>
      <w:r>
        <w:rPr>
          <w:rFonts w:ascii="Times New Roman" w:hAnsi="宋体" w:cs="Times New Roman"/>
          <w:kern w:val="2"/>
        </w:rPr>
        <w:t>（</w:t>
      </w:r>
      <w:r>
        <w:rPr>
          <w:rFonts w:ascii="Times New Roman" w:cs="Times New Roman"/>
          <w:kern w:val="2"/>
        </w:rPr>
        <w:t>A</w:t>
      </w:r>
      <w:r>
        <w:rPr>
          <w:rFonts w:ascii="Times New Roman" w:hAnsi="宋体" w:cs="Times New Roman"/>
          <w:kern w:val="2"/>
        </w:rPr>
        <w:t>）、</w:t>
      </w:r>
      <w:r>
        <w:rPr>
          <w:rFonts w:ascii="Times New Roman" w:cs="Times New Roman"/>
          <w:kern w:val="2"/>
        </w:rPr>
        <w:t>65.5dB</w:t>
      </w:r>
      <w:r>
        <w:rPr>
          <w:rFonts w:ascii="Times New Roman" w:hAnsi="宋体" w:cs="Times New Roman"/>
          <w:kern w:val="2"/>
        </w:rPr>
        <w:t>（</w:t>
      </w:r>
      <w:r>
        <w:rPr>
          <w:rFonts w:ascii="Times New Roman" w:cs="Times New Roman"/>
          <w:kern w:val="2"/>
        </w:rPr>
        <w:t>A</w:t>
      </w:r>
      <w:r>
        <w:rPr>
          <w:rFonts w:ascii="Times New Roman" w:hAnsi="宋体" w:cs="Times New Roman"/>
          <w:kern w:val="2"/>
        </w:rPr>
        <w:t>）、</w:t>
      </w:r>
      <w:r>
        <w:rPr>
          <w:rFonts w:ascii="Times New Roman" w:cs="Times New Roman"/>
          <w:kern w:val="2"/>
        </w:rPr>
        <w:t>64.2dB</w:t>
      </w:r>
      <w:r>
        <w:rPr>
          <w:rFonts w:ascii="Times New Roman" w:hAnsi="宋体" w:cs="Times New Roman"/>
          <w:kern w:val="2"/>
        </w:rPr>
        <w:t>（</w:t>
      </w:r>
      <w:r>
        <w:rPr>
          <w:rFonts w:ascii="Times New Roman" w:cs="Times New Roman"/>
          <w:kern w:val="2"/>
        </w:rPr>
        <w:t>A</w:t>
      </w:r>
      <w:r>
        <w:rPr>
          <w:rFonts w:ascii="Times New Roman" w:hAnsi="宋体" w:cs="Times New Roman"/>
          <w:kern w:val="2"/>
        </w:rPr>
        <w:t>），昼间可以满足《建筑施工场界环境噪声排放标准》（</w:t>
      </w:r>
      <w:r>
        <w:rPr>
          <w:rFonts w:ascii="Times New Roman" w:cs="Times New Roman"/>
          <w:kern w:val="2"/>
        </w:rPr>
        <w:t>GB 12523-2011</w:t>
      </w:r>
      <w:r>
        <w:rPr>
          <w:rFonts w:ascii="Times New Roman" w:hAnsi="宋体" w:cs="Times New Roman"/>
          <w:kern w:val="2"/>
        </w:rPr>
        <w:t>）（昼间</w:t>
      </w:r>
      <w:r>
        <w:rPr>
          <w:rFonts w:ascii="Times New Roman" w:cs="Times New Roman"/>
          <w:kern w:val="2"/>
        </w:rPr>
        <w:t>70 dB</w:t>
      </w:r>
      <w:r>
        <w:rPr>
          <w:rFonts w:ascii="Times New Roman" w:hAnsi="宋体" w:cs="Times New Roman"/>
          <w:kern w:val="2"/>
        </w:rPr>
        <w:t>（</w:t>
      </w:r>
      <w:r>
        <w:rPr>
          <w:rFonts w:ascii="Times New Roman" w:cs="Times New Roman"/>
          <w:kern w:val="2"/>
        </w:rPr>
        <w:t>A</w:t>
      </w:r>
      <w:r>
        <w:rPr>
          <w:rFonts w:ascii="Times New Roman" w:hAnsi="宋体" w:cs="Times New Roman"/>
          <w:kern w:val="2"/>
        </w:rPr>
        <w:t>），夜间</w:t>
      </w:r>
      <w:r>
        <w:rPr>
          <w:rFonts w:ascii="Times New Roman" w:cs="Times New Roman"/>
          <w:kern w:val="2"/>
        </w:rPr>
        <w:t>55 dB</w:t>
      </w:r>
      <w:r>
        <w:rPr>
          <w:rFonts w:ascii="Times New Roman" w:hAnsi="宋体" w:cs="Times New Roman"/>
          <w:kern w:val="2"/>
        </w:rPr>
        <w:t>（</w:t>
      </w:r>
      <w:r>
        <w:rPr>
          <w:rFonts w:ascii="Times New Roman" w:cs="Times New Roman"/>
          <w:kern w:val="2"/>
        </w:rPr>
        <w:t>A</w:t>
      </w:r>
      <w:r>
        <w:rPr>
          <w:rFonts w:ascii="Times New Roman" w:hAnsi="宋体" w:cs="Times New Roman"/>
          <w:kern w:val="2"/>
        </w:rPr>
        <w:t>）），夜间无法满足《建筑施工场界环境噪声排放标准》（</w:t>
      </w:r>
      <w:r>
        <w:rPr>
          <w:rFonts w:ascii="Times New Roman" w:cs="Times New Roman"/>
          <w:kern w:val="2"/>
        </w:rPr>
        <w:t>GB 12523-2011</w:t>
      </w:r>
      <w:r>
        <w:rPr>
          <w:rFonts w:ascii="Times New Roman" w:hAnsi="宋体" w:cs="Times New Roman"/>
          <w:kern w:val="2"/>
        </w:rPr>
        <w:t>）（昼间</w:t>
      </w:r>
      <w:r>
        <w:rPr>
          <w:rFonts w:ascii="Times New Roman" w:cs="Times New Roman"/>
          <w:kern w:val="2"/>
        </w:rPr>
        <w:t>70dB</w:t>
      </w:r>
      <w:r>
        <w:rPr>
          <w:rFonts w:ascii="Times New Roman" w:hAnsi="宋体" w:cs="Times New Roman"/>
          <w:kern w:val="2"/>
        </w:rPr>
        <w:t>（</w:t>
      </w:r>
      <w:r>
        <w:rPr>
          <w:rFonts w:ascii="Times New Roman" w:cs="Times New Roman"/>
          <w:kern w:val="2"/>
        </w:rPr>
        <w:t>A</w:t>
      </w:r>
      <w:r>
        <w:rPr>
          <w:rFonts w:ascii="Times New Roman" w:hAnsi="宋体" w:cs="Times New Roman"/>
          <w:kern w:val="2"/>
        </w:rPr>
        <w:t>），夜间</w:t>
      </w:r>
      <w:r>
        <w:rPr>
          <w:rFonts w:ascii="Times New Roman" w:cs="Times New Roman"/>
          <w:kern w:val="2"/>
        </w:rPr>
        <w:t>55dB</w:t>
      </w:r>
      <w:r>
        <w:rPr>
          <w:rFonts w:ascii="Times New Roman" w:hAnsi="宋体" w:cs="Times New Roman"/>
          <w:kern w:val="2"/>
        </w:rPr>
        <w:t>（</w:t>
      </w:r>
      <w:r>
        <w:rPr>
          <w:rFonts w:ascii="Times New Roman" w:cs="Times New Roman"/>
          <w:kern w:val="2"/>
        </w:rPr>
        <w:t>A</w:t>
      </w:r>
      <w:r>
        <w:rPr>
          <w:rFonts w:ascii="Times New Roman" w:hAnsi="宋体" w:cs="Times New Roman"/>
          <w:kern w:val="2"/>
        </w:rPr>
        <w:t>））。</w:t>
      </w:r>
    </w:p>
    <w:p>
      <w:pPr>
        <w:numPr>
          <w:ilvl w:val="4"/>
          <w:numId w:val="0"/>
        </w:numPr>
        <w:topLinePunct w:val="0"/>
        <w:adjustRightInd/>
        <w:snapToGrid w:val="0"/>
        <w:spacing w:line="331" w:lineRule="auto"/>
        <w:ind w:left="26" w:firstLine="400"/>
        <w:rPr>
          <w:rFonts w:ascii="Times New Roman" w:cs="Times New Roman"/>
          <w:kern w:val="2"/>
        </w:rPr>
      </w:pPr>
      <w:r>
        <w:rPr>
          <w:rFonts w:hint="eastAsia" w:ascii="Times New Roman" w:hAnsi="宋体" w:cs="Times New Roman"/>
          <w:kern w:val="2"/>
        </w:rPr>
        <w:t>2、</w:t>
      </w:r>
      <w:r>
        <w:rPr>
          <w:rFonts w:ascii="Times New Roman" w:hAnsi="宋体" w:cs="Times New Roman"/>
          <w:kern w:val="2"/>
        </w:rPr>
        <w:t>气体钻钻井阶段</w:t>
      </w:r>
    </w:p>
    <w:p>
      <w:pPr>
        <w:topLinePunct w:val="0"/>
        <w:snapToGrid w:val="0"/>
        <w:spacing w:line="331" w:lineRule="auto"/>
        <w:ind w:firstLine="476" w:firstLineChars="0"/>
        <w:rPr>
          <w:rFonts w:ascii="Times New Roman" w:cs="Times New Roman"/>
          <w:kern w:val="2"/>
        </w:rPr>
      </w:pPr>
      <w:r>
        <w:rPr>
          <w:rFonts w:ascii="Times New Roman" w:hAnsi="宋体" w:cs="Times New Roman"/>
          <w:kern w:val="2"/>
        </w:rPr>
        <w:t>①噪声源强</w:t>
      </w:r>
    </w:p>
    <w:p>
      <w:pPr>
        <w:widowControl/>
        <w:topLinePunct w:val="0"/>
        <w:snapToGrid w:val="0"/>
        <w:spacing w:line="331" w:lineRule="auto"/>
        <w:ind w:firstLine="480"/>
        <w:rPr>
          <w:rFonts w:ascii="Times New Roman" w:cs="Times New Roman"/>
          <w:kern w:val="2"/>
        </w:rPr>
      </w:pPr>
      <w:r>
        <w:rPr>
          <w:rFonts w:ascii="Times New Roman" w:hAnsi="宋体" w:cs="Times New Roman"/>
          <w:kern w:val="2"/>
        </w:rPr>
        <w:t>气体钻（空气或氮气）钻井过程中的噪声主要包括正常钻井施工过程中的机械、设备运行和施工过程产生的噪声，其产生情况为：钻机、空压机、增压机以及其他各种机械转动所产生的噪声。同时在钻井过程中平稳操作，避免特种作业时产生非正常的噪声。主要噪声源的噪声值见表</w:t>
      </w:r>
      <w:r>
        <w:rPr>
          <w:rFonts w:ascii="Times New Roman" w:cs="Times New Roman"/>
        </w:rPr>
        <w:t>6.</w:t>
      </w:r>
      <w:r>
        <w:rPr>
          <w:rFonts w:hint="eastAsia" w:ascii="Times New Roman" w:cs="Times New Roman"/>
        </w:rPr>
        <w:t>1</w:t>
      </w:r>
      <w:r>
        <w:rPr>
          <w:rFonts w:ascii="Times New Roman" w:cs="Times New Roman"/>
        </w:rPr>
        <w:t>-</w:t>
      </w:r>
      <w:r>
        <w:rPr>
          <w:rFonts w:hint="eastAsia" w:ascii="Times New Roman" w:cs="Times New Roman"/>
        </w:rPr>
        <w:t>6</w:t>
      </w:r>
      <w:r>
        <w:rPr>
          <w:rFonts w:ascii="Times New Roman" w:hAnsi="宋体" w:cs="Times New Roman"/>
          <w:kern w:val="2"/>
        </w:rPr>
        <w:t>。</w:t>
      </w:r>
    </w:p>
    <w:p>
      <w:pPr>
        <w:topLinePunct w:val="0"/>
        <w:snapToGrid w:val="0"/>
        <w:spacing w:beforeLines="50"/>
        <w:ind w:firstLine="480" w:firstLineChars="0"/>
        <w:jc w:val="center"/>
        <w:rPr>
          <w:rFonts w:ascii="Times New Roman" w:cs="Times New Roman"/>
          <w:kern w:val="2"/>
          <w:sz w:val="21"/>
          <w:szCs w:val="20"/>
        </w:rPr>
      </w:pPr>
      <w:bookmarkStart w:id="486" w:name="_Ref496287902"/>
      <w:r>
        <w:rPr>
          <w:rFonts w:ascii="Times New Roman" w:cs="Times New Roman"/>
          <w:kern w:val="2"/>
          <w:sz w:val="21"/>
          <w:szCs w:val="20"/>
        </w:rPr>
        <w:t>表6.</w:t>
      </w:r>
      <w:r>
        <w:rPr>
          <w:rFonts w:hint="eastAsia" w:ascii="Times New Roman" w:cs="Times New Roman"/>
          <w:kern w:val="2"/>
          <w:sz w:val="21"/>
          <w:szCs w:val="20"/>
        </w:rPr>
        <w:t>1</w:t>
      </w:r>
      <w:r>
        <w:rPr>
          <w:rFonts w:ascii="Times New Roman" w:cs="Times New Roman"/>
          <w:kern w:val="2"/>
          <w:sz w:val="21"/>
          <w:szCs w:val="20"/>
        </w:rPr>
        <w:t>-</w:t>
      </w:r>
      <w:bookmarkEnd w:id="486"/>
      <w:r>
        <w:rPr>
          <w:rFonts w:hint="eastAsia" w:ascii="Times New Roman" w:cs="Times New Roman"/>
          <w:kern w:val="2"/>
          <w:sz w:val="21"/>
          <w:szCs w:val="20"/>
        </w:rPr>
        <w:t>6</w:t>
      </w:r>
      <w:r>
        <w:rPr>
          <w:rFonts w:ascii="Times New Roman" w:cs="Times New Roman"/>
          <w:kern w:val="2"/>
          <w:sz w:val="21"/>
          <w:szCs w:val="20"/>
        </w:rPr>
        <w:t xml:space="preserve">  气体钻钻井作业过程中采取降噪措施后的噪声源强</w:t>
      </w:r>
    </w:p>
    <w:tbl>
      <w:tblPr>
        <w:tblStyle w:val="5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
        <w:gridCol w:w="1003"/>
        <w:gridCol w:w="1368"/>
        <w:gridCol w:w="1441"/>
        <w:gridCol w:w="1528"/>
        <w:gridCol w:w="1590"/>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33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序号</w:t>
            </w:r>
          </w:p>
        </w:tc>
        <w:tc>
          <w:tcPr>
            <w:tcW w:w="95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声源名称</w:t>
            </w:r>
          </w:p>
        </w:tc>
        <w:tc>
          <w:tcPr>
            <w:tcW w:w="130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数量（台）</w:t>
            </w:r>
          </w:p>
        </w:tc>
        <w:tc>
          <w:tcPr>
            <w:tcW w:w="137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降噪前声级（</w:t>
            </w:r>
            <w:r>
              <w:rPr>
                <w:rFonts w:ascii="Times New Roman" w:cs="Times New Roman"/>
                <w:kern w:val="2"/>
                <w:sz w:val="21"/>
                <w:szCs w:val="21"/>
              </w:rPr>
              <w:t>dB</w:t>
            </w:r>
            <w:r>
              <w:rPr>
                <w:rFonts w:ascii="Times New Roman" w:hAnsi="宋体" w:cs="Times New Roman"/>
                <w:kern w:val="2"/>
                <w:sz w:val="21"/>
                <w:szCs w:val="21"/>
              </w:rPr>
              <w:t>（</w:t>
            </w:r>
            <w:r>
              <w:rPr>
                <w:rFonts w:ascii="Times New Roman" w:cs="Times New Roman"/>
                <w:kern w:val="2"/>
                <w:sz w:val="21"/>
                <w:szCs w:val="21"/>
              </w:rPr>
              <w:t>A</w:t>
            </w:r>
            <w:r>
              <w:rPr>
                <w:rFonts w:ascii="Times New Roman" w:hAnsi="宋体" w:cs="Times New Roman"/>
                <w:kern w:val="2"/>
                <w:sz w:val="21"/>
                <w:szCs w:val="21"/>
              </w:rPr>
              <w:t>））</w:t>
            </w:r>
          </w:p>
        </w:tc>
        <w:tc>
          <w:tcPr>
            <w:tcW w:w="145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声源高度（</w:t>
            </w:r>
            <w:r>
              <w:rPr>
                <w:rFonts w:ascii="Times New Roman" w:cs="Times New Roman"/>
                <w:kern w:val="2"/>
                <w:sz w:val="21"/>
                <w:szCs w:val="21"/>
              </w:rPr>
              <w:t>m</w:t>
            </w:r>
            <w:r>
              <w:rPr>
                <w:rFonts w:ascii="Times New Roman" w:hAnsi="宋体" w:cs="Times New Roman"/>
                <w:kern w:val="2"/>
                <w:sz w:val="21"/>
                <w:szCs w:val="21"/>
              </w:rPr>
              <w:t>）</w:t>
            </w:r>
          </w:p>
        </w:tc>
        <w:tc>
          <w:tcPr>
            <w:tcW w:w="151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降噪措施</w:t>
            </w:r>
          </w:p>
        </w:tc>
        <w:tc>
          <w:tcPr>
            <w:tcW w:w="118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降噪后声级</w:t>
            </w:r>
          </w:p>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w:t>
            </w:r>
            <w:r>
              <w:rPr>
                <w:rFonts w:ascii="Times New Roman" w:cs="Times New Roman"/>
                <w:kern w:val="2"/>
                <w:sz w:val="21"/>
                <w:szCs w:val="21"/>
              </w:rPr>
              <w:t>dB</w:t>
            </w:r>
            <w:r>
              <w:rPr>
                <w:rFonts w:ascii="Times New Roman" w:hAnsi="宋体" w:cs="Times New Roman"/>
                <w:kern w:val="2"/>
                <w:sz w:val="21"/>
                <w:szCs w:val="21"/>
              </w:rPr>
              <w:t>（</w:t>
            </w:r>
            <w:r>
              <w:rPr>
                <w:rFonts w:ascii="Times New Roman" w:cs="Times New Roman"/>
                <w:kern w:val="2"/>
                <w:sz w:val="21"/>
                <w:szCs w:val="21"/>
              </w:rPr>
              <w:t>A</w:t>
            </w:r>
            <w:r>
              <w:rPr>
                <w:rFonts w:ascii="Times New Roman" w:hAnsi="宋体" w:cs="Times New Roman"/>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3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95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钻机</w:t>
            </w:r>
          </w:p>
        </w:tc>
        <w:tc>
          <w:tcPr>
            <w:tcW w:w="130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137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85</w:t>
            </w:r>
            <w:r>
              <w:rPr>
                <w:rFonts w:ascii="Times New Roman" w:hAnsi="宋体" w:cs="Times New Roman"/>
                <w:kern w:val="2"/>
                <w:sz w:val="21"/>
                <w:szCs w:val="21"/>
              </w:rPr>
              <w:t>～</w:t>
            </w:r>
            <w:r>
              <w:rPr>
                <w:rFonts w:ascii="Times New Roman" w:cs="Times New Roman"/>
                <w:kern w:val="2"/>
                <w:sz w:val="21"/>
                <w:szCs w:val="21"/>
              </w:rPr>
              <w:t>95</w:t>
            </w:r>
          </w:p>
        </w:tc>
        <w:tc>
          <w:tcPr>
            <w:tcW w:w="145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151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c>
          <w:tcPr>
            <w:tcW w:w="118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85</w:t>
            </w:r>
            <w:r>
              <w:rPr>
                <w:rFonts w:ascii="Times New Roman" w:hAnsi="宋体" w:cs="Times New Roman"/>
                <w:kern w:val="2"/>
                <w:sz w:val="21"/>
                <w:szCs w:val="21"/>
              </w:rPr>
              <w:t>～</w:t>
            </w:r>
            <w:r>
              <w:rPr>
                <w:rFonts w:ascii="Times New Roman" w:cs="Times New Roman"/>
                <w:kern w:val="2"/>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3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95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空压机</w:t>
            </w:r>
          </w:p>
        </w:tc>
        <w:tc>
          <w:tcPr>
            <w:tcW w:w="130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w:t>
            </w:r>
            <w:r>
              <w:rPr>
                <w:rFonts w:ascii="Times New Roman" w:hAnsi="宋体" w:cs="Times New Roman"/>
                <w:kern w:val="2"/>
                <w:sz w:val="21"/>
                <w:szCs w:val="21"/>
              </w:rPr>
              <w:t>（</w:t>
            </w:r>
            <w:r>
              <w:rPr>
                <w:rFonts w:ascii="Times New Roman" w:cs="Times New Roman"/>
                <w:kern w:val="2"/>
                <w:sz w:val="21"/>
                <w:szCs w:val="21"/>
              </w:rPr>
              <w:t>6</w:t>
            </w:r>
            <w:r>
              <w:rPr>
                <w:rFonts w:ascii="Times New Roman" w:hAnsi="宋体" w:cs="Times New Roman"/>
                <w:kern w:val="2"/>
                <w:sz w:val="21"/>
                <w:szCs w:val="21"/>
              </w:rPr>
              <w:t>用</w:t>
            </w:r>
            <w:r>
              <w:rPr>
                <w:rFonts w:ascii="Times New Roman" w:cs="Times New Roman"/>
                <w:kern w:val="2"/>
                <w:sz w:val="21"/>
                <w:szCs w:val="21"/>
              </w:rPr>
              <w:t>2</w:t>
            </w:r>
            <w:r>
              <w:rPr>
                <w:rFonts w:ascii="Times New Roman" w:hAnsi="宋体" w:cs="Times New Roman"/>
                <w:kern w:val="2"/>
                <w:sz w:val="21"/>
                <w:szCs w:val="21"/>
              </w:rPr>
              <w:t>备）</w:t>
            </w:r>
          </w:p>
        </w:tc>
        <w:tc>
          <w:tcPr>
            <w:tcW w:w="137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90</w:t>
            </w:r>
            <w:r>
              <w:rPr>
                <w:rFonts w:ascii="Times New Roman" w:hAnsi="宋体" w:cs="Times New Roman"/>
                <w:kern w:val="2"/>
                <w:sz w:val="21"/>
                <w:szCs w:val="21"/>
              </w:rPr>
              <w:t>～</w:t>
            </w:r>
            <w:r>
              <w:rPr>
                <w:rFonts w:ascii="Times New Roman" w:cs="Times New Roman"/>
                <w:kern w:val="2"/>
                <w:sz w:val="21"/>
                <w:szCs w:val="21"/>
              </w:rPr>
              <w:t>95</w:t>
            </w:r>
          </w:p>
        </w:tc>
        <w:tc>
          <w:tcPr>
            <w:tcW w:w="145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151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加衬弹性垫料</w:t>
            </w:r>
          </w:p>
        </w:tc>
        <w:tc>
          <w:tcPr>
            <w:tcW w:w="118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85</w:t>
            </w:r>
            <w:r>
              <w:rPr>
                <w:rFonts w:ascii="Times New Roman" w:hAnsi="宋体" w:cs="Times New Roman"/>
                <w:kern w:val="2"/>
                <w:sz w:val="21"/>
                <w:szCs w:val="21"/>
              </w:rPr>
              <w:t>～</w:t>
            </w:r>
            <w:r>
              <w:rPr>
                <w:rFonts w:ascii="Times New Roman" w:cs="Times New Roman"/>
                <w:kern w:val="2"/>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3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95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增压机</w:t>
            </w:r>
          </w:p>
        </w:tc>
        <w:tc>
          <w:tcPr>
            <w:tcW w:w="130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w:t>
            </w:r>
          </w:p>
        </w:tc>
        <w:tc>
          <w:tcPr>
            <w:tcW w:w="137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90</w:t>
            </w:r>
            <w:r>
              <w:rPr>
                <w:rFonts w:ascii="Times New Roman" w:hAnsi="宋体" w:cs="Times New Roman"/>
                <w:kern w:val="2"/>
                <w:sz w:val="21"/>
                <w:szCs w:val="21"/>
              </w:rPr>
              <w:t>～</w:t>
            </w:r>
            <w:r>
              <w:rPr>
                <w:rFonts w:ascii="Times New Roman" w:cs="Times New Roman"/>
                <w:kern w:val="2"/>
                <w:sz w:val="21"/>
                <w:szCs w:val="21"/>
              </w:rPr>
              <w:t>95</w:t>
            </w:r>
          </w:p>
        </w:tc>
        <w:tc>
          <w:tcPr>
            <w:tcW w:w="145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151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加衬弹性垫料</w:t>
            </w:r>
          </w:p>
        </w:tc>
        <w:tc>
          <w:tcPr>
            <w:tcW w:w="1189"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85</w:t>
            </w:r>
            <w:r>
              <w:rPr>
                <w:rFonts w:ascii="Times New Roman" w:hAnsi="宋体" w:cs="Times New Roman"/>
                <w:kern w:val="2"/>
                <w:sz w:val="21"/>
                <w:szCs w:val="21"/>
              </w:rPr>
              <w:t>～</w:t>
            </w:r>
            <w:r>
              <w:rPr>
                <w:rFonts w:ascii="Times New Roman" w:cs="Times New Roman"/>
                <w:kern w:val="2"/>
                <w:sz w:val="21"/>
                <w:szCs w:val="21"/>
              </w:rPr>
              <w:t>90</w:t>
            </w:r>
          </w:p>
        </w:tc>
      </w:tr>
    </w:tbl>
    <w:p>
      <w:pPr>
        <w:topLinePunct w:val="0"/>
        <w:snapToGrid w:val="0"/>
        <w:spacing w:line="331" w:lineRule="auto"/>
        <w:ind w:firstLine="476" w:firstLineChars="0"/>
        <w:rPr>
          <w:rFonts w:ascii="Times New Roman" w:cs="Times New Roman"/>
          <w:kern w:val="2"/>
        </w:rPr>
      </w:pPr>
      <w:r>
        <w:rPr>
          <w:rFonts w:ascii="Times New Roman" w:hAnsi="宋体" w:cs="Times New Roman"/>
          <w:kern w:val="2"/>
        </w:rPr>
        <w:t>②预测结果</w:t>
      </w:r>
    </w:p>
    <w:p>
      <w:pPr>
        <w:widowControl/>
        <w:topLinePunct w:val="0"/>
        <w:snapToGrid w:val="0"/>
        <w:spacing w:line="331" w:lineRule="auto"/>
        <w:ind w:firstLine="480"/>
        <w:rPr>
          <w:rFonts w:ascii="Times New Roman" w:cs="Times New Roman"/>
          <w:kern w:val="2"/>
        </w:rPr>
      </w:pPr>
      <w:r>
        <w:rPr>
          <w:rFonts w:ascii="Times New Roman" w:hAnsi="宋体" w:cs="Times New Roman"/>
          <w:kern w:val="2"/>
        </w:rPr>
        <w:t>井场四周环境噪声预测结果见表</w:t>
      </w:r>
      <w:r>
        <w:rPr>
          <w:rFonts w:ascii="Times New Roman" w:cs="Times New Roman"/>
        </w:rPr>
        <w:t>6.</w:t>
      </w:r>
      <w:r>
        <w:rPr>
          <w:rFonts w:hint="eastAsia" w:ascii="Times New Roman" w:cs="Times New Roman"/>
        </w:rPr>
        <w:t>1</w:t>
      </w:r>
      <w:r>
        <w:rPr>
          <w:rFonts w:ascii="Times New Roman" w:cs="Times New Roman"/>
        </w:rPr>
        <w:t>-</w:t>
      </w:r>
      <w:r>
        <w:rPr>
          <w:rFonts w:hint="eastAsia" w:ascii="Times New Roman" w:cs="Times New Roman"/>
        </w:rPr>
        <w:t>7</w:t>
      </w:r>
      <w:r>
        <w:rPr>
          <w:rFonts w:ascii="Times New Roman" w:hAnsi="宋体" w:cs="Times New Roman"/>
          <w:kern w:val="2"/>
        </w:rPr>
        <w:t>。</w:t>
      </w:r>
    </w:p>
    <w:p>
      <w:pPr>
        <w:topLinePunct w:val="0"/>
        <w:adjustRightInd/>
        <w:spacing w:line="240" w:lineRule="auto"/>
        <w:ind w:firstLine="0" w:firstLineChars="0"/>
        <w:jc w:val="center"/>
        <w:rPr>
          <w:rFonts w:ascii="Times New Roman" w:cs="Times New Roman"/>
          <w:bCs/>
          <w:kern w:val="2"/>
          <w:sz w:val="21"/>
        </w:rPr>
      </w:pPr>
      <w:r>
        <w:rPr>
          <w:rFonts w:ascii="Times New Roman" w:cs="Times New Roman"/>
          <w:bCs/>
          <w:kern w:val="2"/>
          <w:sz w:val="21"/>
        </w:rPr>
        <w:t>表6.</w:t>
      </w:r>
      <w:r>
        <w:rPr>
          <w:rFonts w:hint="eastAsia" w:ascii="Times New Roman" w:cs="Times New Roman"/>
          <w:bCs/>
          <w:kern w:val="2"/>
          <w:sz w:val="21"/>
        </w:rPr>
        <w:t>1</w:t>
      </w:r>
      <w:r>
        <w:rPr>
          <w:rFonts w:ascii="Times New Roman" w:cs="Times New Roman"/>
          <w:bCs/>
          <w:kern w:val="2"/>
          <w:sz w:val="21"/>
        </w:rPr>
        <w:t>-</w:t>
      </w:r>
      <w:r>
        <w:rPr>
          <w:rFonts w:hint="eastAsia" w:ascii="Times New Roman" w:cs="Times New Roman"/>
          <w:bCs/>
          <w:kern w:val="2"/>
          <w:sz w:val="21"/>
        </w:rPr>
        <w:t>7</w:t>
      </w:r>
      <w:r>
        <w:rPr>
          <w:rFonts w:ascii="Times New Roman" w:cs="Times New Roman"/>
          <w:bCs/>
          <w:kern w:val="2"/>
          <w:sz w:val="21"/>
        </w:rPr>
        <w:t xml:space="preserve">  </w:t>
      </w:r>
      <w:r>
        <w:rPr>
          <w:rFonts w:ascii="Times New Roman" w:cs="Times New Roman"/>
          <w:kern w:val="2"/>
          <w:sz w:val="21"/>
        </w:rPr>
        <w:t>钻井工程噪声预测（气体钻）</w:t>
      </w:r>
      <w:r>
        <w:rPr>
          <w:rFonts w:ascii="Times New Roman" w:cs="Times New Roman"/>
          <w:bCs/>
          <w:kern w:val="2"/>
          <w:sz w:val="21"/>
        </w:rPr>
        <w:t xml:space="preserve">    单位：dB(A)</w:t>
      </w:r>
    </w:p>
    <w:tbl>
      <w:tblPr>
        <w:tblStyle w:val="57"/>
        <w:tblW w:w="816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93"/>
        <w:gridCol w:w="1322"/>
        <w:gridCol w:w="1096"/>
        <w:gridCol w:w="1194"/>
        <w:gridCol w:w="1187"/>
        <w:gridCol w:w="1078"/>
        <w:gridCol w:w="129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993" w:type="dxa"/>
            <w:vMerge w:val="restart"/>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噪声源</w:t>
            </w:r>
          </w:p>
        </w:tc>
        <w:tc>
          <w:tcPr>
            <w:tcW w:w="1322" w:type="dxa"/>
            <w:vMerge w:val="restart"/>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源强（采取各种措施衰减后）</w:t>
            </w:r>
          </w:p>
        </w:tc>
        <w:tc>
          <w:tcPr>
            <w:tcW w:w="4555" w:type="dxa"/>
            <w:gridSpan w:val="4"/>
            <w:tcBorders>
              <w:bottom w:val="single" w:color="auto" w:sz="4" w:space="0"/>
            </w:tcBorders>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在各厂界噪声贡献值</w:t>
            </w:r>
          </w:p>
        </w:tc>
        <w:tc>
          <w:tcPr>
            <w:tcW w:w="1299" w:type="dxa"/>
            <w:vMerge w:val="restart"/>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达标情况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3" w:hRule="atLeast"/>
          <w:jc w:val="center"/>
        </w:trPr>
        <w:tc>
          <w:tcPr>
            <w:tcW w:w="993"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rPr>
            </w:pPr>
          </w:p>
        </w:tc>
        <w:tc>
          <w:tcPr>
            <w:tcW w:w="1322"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rPr>
            </w:pPr>
          </w:p>
        </w:tc>
        <w:tc>
          <w:tcPr>
            <w:tcW w:w="1096" w:type="dxa"/>
            <w:tcBorders>
              <w:top w:val="single" w:color="auto" w:sz="4" w:space="0"/>
            </w:tcBorders>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东厂界</w:t>
            </w:r>
          </w:p>
        </w:tc>
        <w:tc>
          <w:tcPr>
            <w:tcW w:w="1194" w:type="dxa"/>
            <w:tcBorders>
              <w:top w:val="single" w:color="auto" w:sz="4" w:space="0"/>
            </w:tcBorders>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南厂界</w:t>
            </w:r>
          </w:p>
        </w:tc>
        <w:tc>
          <w:tcPr>
            <w:tcW w:w="1187" w:type="dxa"/>
            <w:tcBorders>
              <w:top w:val="single" w:color="auto" w:sz="4" w:space="0"/>
            </w:tcBorders>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西厂界</w:t>
            </w:r>
          </w:p>
        </w:tc>
        <w:tc>
          <w:tcPr>
            <w:tcW w:w="1078" w:type="dxa"/>
            <w:tcBorders>
              <w:top w:val="single" w:color="auto" w:sz="4" w:space="0"/>
            </w:tcBorders>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北厂界</w:t>
            </w:r>
          </w:p>
        </w:tc>
        <w:tc>
          <w:tcPr>
            <w:tcW w:w="1299"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9" w:hRule="atLeast"/>
          <w:jc w:val="center"/>
        </w:trPr>
        <w:tc>
          <w:tcPr>
            <w:tcW w:w="993"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钻机</w:t>
            </w:r>
          </w:p>
        </w:tc>
        <w:tc>
          <w:tcPr>
            <w:tcW w:w="1322"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85</w:t>
            </w:r>
            <w:r>
              <w:rPr>
                <w:rFonts w:ascii="Times New Roman" w:hAnsi="宋体" w:cs="Times New Roman"/>
                <w:kern w:val="2"/>
                <w:sz w:val="21"/>
                <w:szCs w:val="21"/>
              </w:rPr>
              <w:t>～</w:t>
            </w:r>
            <w:r>
              <w:rPr>
                <w:rFonts w:ascii="Times New Roman" w:cs="Times New Roman"/>
                <w:kern w:val="2"/>
                <w:sz w:val="21"/>
                <w:szCs w:val="21"/>
              </w:rPr>
              <w:t>95</w:t>
            </w:r>
          </w:p>
        </w:tc>
        <w:tc>
          <w:tcPr>
            <w:tcW w:w="1096"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64.1</w:t>
            </w:r>
          </w:p>
        </w:tc>
        <w:tc>
          <w:tcPr>
            <w:tcW w:w="1194"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58.9</w:t>
            </w:r>
          </w:p>
        </w:tc>
        <w:tc>
          <w:tcPr>
            <w:tcW w:w="1187"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64.3</w:t>
            </w:r>
          </w:p>
        </w:tc>
        <w:tc>
          <w:tcPr>
            <w:tcW w:w="1078"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63.3</w:t>
            </w:r>
          </w:p>
        </w:tc>
        <w:tc>
          <w:tcPr>
            <w:tcW w:w="1299" w:type="dxa"/>
            <w:vMerge w:val="restart"/>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昼间达标，夜间超标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6" w:hRule="atLeast"/>
          <w:jc w:val="center"/>
        </w:trPr>
        <w:tc>
          <w:tcPr>
            <w:tcW w:w="993"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空压机</w:t>
            </w:r>
          </w:p>
        </w:tc>
        <w:tc>
          <w:tcPr>
            <w:tcW w:w="1322"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85</w:t>
            </w:r>
            <w:r>
              <w:rPr>
                <w:rFonts w:ascii="Times New Roman" w:hAnsi="宋体" w:cs="Times New Roman"/>
                <w:kern w:val="2"/>
                <w:sz w:val="21"/>
                <w:szCs w:val="21"/>
              </w:rPr>
              <w:t>～</w:t>
            </w:r>
            <w:r>
              <w:rPr>
                <w:rFonts w:ascii="Times New Roman" w:cs="Times New Roman"/>
                <w:kern w:val="2"/>
                <w:sz w:val="21"/>
                <w:szCs w:val="21"/>
              </w:rPr>
              <w:t>90</w:t>
            </w:r>
          </w:p>
        </w:tc>
        <w:tc>
          <w:tcPr>
            <w:tcW w:w="1096"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64.5</w:t>
            </w:r>
          </w:p>
        </w:tc>
        <w:tc>
          <w:tcPr>
            <w:tcW w:w="1194"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55.8</w:t>
            </w:r>
          </w:p>
        </w:tc>
        <w:tc>
          <w:tcPr>
            <w:tcW w:w="1187"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58.2</w:t>
            </w:r>
          </w:p>
        </w:tc>
        <w:tc>
          <w:tcPr>
            <w:tcW w:w="1078"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54.7</w:t>
            </w:r>
          </w:p>
        </w:tc>
        <w:tc>
          <w:tcPr>
            <w:tcW w:w="1299"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9" w:hRule="atLeast"/>
          <w:jc w:val="center"/>
        </w:trPr>
        <w:tc>
          <w:tcPr>
            <w:tcW w:w="993"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增压机</w:t>
            </w:r>
          </w:p>
        </w:tc>
        <w:tc>
          <w:tcPr>
            <w:tcW w:w="1322"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85</w:t>
            </w:r>
            <w:r>
              <w:rPr>
                <w:rFonts w:ascii="Times New Roman" w:hAnsi="宋体" w:cs="Times New Roman"/>
                <w:kern w:val="2"/>
                <w:sz w:val="21"/>
                <w:szCs w:val="21"/>
              </w:rPr>
              <w:t>～</w:t>
            </w:r>
            <w:r>
              <w:rPr>
                <w:rFonts w:ascii="Times New Roman" w:cs="Times New Roman"/>
                <w:kern w:val="2"/>
                <w:sz w:val="21"/>
                <w:szCs w:val="21"/>
              </w:rPr>
              <w:t>90</w:t>
            </w:r>
          </w:p>
        </w:tc>
        <w:tc>
          <w:tcPr>
            <w:tcW w:w="1096"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54.6</w:t>
            </w:r>
          </w:p>
        </w:tc>
        <w:tc>
          <w:tcPr>
            <w:tcW w:w="1194"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51.4</w:t>
            </w:r>
          </w:p>
        </w:tc>
        <w:tc>
          <w:tcPr>
            <w:tcW w:w="1187"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54.5</w:t>
            </w:r>
          </w:p>
        </w:tc>
        <w:tc>
          <w:tcPr>
            <w:tcW w:w="1078"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50.9</w:t>
            </w:r>
          </w:p>
        </w:tc>
        <w:tc>
          <w:tcPr>
            <w:tcW w:w="1299"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2" w:hRule="atLeast"/>
          <w:jc w:val="center"/>
        </w:trPr>
        <w:tc>
          <w:tcPr>
            <w:tcW w:w="2315" w:type="dxa"/>
            <w:gridSpan w:val="2"/>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叠加值</w:t>
            </w:r>
          </w:p>
        </w:tc>
        <w:tc>
          <w:tcPr>
            <w:tcW w:w="1096"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66.8</w:t>
            </w:r>
          </w:p>
        </w:tc>
        <w:tc>
          <w:tcPr>
            <w:tcW w:w="1194"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60.6</w:t>
            </w:r>
          </w:p>
        </w:tc>
        <w:tc>
          <w:tcPr>
            <w:tcW w:w="1187"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65.6</w:t>
            </w:r>
          </w:p>
        </w:tc>
        <w:tc>
          <w:tcPr>
            <w:tcW w:w="1078"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63.9</w:t>
            </w:r>
          </w:p>
        </w:tc>
        <w:tc>
          <w:tcPr>
            <w:tcW w:w="1299"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rPr>
            </w:pPr>
          </w:p>
        </w:tc>
      </w:tr>
    </w:tbl>
    <w:p>
      <w:pPr>
        <w:widowControl/>
        <w:topLinePunct w:val="0"/>
        <w:snapToGrid w:val="0"/>
        <w:spacing w:line="331" w:lineRule="auto"/>
        <w:ind w:firstLine="480"/>
        <w:rPr>
          <w:rFonts w:ascii="Times New Roman" w:cs="Times New Roman"/>
          <w:kern w:val="2"/>
        </w:rPr>
      </w:pPr>
      <w:r>
        <w:rPr>
          <w:rFonts w:ascii="Times New Roman" w:hAnsi="宋体" w:cs="Times New Roman"/>
          <w:kern w:val="2"/>
        </w:rPr>
        <w:t>预测结果表明：气体钻钻井过程中井场东、南、西、北边界噪声贡献值分别为</w:t>
      </w:r>
      <w:r>
        <w:rPr>
          <w:rFonts w:ascii="Times New Roman" w:cs="Times New Roman"/>
          <w:kern w:val="2"/>
        </w:rPr>
        <w:t>66.8dB</w:t>
      </w:r>
      <w:r>
        <w:rPr>
          <w:rFonts w:ascii="Times New Roman" w:hAnsi="宋体" w:cs="Times New Roman"/>
          <w:kern w:val="2"/>
        </w:rPr>
        <w:t>（</w:t>
      </w:r>
      <w:r>
        <w:rPr>
          <w:rFonts w:ascii="Times New Roman" w:cs="Times New Roman"/>
          <w:kern w:val="2"/>
        </w:rPr>
        <w:t>A</w:t>
      </w:r>
      <w:r>
        <w:rPr>
          <w:rFonts w:ascii="Times New Roman" w:hAnsi="宋体" w:cs="Times New Roman"/>
          <w:kern w:val="2"/>
        </w:rPr>
        <w:t>）、</w:t>
      </w:r>
      <w:r>
        <w:rPr>
          <w:rFonts w:ascii="Times New Roman" w:cs="Times New Roman"/>
          <w:kern w:val="2"/>
        </w:rPr>
        <w:t>60.6dB</w:t>
      </w:r>
      <w:r>
        <w:rPr>
          <w:rFonts w:ascii="Times New Roman" w:hAnsi="宋体" w:cs="Times New Roman"/>
          <w:kern w:val="2"/>
        </w:rPr>
        <w:t>（</w:t>
      </w:r>
      <w:r>
        <w:rPr>
          <w:rFonts w:ascii="Times New Roman" w:cs="Times New Roman"/>
          <w:kern w:val="2"/>
        </w:rPr>
        <w:t>A</w:t>
      </w:r>
      <w:r>
        <w:rPr>
          <w:rFonts w:ascii="Times New Roman" w:hAnsi="宋体" w:cs="Times New Roman"/>
          <w:kern w:val="2"/>
        </w:rPr>
        <w:t>）、</w:t>
      </w:r>
      <w:r>
        <w:rPr>
          <w:rFonts w:ascii="Times New Roman" w:cs="Times New Roman"/>
          <w:kern w:val="2"/>
        </w:rPr>
        <w:t>65.6dB</w:t>
      </w:r>
      <w:r>
        <w:rPr>
          <w:rFonts w:ascii="Times New Roman" w:hAnsi="宋体" w:cs="Times New Roman"/>
          <w:kern w:val="2"/>
        </w:rPr>
        <w:t>（</w:t>
      </w:r>
      <w:r>
        <w:rPr>
          <w:rFonts w:ascii="Times New Roman" w:cs="Times New Roman"/>
          <w:kern w:val="2"/>
        </w:rPr>
        <w:t>A</w:t>
      </w:r>
      <w:r>
        <w:rPr>
          <w:rFonts w:ascii="Times New Roman" w:hAnsi="宋体" w:cs="Times New Roman"/>
          <w:kern w:val="2"/>
        </w:rPr>
        <w:t>）、</w:t>
      </w:r>
      <w:r>
        <w:rPr>
          <w:rFonts w:ascii="Times New Roman" w:cs="Times New Roman"/>
          <w:kern w:val="2"/>
        </w:rPr>
        <w:t>63.9dB</w:t>
      </w:r>
      <w:r>
        <w:rPr>
          <w:rFonts w:ascii="Times New Roman" w:hAnsi="宋体" w:cs="Times New Roman"/>
          <w:kern w:val="2"/>
        </w:rPr>
        <w:t>（</w:t>
      </w:r>
      <w:r>
        <w:rPr>
          <w:rFonts w:ascii="Times New Roman" w:cs="Times New Roman"/>
          <w:kern w:val="2"/>
        </w:rPr>
        <w:t>A</w:t>
      </w:r>
      <w:r>
        <w:rPr>
          <w:rFonts w:ascii="Times New Roman" w:hAnsi="宋体" w:cs="Times New Roman"/>
          <w:kern w:val="2"/>
        </w:rPr>
        <w:t>），昼间可以满足《建筑施工场界环境噪声排放标准》（</w:t>
      </w:r>
      <w:r>
        <w:rPr>
          <w:rFonts w:ascii="Times New Roman" w:cs="Times New Roman"/>
          <w:kern w:val="2"/>
        </w:rPr>
        <w:t>GB 12523-2011</w:t>
      </w:r>
      <w:r>
        <w:rPr>
          <w:rFonts w:ascii="Times New Roman" w:hAnsi="宋体" w:cs="Times New Roman"/>
          <w:kern w:val="2"/>
        </w:rPr>
        <w:t>）（昼间</w:t>
      </w:r>
      <w:r>
        <w:rPr>
          <w:rFonts w:ascii="Times New Roman" w:cs="Times New Roman"/>
          <w:kern w:val="2"/>
        </w:rPr>
        <w:t>70dB</w:t>
      </w:r>
      <w:r>
        <w:rPr>
          <w:rFonts w:ascii="Times New Roman" w:hAnsi="宋体" w:cs="Times New Roman"/>
          <w:kern w:val="2"/>
        </w:rPr>
        <w:t>（</w:t>
      </w:r>
      <w:r>
        <w:rPr>
          <w:rFonts w:ascii="Times New Roman" w:cs="Times New Roman"/>
          <w:kern w:val="2"/>
        </w:rPr>
        <w:t>A</w:t>
      </w:r>
      <w:r>
        <w:rPr>
          <w:rFonts w:ascii="Times New Roman" w:hAnsi="宋体" w:cs="Times New Roman"/>
          <w:kern w:val="2"/>
        </w:rPr>
        <w:t>），夜间</w:t>
      </w:r>
      <w:r>
        <w:rPr>
          <w:rFonts w:ascii="Times New Roman" w:cs="Times New Roman"/>
          <w:kern w:val="2"/>
        </w:rPr>
        <w:t>55dB</w:t>
      </w:r>
      <w:r>
        <w:rPr>
          <w:rFonts w:ascii="Times New Roman" w:hAnsi="宋体" w:cs="Times New Roman"/>
          <w:kern w:val="2"/>
        </w:rPr>
        <w:t>（</w:t>
      </w:r>
      <w:r>
        <w:rPr>
          <w:rFonts w:ascii="Times New Roman" w:cs="Times New Roman"/>
          <w:kern w:val="2"/>
        </w:rPr>
        <w:t>A</w:t>
      </w:r>
      <w:r>
        <w:rPr>
          <w:rFonts w:ascii="Times New Roman" w:hAnsi="宋体" w:cs="Times New Roman"/>
          <w:kern w:val="2"/>
        </w:rPr>
        <w:t>）），夜间无法满足《建筑施工场界环境噪声排放标准》（</w:t>
      </w:r>
      <w:r>
        <w:rPr>
          <w:rFonts w:ascii="Times New Roman" w:cs="Times New Roman"/>
          <w:kern w:val="2"/>
        </w:rPr>
        <w:t>GB 12523-2011</w:t>
      </w:r>
      <w:r>
        <w:rPr>
          <w:rFonts w:ascii="Times New Roman" w:hAnsi="宋体" w:cs="Times New Roman"/>
          <w:kern w:val="2"/>
        </w:rPr>
        <w:t>）（昼间</w:t>
      </w:r>
      <w:r>
        <w:rPr>
          <w:rFonts w:ascii="Times New Roman" w:cs="Times New Roman"/>
          <w:kern w:val="2"/>
        </w:rPr>
        <w:t>70dB</w:t>
      </w:r>
      <w:r>
        <w:rPr>
          <w:rFonts w:ascii="Times New Roman" w:hAnsi="宋体" w:cs="Times New Roman"/>
          <w:kern w:val="2"/>
        </w:rPr>
        <w:t>（</w:t>
      </w:r>
      <w:r>
        <w:rPr>
          <w:rFonts w:ascii="Times New Roman" w:cs="Times New Roman"/>
          <w:kern w:val="2"/>
        </w:rPr>
        <w:t>A</w:t>
      </w:r>
      <w:r>
        <w:rPr>
          <w:rFonts w:ascii="Times New Roman" w:hAnsi="宋体" w:cs="Times New Roman"/>
          <w:kern w:val="2"/>
        </w:rPr>
        <w:t>），夜间</w:t>
      </w:r>
      <w:r>
        <w:rPr>
          <w:rFonts w:ascii="Times New Roman" w:cs="Times New Roman"/>
          <w:kern w:val="2"/>
        </w:rPr>
        <w:t>55dB</w:t>
      </w:r>
      <w:r>
        <w:rPr>
          <w:rFonts w:ascii="Times New Roman" w:hAnsi="宋体" w:cs="Times New Roman"/>
          <w:kern w:val="2"/>
        </w:rPr>
        <w:t>（</w:t>
      </w:r>
      <w:r>
        <w:rPr>
          <w:rFonts w:ascii="Times New Roman" w:cs="Times New Roman"/>
          <w:kern w:val="2"/>
        </w:rPr>
        <w:t>A</w:t>
      </w:r>
      <w:r>
        <w:rPr>
          <w:rFonts w:ascii="Times New Roman" w:hAnsi="宋体" w:cs="Times New Roman"/>
          <w:kern w:val="2"/>
        </w:rPr>
        <w:t>））。</w:t>
      </w:r>
    </w:p>
    <w:p>
      <w:pPr>
        <w:pStyle w:val="112"/>
        <w:ind w:firstLine="480"/>
        <w:rPr>
          <w:kern w:val="2"/>
          <w:szCs w:val="24"/>
        </w:rPr>
      </w:pPr>
      <w:r>
        <w:rPr>
          <w:kern w:val="2"/>
          <w:szCs w:val="24"/>
        </w:rPr>
        <w:t>施工期需采取的降噪措施：项目施工过程中采取合理安排施工时间、选用低噪声设备（采用网电）、加强施工管理和设备维护、控制汽车鸣笛等降噪措施。</w:t>
      </w:r>
    </w:p>
    <w:p>
      <w:pPr>
        <w:topLinePunct w:val="0"/>
        <w:snapToGrid w:val="0"/>
        <w:spacing w:line="331" w:lineRule="auto"/>
        <w:ind w:firstLine="480"/>
        <w:rPr>
          <w:rFonts w:ascii="Times New Roman" w:cs="Times New Roman"/>
          <w:kern w:val="2"/>
        </w:rPr>
      </w:pPr>
      <w:r>
        <w:rPr>
          <w:rFonts w:hint="eastAsia" w:ascii="Times New Roman" w:cs="Times New Roman"/>
          <w:kern w:val="2"/>
        </w:rPr>
        <w:t>3、完井阶段</w:t>
      </w:r>
    </w:p>
    <w:p>
      <w:pPr>
        <w:topLinePunct w:val="0"/>
        <w:snapToGrid w:val="0"/>
        <w:spacing w:line="331" w:lineRule="auto"/>
        <w:ind w:firstLine="480"/>
        <w:rPr>
          <w:rFonts w:ascii="Times New Roman" w:cs="Times New Roman"/>
          <w:kern w:val="2"/>
        </w:rPr>
      </w:pPr>
      <w:r>
        <w:rPr>
          <w:rFonts w:ascii="Times New Roman" w:cs="Times New Roman"/>
          <w:kern w:val="2"/>
        </w:rPr>
        <w:t>1</w:t>
      </w:r>
      <w:r>
        <w:rPr>
          <w:rFonts w:ascii="Times New Roman" w:hAnsi="宋体" w:cs="Times New Roman"/>
          <w:kern w:val="2"/>
        </w:rPr>
        <w:t>）压裂噪声环境影响预测及分析</w:t>
      </w:r>
    </w:p>
    <w:p>
      <w:pPr>
        <w:topLinePunct w:val="0"/>
        <w:snapToGrid w:val="0"/>
        <w:spacing w:line="331" w:lineRule="auto"/>
        <w:ind w:firstLine="476" w:firstLineChars="0"/>
        <w:rPr>
          <w:rFonts w:ascii="Times New Roman" w:cs="Times New Roman"/>
          <w:kern w:val="2"/>
        </w:rPr>
      </w:pPr>
      <w:r>
        <w:rPr>
          <w:rFonts w:ascii="Times New Roman" w:hAnsi="宋体" w:cs="Times New Roman"/>
          <w:kern w:val="2"/>
        </w:rPr>
        <w:t>①噪声源强</w:t>
      </w:r>
    </w:p>
    <w:p>
      <w:pPr>
        <w:widowControl/>
        <w:topLinePunct w:val="0"/>
        <w:snapToGrid w:val="0"/>
        <w:spacing w:line="331" w:lineRule="auto"/>
        <w:ind w:firstLine="480"/>
        <w:rPr>
          <w:rFonts w:ascii="Times New Roman" w:cs="Times New Roman"/>
          <w:kern w:val="2"/>
        </w:rPr>
      </w:pPr>
      <w:r>
        <w:rPr>
          <w:rFonts w:ascii="Times New Roman" w:hAnsi="宋体" w:cs="Times New Roman"/>
          <w:kern w:val="2"/>
        </w:rPr>
        <w:t>压裂作业时产生的噪声主要有压裂泵噪声。主要噪声源的噪声值见表</w:t>
      </w:r>
      <w:r>
        <w:rPr>
          <w:rFonts w:ascii="Times New Roman" w:cs="Times New Roman"/>
        </w:rPr>
        <w:t>6.</w:t>
      </w:r>
      <w:r>
        <w:rPr>
          <w:rFonts w:hint="eastAsia" w:ascii="Times New Roman" w:cs="Times New Roman"/>
        </w:rPr>
        <w:t>1</w:t>
      </w:r>
      <w:r>
        <w:rPr>
          <w:rFonts w:ascii="Times New Roman" w:cs="Times New Roman"/>
        </w:rPr>
        <w:t>-</w:t>
      </w:r>
      <w:r>
        <w:rPr>
          <w:rFonts w:hint="eastAsia" w:ascii="Times New Roman" w:cs="Times New Roman"/>
        </w:rPr>
        <w:t>8</w:t>
      </w:r>
      <w:r>
        <w:rPr>
          <w:rFonts w:ascii="Times New Roman" w:hAnsi="宋体" w:cs="Times New Roman"/>
          <w:kern w:val="2"/>
        </w:rPr>
        <w:t>。</w:t>
      </w:r>
    </w:p>
    <w:p>
      <w:pPr>
        <w:topLinePunct w:val="0"/>
        <w:snapToGrid w:val="0"/>
        <w:spacing w:beforeLines="50"/>
        <w:ind w:firstLine="480" w:firstLineChars="0"/>
        <w:jc w:val="center"/>
        <w:rPr>
          <w:rFonts w:ascii="Times New Roman" w:cs="Times New Roman"/>
          <w:kern w:val="2"/>
          <w:sz w:val="21"/>
          <w:szCs w:val="20"/>
        </w:rPr>
      </w:pPr>
      <w:bookmarkStart w:id="487" w:name="_Ref496288080"/>
      <w:r>
        <w:rPr>
          <w:rFonts w:ascii="Times New Roman" w:cs="Times New Roman"/>
          <w:kern w:val="2"/>
          <w:sz w:val="21"/>
          <w:szCs w:val="20"/>
        </w:rPr>
        <w:t>表6.</w:t>
      </w:r>
      <w:r>
        <w:rPr>
          <w:rFonts w:hint="eastAsia" w:ascii="Times New Roman" w:cs="Times New Roman"/>
          <w:kern w:val="2"/>
          <w:sz w:val="21"/>
          <w:szCs w:val="20"/>
        </w:rPr>
        <w:t>1</w:t>
      </w:r>
      <w:r>
        <w:rPr>
          <w:rFonts w:ascii="Times New Roman" w:cs="Times New Roman"/>
          <w:kern w:val="2"/>
          <w:sz w:val="21"/>
          <w:szCs w:val="20"/>
        </w:rPr>
        <w:t>-</w:t>
      </w:r>
      <w:bookmarkEnd w:id="487"/>
      <w:r>
        <w:rPr>
          <w:rFonts w:hint="eastAsia" w:ascii="Times New Roman" w:cs="Times New Roman"/>
          <w:kern w:val="2"/>
          <w:sz w:val="21"/>
          <w:szCs w:val="20"/>
        </w:rPr>
        <w:t>8</w:t>
      </w:r>
      <w:r>
        <w:rPr>
          <w:rFonts w:ascii="Times New Roman" w:cs="Times New Roman"/>
          <w:kern w:val="2"/>
          <w:sz w:val="21"/>
          <w:szCs w:val="20"/>
        </w:rPr>
        <w:t xml:space="preserve">  压裂作业过程中采取降噪措施后的噪声源强</w:t>
      </w:r>
    </w:p>
    <w:tbl>
      <w:tblPr>
        <w:tblStyle w:val="57"/>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6" w:type="dxa"/>
          <w:bottom w:w="0" w:type="dxa"/>
          <w:right w:w="6" w:type="dxa"/>
        </w:tblCellMar>
      </w:tblPr>
      <w:tblGrid>
        <w:gridCol w:w="1040"/>
        <w:gridCol w:w="1020"/>
        <w:gridCol w:w="1506"/>
        <w:gridCol w:w="1195"/>
        <w:gridCol w:w="1648"/>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6" w:type="dxa"/>
            <w:bottom w:w="0" w:type="dxa"/>
            <w:right w:w="6" w:type="dxa"/>
          </w:tblCellMar>
        </w:tblPrEx>
        <w:trPr>
          <w:trHeight w:val="491" w:hRule="atLeast"/>
          <w:jc w:val="center"/>
        </w:trPr>
        <w:tc>
          <w:tcPr>
            <w:tcW w:w="104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声源名称</w:t>
            </w:r>
          </w:p>
        </w:tc>
        <w:tc>
          <w:tcPr>
            <w:tcW w:w="102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数量（台）</w:t>
            </w:r>
          </w:p>
        </w:tc>
        <w:tc>
          <w:tcPr>
            <w:tcW w:w="150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降噪前声级</w:t>
            </w:r>
          </w:p>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w:t>
            </w:r>
            <w:r>
              <w:rPr>
                <w:rFonts w:ascii="Times New Roman" w:cs="Times New Roman"/>
                <w:kern w:val="2"/>
                <w:sz w:val="21"/>
                <w:szCs w:val="21"/>
              </w:rPr>
              <w:t>dB</w:t>
            </w:r>
            <w:r>
              <w:rPr>
                <w:rFonts w:ascii="Times New Roman" w:hAnsi="宋体" w:cs="Times New Roman"/>
                <w:kern w:val="2"/>
                <w:sz w:val="21"/>
                <w:szCs w:val="21"/>
              </w:rPr>
              <w:t>（</w:t>
            </w:r>
            <w:r>
              <w:rPr>
                <w:rFonts w:ascii="Times New Roman" w:cs="Times New Roman"/>
                <w:kern w:val="2"/>
                <w:sz w:val="21"/>
                <w:szCs w:val="21"/>
              </w:rPr>
              <w:t>A</w:t>
            </w:r>
            <w:r>
              <w:rPr>
                <w:rFonts w:ascii="Times New Roman" w:hAnsi="宋体" w:cs="Times New Roman"/>
                <w:kern w:val="2"/>
                <w:sz w:val="21"/>
                <w:szCs w:val="21"/>
              </w:rPr>
              <w:t>））</w:t>
            </w:r>
          </w:p>
        </w:tc>
        <w:tc>
          <w:tcPr>
            <w:tcW w:w="119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声源高度（</w:t>
            </w:r>
            <w:r>
              <w:rPr>
                <w:rFonts w:ascii="Times New Roman" w:cs="Times New Roman"/>
                <w:kern w:val="2"/>
                <w:sz w:val="21"/>
                <w:szCs w:val="21"/>
              </w:rPr>
              <w:t>m</w:t>
            </w:r>
            <w:r>
              <w:rPr>
                <w:rFonts w:ascii="Times New Roman" w:hAnsi="宋体" w:cs="Times New Roman"/>
                <w:kern w:val="2"/>
                <w:sz w:val="21"/>
                <w:szCs w:val="21"/>
              </w:rPr>
              <w:t>）</w:t>
            </w:r>
          </w:p>
        </w:tc>
        <w:tc>
          <w:tcPr>
            <w:tcW w:w="164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降噪措施</w:t>
            </w:r>
          </w:p>
        </w:tc>
        <w:tc>
          <w:tcPr>
            <w:tcW w:w="180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降噪后声级</w:t>
            </w:r>
          </w:p>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w:t>
            </w:r>
            <w:r>
              <w:rPr>
                <w:rFonts w:ascii="Times New Roman" w:cs="Times New Roman"/>
                <w:kern w:val="2"/>
                <w:sz w:val="21"/>
                <w:szCs w:val="21"/>
              </w:rPr>
              <w:t>dB</w:t>
            </w:r>
            <w:r>
              <w:rPr>
                <w:rFonts w:ascii="Times New Roman" w:hAnsi="宋体" w:cs="Times New Roman"/>
                <w:kern w:val="2"/>
                <w:sz w:val="21"/>
                <w:szCs w:val="21"/>
              </w:rPr>
              <w:t>（</w:t>
            </w:r>
            <w:r>
              <w:rPr>
                <w:rFonts w:ascii="Times New Roman" w:cs="Times New Roman"/>
                <w:kern w:val="2"/>
                <w:sz w:val="21"/>
                <w:szCs w:val="21"/>
              </w:rPr>
              <w:t>A</w:t>
            </w:r>
            <w:r>
              <w:rPr>
                <w:rFonts w:ascii="Times New Roman" w:hAnsi="宋体" w:cs="Times New Roman"/>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6" w:type="dxa"/>
            <w:bottom w:w="0" w:type="dxa"/>
            <w:right w:w="6" w:type="dxa"/>
          </w:tblCellMar>
        </w:tblPrEx>
        <w:trPr>
          <w:trHeight w:val="245" w:hRule="atLeast"/>
          <w:jc w:val="center"/>
        </w:trPr>
        <w:tc>
          <w:tcPr>
            <w:tcW w:w="104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压裂泵</w:t>
            </w:r>
          </w:p>
        </w:tc>
        <w:tc>
          <w:tcPr>
            <w:tcW w:w="102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w:t>
            </w:r>
          </w:p>
        </w:tc>
        <w:tc>
          <w:tcPr>
            <w:tcW w:w="1506"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95</w:t>
            </w:r>
            <w:r>
              <w:rPr>
                <w:rFonts w:ascii="Times New Roman" w:hAnsi="宋体" w:cs="Times New Roman"/>
                <w:kern w:val="2"/>
                <w:sz w:val="21"/>
                <w:szCs w:val="21"/>
              </w:rPr>
              <w:t>～</w:t>
            </w:r>
            <w:r>
              <w:rPr>
                <w:rFonts w:ascii="Times New Roman" w:cs="Times New Roman"/>
                <w:kern w:val="2"/>
                <w:sz w:val="21"/>
                <w:szCs w:val="21"/>
              </w:rPr>
              <w:t>100</w:t>
            </w:r>
          </w:p>
        </w:tc>
        <w:tc>
          <w:tcPr>
            <w:tcW w:w="119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164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加衬弹性垫料</w:t>
            </w:r>
          </w:p>
        </w:tc>
        <w:tc>
          <w:tcPr>
            <w:tcW w:w="1808"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90</w:t>
            </w:r>
            <w:r>
              <w:rPr>
                <w:rFonts w:ascii="Times New Roman" w:hAnsi="宋体" w:cs="Times New Roman"/>
                <w:kern w:val="2"/>
                <w:sz w:val="21"/>
                <w:szCs w:val="21"/>
              </w:rPr>
              <w:t>～</w:t>
            </w:r>
            <w:r>
              <w:rPr>
                <w:rFonts w:ascii="Times New Roman" w:cs="Times New Roman"/>
                <w:kern w:val="2"/>
                <w:sz w:val="21"/>
                <w:szCs w:val="21"/>
              </w:rPr>
              <w:t>95</w:t>
            </w:r>
          </w:p>
        </w:tc>
      </w:tr>
    </w:tbl>
    <w:p>
      <w:pPr>
        <w:topLinePunct w:val="0"/>
        <w:snapToGrid w:val="0"/>
        <w:spacing w:line="331" w:lineRule="auto"/>
        <w:ind w:firstLine="476" w:firstLineChars="0"/>
        <w:rPr>
          <w:rFonts w:ascii="Times New Roman" w:cs="Times New Roman"/>
          <w:kern w:val="2"/>
        </w:rPr>
      </w:pPr>
      <w:r>
        <w:rPr>
          <w:rFonts w:ascii="Times New Roman" w:hAnsi="宋体" w:cs="Times New Roman"/>
          <w:kern w:val="2"/>
        </w:rPr>
        <w:t>②预测结果</w:t>
      </w:r>
    </w:p>
    <w:p>
      <w:pPr>
        <w:widowControl/>
        <w:topLinePunct w:val="0"/>
        <w:snapToGrid w:val="0"/>
        <w:spacing w:line="331" w:lineRule="auto"/>
        <w:ind w:firstLine="480"/>
        <w:rPr>
          <w:rFonts w:ascii="Times New Roman" w:hAnsi="宋体" w:cs="Times New Roman"/>
          <w:kern w:val="2"/>
        </w:rPr>
      </w:pPr>
      <w:r>
        <w:rPr>
          <w:rFonts w:ascii="Times New Roman" w:hAnsi="宋体" w:cs="Times New Roman"/>
          <w:kern w:val="2"/>
        </w:rPr>
        <w:t>压裂作业过程井场边界四周环境噪声预测结果见表</w:t>
      </w:r>
      <w:r>
        <w:rPr>
          <w:rFonts w:ascii="Times New Roman" w:cs="Times New Roman"/>
        </w:rPr>
        <w:t>6.</w:t>
      </w:r>
      <w:r>
        <w:rPr>
          <w:rFonts w:hint="eastAsia" w:ascii="Times New Roman" w:cs="Times New Roman"/>
        </w:rPr>
        <w:t>1</w:t>
      </w:r>
      <w:r>
        <w:rPr>
          <w:rFonts w:ascii="Times New Roman" w:cs="Times New Roman"/>
        </w:rPr>
        <w:t>-</w:t>
      </w:r>
      <w:r>
        <w:rPr>
          <w:rFonts w:hint="eastAsia" w:ascii="Times New Roman" w:cs="Times New Roman"/>
        </w:rPr>
        <w:t>9</w:t>
      </w:r>
      <w:r>
        <w:rPr>
          <w:rFonts w:ascii="Times New Roman" w:hAnsi="宋体" w:cs="Times New Roman"/>
          <w:kern w:val="2"/>
        </w:rPr>
        <w:t>。</w:t>
      </w:r>
    </w:p>
    <w:p>
      <w:pPr>
        <w:topLinePunct w:val="0"/>
        <w:adjustRightInd/>
        <w:spacing w:line="240" w:lineRule="auto"/>
        <w:ind w:firstLine="0" w:firstLineChars="0"/>
        <w:jc w:val="center"/>
        <w:rPr>
          <w:rFonts w:ascii="Times New Roman" w:cs="Times New Roman"/>
          <w:bCs/>
          <w:kern w:val="2"/>
          <w:sz w:val="21"/>
        </w:rPr>
      </w:pPr>
      <w:r>
        <w:rPr>
          <w:rFonts w:ascii="Times New Roman" w:cs="Times New Roman"/>
          <w:bCs/>
          <w:kern w:val="2"/>
          <w:sz w:val="21"/>
        </w:rPr>
        <w:t>表6.</w:t>
      </w:r>
      <w:r>
        <w:rPr>
          <w:rFonts w:hint="eastAsia" w:ascii="Times New Roman" w:cs="Times New Roman"/>
          <w:bCs/>
          <w:kern w:val="2"/>
          <w:sz w:val="21"/>
        </w:rPr>
        <w:t>1</w:t>
      </w:r>
      <w:r>
        <w:rPr>
          <w:rFonts w:ascii="Times New Roman" w:cs="Times New Roman"/>
          <w:bCs/>
          <w:kern w:val="2"/>
          <w:sz w:val="21"/>
        </w:rPr>
        <w:t>-</w:t>
      </w:r>
      <w:r>
        <w:rPr>
          <w:rFonts w:hint="eastAsia" w:ascii="Times New Roman" w:cs="Times New Roman"/>
          <w:bCs/>
          <w:kern w:val="2"/>
          <w:sz w:val="21"/>
        </w:rPr>
        <w:t>9</w:t>
      </w:r>
      <w:r>
        <w:rPr>
          <w:rFonts w:ascii="Times New Roman" w:cs="Times New Roman"/>
          <w:bCs/>
          <w:kern w:val="2"/>
          <w:sz w:val="21"/>
        </w:rPr>
        <w:t xml:space="preserve">  </w:t>
      </w:r>
      <w:r>
        <w:rPr>
          <w:rFonts w:ascii="Times New Roman" w:cs="Times New Roman"/>
          <w:kern w:val="2"/>
          <w:sz w:val="21"/>
        </w:rPr>
        <w:t>压裂作业过程噪声预测</w:t>
      </w:r>
      <w:r>
        <w:rPr>
          <w:rFonts w:ascii="Times New Roman" w:cs="Times New Roman"/>
          <w:bCs/>
          <w:kern w:val="2"/>
          <w:sz w:val="21"/>
        </w:rPr>
        <w:t xml:space="preserve">    单位：dB</w:t>
      </w:r>
      <w:r>
        <w:rPr>
          <w:rFonts w:hint="eastAsia" w:ascii="Times New Roman" w:cs="Times New Roman"/>
          <w:bCs/>
          <w:kern w:val="2"/>
          <w:sz w:val="21"/>
        </w:rPr>
        <w:t>（</w:t>
      </w:r>
      <w:r>
        <w:rPr>
          <w:rFonts w:ascii="Times New Roman" w:cs="Times New Roman"/>
          <w:bCs/>
          <w:kern w:val="2"/>
          <w:sz w:val="21"/>
        </w:rPr>
        <w:t>A</w:t>
      </w:r>
      <w:r>
        <w:rPr>
          <w:rFonts w:hint="eastAsia" w:ascii="Times New Roman" w:cs="Times New Roman"/>
          <w:bCs/>
          <w:kern w:val="2"/>
          <w:sz w:val="21"/>
        </w:rPr>
        <w:t>）</w:t>
      </w:r>
    </w:p>
    <w:tbl>
      <w:tblPr>
        <w:tblStyle w:val="57"/>
        <w:tblW w:w="826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55"/>
        <w:gridCol w:w="1498"/>
        <w:gridCol w:w="1088"/>
        <w:gridCol w:w="1185"/>
        <w:gridCol w:w="1178"/>
        <w:gridCol w:w="1071"/>
        <w:gridCol w:w="129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955" w:type="dxa"/>
            <w:vMerge w:val="restart"/>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噪声源</w:t>
            </w:r>
          </w:p>
        </w:tc>
        <w:tc>
          <w:tcPr>
            <w:tcW w:w="1498" w:type="dxa"/>
            <w:vMerge w:val="restart"/>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源强（采取各种措施衰减后）</w:t>
            </w:r>
          </w:p>
        </w:tc>
        <w:tc>
          <w:tcPr>
            <w:tcW w:w="4522" w:type="dxa"/>
            <w:gridSpan w:val="4"/>
            <w:tcBorders>
              <w:bottom w:val="single" w:color="auto" w:sz="4" w:space="0"/>
            </w:tcBorders>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在各厂界噪声贡献值</w:t>
            </w:r>
          </w:p>
        </w:tc>
        <w:tc>
          <w:tcPr>
            <w:tcW w:w="1290" w:type="dxa"/>
            <w:vMerge w:val="restart"/>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达标情况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0" w:hRule="atLeast"/>
          <w:jc w:val="center"/>
        </w:trPr>
        <w:tc>
          <w:tcPr>
            <w:tcW w:w="955"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rPr>
            </w:pPr>
          </w:p>
        </w:tc>
        <w:tc>
          <w:tcPr>
            <w:tcW w:w="1498"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rPr>
            </w:pPr>
          </w:p>
        </w:tc>
        <w:tc>
          <w:tcPr>
            <w:tcW w:w="1088" w:type="dxa"/>
            <w:tcBorders>
              <w:top w:val="single" w:color="auto" w:sz="4" w:space="0"/>
            </w:tcBorders>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东厂界</w:t>
            </w:r>
          </w:p>
        </w:tc>
        <w:tc>
          <w:tcPr>
            <w:tcW w:w="1185" w:type="dxa"/>
            <w:tcBorders>
              <w:top w:val="single" w:color="auto" w:sz="4" w:space="0"/>
            </w:tcBorders>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南厂界</w:t>
            </w:r>
          </w:p>
        </w:tc>
        <w:tc>
          <w:tcPr>
            <w:tcW w:w="1178" w:type="dxa"/>
            <w:tcBorders>
              <w:top w:val="single" w:color="auto" w:sz="4" w:space="0"/>
            </w:tcBorders>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西厂界</w:t>
            </w:r>
          </w:p>
        </w:tc>
        <w:tc>
          <w:tcPr>
            <w:tcW w:w="1071" w:type="dxa"/>
            <w:tcBorders>
              <w:top w:val="single" w:color="auto" w:sz="4" w:space="0"/>
            </w:tcBorders>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北厂界</w:t>
            </w:r>
          </w:p>
        </w:tc>
        <w:tc>
          <w:tcPr>
            <w:tcW w:w="1290" w:type="dxa"/>
            <w:vMerge w:val="continue"/>
            <w:shd w:val="clear" w:color="auto" w:fill="auto"/>
            <w:vAlign w:val="center"/>
          </w:tcPr>
          <w:p>
            <w:pPr>
              <w:topLinePunct w:val="0"/>
              <w:adjustRightInd/>
              <w:spacing w:line="240" w:lineRule="auto"/>
              <w:ind w:firstLine="0" w:firstLineChars="0"/>
              <w:jc w:val="center"/>
              <w:rPr>
                <w:rFonts w:ascii="Times New Roman" w:cs="Times New Roman"/>
                <w:kern w:val="2"/>
                <w:sz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55"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压裂泵</w:t>
            </w:r>
          </w:p>
        </w:tc>
        <w:tc>
          <w:tcPr>
            <w:tcW w:w="1498" w:type="dxa"/>
            <w:shd w:val="clear" w:color="auto" w:fill="auto"/>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90</w:t>
            </w:r>
            <w:r>
              <w:rPr>
                <w:rFonts w:ascii="Times New Roman" w:hAnsi="宋体" w:cs="Times New Roman"/>
                <w:kern w:val="2"/>
                <w:sz w:val="21"/>
                <w:szCs w:val="21"/>
              </w:rPr>
              <w:t>～</w:t>
            </w:r>
            <w:r>
              <w:rPr>
                <w:rFonts w:ascii="Times New Roman" w:cs="Times New Roman"/>
                <w:kern w:val="2"/>
                <w:sz w:val="21"/>
                <w:szCs w:val="21"/>
              </w:rPr>
              <w:t>95</w:t>
            </w:r>
          </w:p>
        </w:tc>
        <w:tc>
          <w:tcPr>
            <w:tcW w:w="1088"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64.4</w:t>
            </w:r>
          </w:p>
        </w:tc>
        <w:tc>
          <w:tcPr>
            <w:tcW w:w="1185"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58.5</w:t>
            </w:r>
          </w:p>
        </w:tc>
        <w:tc>
          <w:tcPr>
            <w:tcW w:w="1178"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64.3</w:t>
            </w:r>
          </w:p>
        </w:tc>
        <w:tc>
          <w:tcPr>
            <w:tcW w:w="1071"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63.4</w:t>
            </w:r>
          </w:p>
        </w:tc>
        <w:tc>
          <w:tcPr>
            <w:tcW w:w="1290" w:type="dxa"/>
            <w:shd w:val="clear" w:color="auto" w:fill="auto"/>
            <w:vAlign w:val="center"/>
          </w:tcPr>
          <w:p>
            <w:pPr>
              <w:topLinePunct w:val="0"/>
              <w:adjustRightInd/>
              <w:spacing w:line="240" w:lineRule="auto"/>
              <w:ind w:firstLine="0" w:firstLineChars="0"/>
              <w:jc w:val="center"/>
              <w:rPr>
                <w:rFonts w:ascii="Times New Roman" w:cs="Times New Roman"/>
                <w:kern w:val="2"/>
                <w:sz w:val="21"/>
              </w:rPr>
            </w:pPr>
            <w:r>
              <w:rPr>
                <w:rFonts w:ascii="Times New Roman" w:cs="Times New Roman"/>
                <w:kern w:val="2"/>
                <w:sz w:val="21"/>
              </w:rPr>
              <w:t>昼间达标，夜间超标</w:t>
            </w:r>
          </w:p>
        </w:tc>
      </w:tr>
    </w:tbl>
    <w:p>
      <w:pPr>
        <w:widowControl/>
        <w:topLinePunct w:val="0"/>
        <w:snapToGrid w:val="0"/>
        <w:spacing w:line="331" w:lineRule="auto"/>
        <w:ind w:firstLine="480"/>
        <w:rPr>
          <w:rFonts w:ascii="Times New Roman" w:cs="Times New Roman"/>
          <w:kern w:val="2"/>
        </w:rPr>
      </w:pPr>
      <w:r>
        <w:rPr>
          <w:rFonts w:ascii="Times New Roman" w:hAnsi="宋体" w:cs="Times New Roman"/>
          <w:kern w:val="2"/>
        </w:rPr>
        <w:t>预测结果表明：压裂作业过程中井场东、南、西、北边界噪声贡献值分别为</w:t>
      </w:r>
      <w:r>
        <w:rPr>
          <w:rFonts w:ascii="Times New Roman" w:cs="Times New Roman"/>
          <w:kern w:val="2"/>
        </w:rPr>
        <w:t>64. 4dB</w:t>
      </w:r>
      <w:r>
        <w:rPr>
          <w:rFonts w:ascii="Times New Roman" w:hAnsi="宋体" w:cs="Times New Roman"/>
          <w:kern w:val="2"/>
        </w:rPr>
        <w:t>（</w:t>
      </w:r>
      <w:r>
        <w:rPr>
          <w:rFonts w:ascii="Times New Roman" w:cs="Times New Roman"/>
          <w:kern w:val="2"/>
        </w:rPr>
        <w:t>A</w:t>
      </w:r>
      <w:r>
        <w:rPr>
          <w:rFonts w:ascii="Times New Roman" w:hAnsi="宋体" w:cs="Times New Roman"/>
          <w:kern w:val="2"/>
        </w:rPr>
        <w:t>）、</w:t>
      </w:r>
      <w:r>
        <w:rPr>
          <w:rFonts w:ascii="Times New Roman" w:cs="Times New Roman"/>
          <w:kern w:val="2"/>
        </w:rPr>
        <w:t>58.5dB</w:t>
      </w:r>
      <w:r>
        <w:rPr>
          <w:rFonts w:ascii="Times New Roman" w:hAnsi="宋体" w:cs="Times New Roman"/>
          <w:kern w:val="2"/>
        </w:rPr>
        <w:t>（</w:t>
      </w:r>
      <w:r>
        <w:rPr>
          <w:rFonts w:ascii="Times New Roman" w:cs="Times New Roman"/>
          <w:kern w:val="2"/>
        </w:rPr>
        <w:t>A</w:t>
      </w:r>
      <w:r>
        <w:rPr>
          <w:rFonts w:ascii="Times New Roman" w:hAnsi="宋体" w:cs="Times New Roman"/>
          <w:kern w:val="2"/>
        </w:rPr>
        <w:t>）、</w:t>
      </w:r>
      <w:r>
        <w:rPr>
          <w:rFonts w:ascii="Times New Roman" w:cs="Times New Roman"/>
          <w:kern w:val="2"/>
        </w:rPr>
        <w:t>64.3dB</w:t>
      </w:r>
      <w:r>
        <w:rPr>
          <w:rFonts w:ascii="Times New Roman" w:hAnsi="宋体" w:cs="Times New Roman"/>
          <w:kern w:val="2"/>
        </w:rPr>
        <w:t>（</w:t>
      </w:r>
      <w:r>
        <w:rPr>
          <w:rFonts w:ascii="Times New Roman" w:cs="Times New Roman"/>
          <w:kern w:val="2"/>
        </w:rPr>
        <w:t>A</w:t>
      </w:r>
      <w:r>
        <w:rPr>
          <w:rFonts w:ascii="Times New Roman" w:hAnsi="宋体" w:cs="Times New Roman"/>
          <w:kern w:val="2"/>
        </w:rPr>
        <w:t>）、</w:t>
      </w:r>
      <w:r>
        <w:rPr>
          <w:rFonts w:ascii="Times New Roman" w:cs="Times New Roman"/>
          <w:kern w:val="2"/>
        </w:rPr>
        <w:t>63.4dB</w:t>
      </w:r>
      <w:r>
        <w:rPr>
          <w:rFonts w:ascii="Times New Roman" w:hAnsi="宋体" w:cs="Times New Roman"/>
          <w:kern w:val="2"/>
        </w:rPr>
        <w:t>（</w:t>
      </w:r>
      <w:r>
        <w:rPr>
          <w:rFonts w:ascii="Times New Roman" w:cs="Times New Roman"/>
          <w:kern w:val="2"/>
        </w:rPr>
        <w:t>A</w:t>
      </w:r>
      <w:r>
        <w:rPr>
          <w:rFonts w:ascii="Times New Roman" w:hAnsi="宋体" w:cs="Times New Roman"/>
          <w:kern w:val="2"/>
        </w:rPr>
        <w:t>），昼间可以满足《建筑施工场界环境噪声排放标准》（</w:t>
      </w:r>
      <w:r>
        <w:rPr>
          <w:rFonts w:ascii="Times New Roman" w:cs="Times New Roman"/>
          <w:kern w:val="2"/>
        </w:rPr>
        <w:t>GB 12523-2011</w:t>
      </w:r>
      <w:r>
        <w:rPr>
          <w:rFonts w:ascii="Times New Roman" w:hAnsi="宋体" w:cs="Times New Roman"/>
          <w:kern w:val="2"/>
        </w:rPr>
        <w:t>）（昼间</w:t>
      </w:r>
      <w:r>
        <w:rPr>
          <w:rFonts w:ascii="Times New Roman" w:cs="Times New Roman"/>
          <w:kern w:val="2"/>
        </w:rPr>
        <w:t>70dB</w:t>
      </w:r>
      <w:r>
        <w:rPr>
          <w:rFonts w:ascii="Times New Roman" w:hAnsi="宋体" w:cs="Times New Roman"/>
          <w:kern w:val="2"/>
        </w:rPr>
        <w:t>（</w:t>
      </w:r>
      <w:r>
        <w:rPr>
          <w:rFonts w:ascii="Times New Roman" w:cs="Times New Roman"/>
          <w:kern w:val="2"/>
        </w:rPr>
        <w:t>A</w:t>
      </w:r>
      <w:r>
        <w:rPr>
          <w:rFonts w:ascii="Times New Roman" w:hAnsi="宋体" w:cs="Times New Roman"/>
          <w:kern w:val="2"/>
        </w:rPr>
        <w:t>）），夜间无法满足《建筑施工场界环境噪声排放标准》（</w:t>
      </w:r>
      <w:r>
        <w:rPr>
          <w:rFonts w:ascii="Times New Roman" w:cs="Times New Roman"/>
          <w:kern w:val="2"/>
        </w:rPr>
        <w:t>GB 12523-2011</w:t>
      </w:r>
      <w:r>
        <w:rPr>
          <w:rFonts w:ascii="Times New Roman" w:hAnsi="宋体" w:cs="Times New Roman"/>
          <w:kern w:val="2"/>
        </w:rPr>
        <w:t>）（夜间</w:t>
      </w:r>
      <w:r>
        <w:rPr>
          <w:rFonts w:ascii="Times New Roman" w:cs="Times New Roman"/>
          <w:kern w:val="2"/>
        </w:rPr>
        <w:t>55dB</w:t>
      </w:r>
      <w:r>
        <w:rPr>
          <w:rFonts w:ascii="Times New Roman" w:hAnsi="宋体" w:cs="Times New Roman"/>
          <w:kern w:val="2"/>
        </w:rPr>
        <w:t>（</w:t>
      </w:r>
      <w:r>
        <w:rPr>
          <w:rFonts w:ascii="Times New Roman" w:cs="Times New Roman"/>
          <w:kern w:val="2"/>
        </w:rPr>
        <w:t>A</w:t>
      </w:r>
      <w:r>
        <w:rPr>
          <w:rFonts w:ascii="Times New Roman" w:hAnsi="宋体" w:cs="Times New Roman"/>
          <w:kern w:val="2"/>
        </w:rPr>
        <w:t>））。尽可能将压裂作业安排在昼间，减少夜间施工对周围声环境的影响。</w:t>
      </w:r>
    </w:p>
    <w:p>
      <w:pPr>
        <w:widowControl/>
        <w:topLinePunct w:val="0"/>
        <w:snapToGrid w:val="0"/>
        <w:spacing w:line="331" w:lineRule="auto"/>
        <w:ind w:firstLine="480"/>
        <w:rPr>
          <w:rFonts w:ascii="Times New Roman" w:cs="Times New Roman"/>
          <w:kern w:val="2"/>
        </w:rPr>
      </w:pPr>
      <w:r>
        <w:rPr>
          <w:rFonts w:ascii="Times New Roman" w:cs="Times New Roman"/>
          <w:kern w:val="2"/>
        </w:rPr>
        <w:t>2</w:t>
      </w:r>
      <w:r>
        <w:rPr>
          <w:rFonts w:ascii="Times New Roman" w:hAnsi="宋体" w:cs="Times New Roman"/>
          <w:kern w:val="2"/>
        </w:rPr>
        <w:t>）测试放喷噪声环境影响预测及分析</w:t>
      </w:r>
    </w:p>
    <w:p>
      <w:pPr>
        <w:topLinePunct w:val="0"/>
        <w:snapToGrid w:val="0"/>
        <w:spacing w:line="331" w:lineRule="auto"/>
        <w:ind w:firstLine="476" w:firstLineChars="0"/>
        <w:rPr>
          <w:rFonts w:ascii="Times New Roman" w:cs="Times New Roman"/>
          <w:kern w:val="2"/>
        </w:rPr>
      </w:pPr>
      <w:r>
        <w:rPr>
          <w:rFonts w:ascii="Times New Roman" w:hAnsi="宋体" w:cs="Times New Roman"/>
          <w:kern w:val="2"/>
        </w:rPr>
        <w:t>①噪声源强</w:t>
      </w:r>
    </w:p>
    <w:p>
      <w:pPr>
        <w:widowControl/>
        <w:topLinePunct w:val="0"/>
        <w:snapToGrid w:val="0"/>
        <w:spacing w:line="331" w:lineRule="auto"/>
        <w:ind w:firstLine="480"/>
        <w:rPr>
          <w:rFonts w:ascii="Times New Roman" w:hAnsi="宋体" w:cs="Times New Roman"/>
          <w:kern w:val="2"/>
        </w:rPr>
      </w:pPr>
      <w:r>
        <w:rPr>
          <w:rFonts w:ascii="Times New Roman" w:hAnsi="宋体" w:cs="Times New Roman"/>
          <w:kern w:val="2"/>
        </w:rPr>
        <w:t>测试放喷时产生的噪声主要有放喷气流噪声。主要噪声源的噪声值见表</w:t>
      </w:r>
      <w:r>
        <w:rPr>
          <w:rFonts w:ascii="Times New Roman" w:cs="Times New Roman"/>
        </w:rPr>
        <w:t>6.</w:t>
      </w:r>
      <w:r>
        <w:rPr>
          <w:rFonts w:hint="eastAsia" w:ascii="Times New Roman" w:cs="Times New Roman"/>
        </w:rPr>
        <w:t>1</w:t>
      </w:r>
      <w:r>
        <w:rPr>
          <w:rFonts w:ascii="Times New Roman" w:cs="Times New Roman"/>
        </w:rPr>
        <w:t>-</w:t>
      </w:r>
      <w:r>
        <w:rPr>
          <w:rFonts w:hint="eastAsia" w:ascii="Times New Roman" w:cs="Times New Roman"/>
        </w:rPr>
        <w:t>10</w:t>
      </w:r>
      <w:r>
        <w:rPr>
          <w:rFonts w:ascii="Times New Roman" w:hAnsi="宋体" w:cs="Times New Roman"/>
          <w:kern w:val="2"/>
        </w:rPr>
        <w:t>。</w:t>
      </w:r>
    </w:p>
    <w:p>
      <w:pPr>
        <w:topLinePunct w:val="0"/>
        <w:snapToGrid w:val="0"/>
        <w:spacing w:beforeLines="50"/>
        <w:ind w:firstLine="480" w:firstLineChars="0"/>
        <w:jc w:val="center"/>
        <w:rPr>
          <w:rFonts w:ascii="Times New Roman" w:cs="Times New Roman"/>
          <w:kern w:val="2"/>
          <w:sz w:val="21"/>
          <w:szCs w:val="20"/>
        </w:rPr>
      </w:pPr>
      <w:bookmarkStart w:id="488" w:name="_Ref496288342"/>
      <w:r>
        <w:rPr>
          <w:rFonts w:ascii="Times New Roman" w:cs="Times New Roman"/>
          <w:kern w:val="2"/>
          <w:sz w:val="21"/>
          <w:szCs w:val="20"/>
        </w:rPr>
        <w:t>表</w:t>
      </w:r>
      <w:bookmarkEnd w:id="488"/>
      <w:r>
        <w:rPr>
          <w:rFonts w:ascii="Times New Roman" w:cs="Times New Roman"/>
          <w:kern w:val="2"/>
          <w:sz w:val="21"/>
          <w:szCs w:val="20"/>
        </w:rPr>
        <w:t>6.</w:t>
      </w:r>
      <w:r>
        <w:rPr>
          <w:rFonts w:hint="eastAsia" w:ascii="Times New Roman" w:cs="Times New Roman"/>
          <w:kern w:val="2"/>
          <w:sz w:val="21"/>
          <w:szCs w:val="20"/>
        </w:rPr>
        <w:t>1</w:t>
      </w:r>
      <w:r>
        <w:rPr>
          <w:rFonts w:ascii="Times New Roman" w:cs="Times New Roman"/>
          <w:kern w:val="2"/>
          <w:sz w:val="21"/>
          <w:szCs w:val="20"/>
        </w:rPr>
        <w:t>-</w:t>
      </w:r>
      <w:r>
        <w:rPr>
          <w:rFonts w:hint="eastAsia" w:ascii="Times New Roman" w:cs="Times New Roman"/>
          <w:kern w:val="2"/>
          <w:sz w:val="21"/>
          <w:szCs w:val="20"/>
        </w:rPr>
        <w:t>10</w:t>
      </w:r>
      <w:r>
        <w:rPr>
          <w:rFonts w:ascii="Times New Roman" w:cs="Times New Roman"/>
          <w:kern w:val="2"/>
          <w:sz w:val="21"/>
          <w:szCs w:val="20"/>
        </w:rPr>
        <w:t xml:space="preserve">  测试放喷时噪声源强</w:t>
      </w:r>
    </w:p>
    <w:tbl>
      <w:tblPr>
        <w:tblStyle w:val="57"/>
        <w:tblW w:w="8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6" w:type="dxa"/>
          <w:bottom w:w="0" w:type="dxa"/>
          <w:right w:w="6" w:type="dxa"/>
        </w:tblCellMar>
      </w:tblPr>
      <w:tblGrid>
        <w:gridCol w:w="704"/>
        <w:gridCol w:w="997"/>
        <w:gridCol w:w="711"/>
        <w:gridCol w:w="1423"/>
        <w:gridCol w:w="1138"/>
        <w:gridCol w:w="1460"/>
        <w:gridCol w:w="1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6" w:type="dxa"/>
            <w:bottom w:w="0" w:type="dxa"/>
            <w:right w:w="6" w:type="dxa"/>
          </w:tblCellMar>
        </w:tblPrEx>
        <w:trPr>
          <w:trHeight w:val="512" w:hRule="atLeast"/>
          <w:jc w:val="center"/>
        </w:trPr>
        <w:tc>
          <w:tcPr>
            <w:tcW w:w="70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序号</w:t>
            </w:r>
          </w:p>
        </w:tc>
        <w:tc>
          <w:tcPr>
            <w:tcW w:w="99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声源名称</w:t>
            </w:r>
          </w:p>
        </w:tc>
        <w:tc>
          <w:tcPr>
            <w:tcW w:w="711"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数量（台）</w:t>
            </w:r>
          </w:p>
        </w:tc>
        <w:tc>
          <w:tcPr>
            <w:tcW w:w="1423"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降噪前声级</w:t>
            </w:r>
          </w:p>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w:t>
            </w:r>
            <w:r>
              <w:rPr>
                <w:rFonts w:ascii="Times New Roman" w:cs="Times New Roman"/>
                <w:kern w:val="2"/>
                <w:sz w:val="21"/>
                <w:szCs w:val="21"/>
              </w:rPr>
              <w:t>dB</w:t>
            </w:r>
            <w:r>
              <w:rPr>
                <w:rFonts w:ascii="Times New Roman" w:hAnsi="宋体" w:cs="Times New Roman"/>
                <w:kern w:val="2"/>
                <w:sz w:val="21"/>
                <w:szCs w:val="21"/>
              </w:rPr>
              <w:t>（</w:t>
            </w:r>
            <w:r>
              <w:rPr>
                <w:rFonts w:ascii="Times New Roman" w:cs="Times New Roman"/>
                <w:kern w:val="2"/>
                <w:sz w:val="21"/>
                <w:szCs w:val="21"/>
              </w:rPr>
              <w:t>A</w:t>
            </w:r>
            <w:r>
              <w:rPr>
                <w:rFonts w:ascii="Times New Roman" w:hAnsi="宋体" w:cs="Times New Roman"/>
                <w:kern w:val="2"/>
                <w:sz w:val="21"/>
                <w:szCs w:val="21"/>
              </w:rPr>
              <w:t>））</w:t>
            </w:r>
          </w:p>
        </w:tc>
        <w:tc>
          <w:tcPr>
            <w:tcW w:w="1138" w:type="dxa"/>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声源高度（</w:t>
            </w:r>
            <w:r>
              <w:rPr>
                <w:rFonts w:ascii="Times New Roman" w:cs="Times New Roman"/>
                <w:kern w:val="2"/>
                <w:sz w:val="21"/>
                <w:szCs w:val="21"/>
              </w:rPr>
              <w:t>m</w:t>
            </w:r>
            <w:r>
              <w:rPr>
                <w:rFonts w:ascii="Times New Roman" w:hAnsi="宋体" w:cs="Times New Roman"/>
                <w:kern w:val="2"/>
                <w:sz w:val="21"/>
                <w:szCs w:val="21"/>
              </w:rPr>
              <w:t>）</w:t>
            </w:r>
          </w:p>
        </w:tc>
        <w:tc>
          <w:tcPr>
            <w:tcW w:w="1460" w:type="dxa"/>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降噪措施</w:t>
            </w:r>
          </w:p>
        </w:tc>
        <w:tc>
          <w:tcPr>
            <w:tcW w:w="1791" w:type="dxa"/>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降噪后声级</w:t>
            </w:r>
          </w:p>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w:t>
            </w:r>
            <w:r>
              <w:rPr>
                <w:rFonts w:ascii="Times New Roman" w:cs="Times New Roman"/>
                <w:kern w:val="2"/>
                <w:sz w:val="21"/>
                <w:szCs w:val="21"/>
              </w:rPr>
              <w:t>dB</w:t>
            </w:r>
            <w:r>
              <w:rPr>
                <w:rFonts w:ascii="Times New Roman" w:hAnsi="宋体" w:cs="Times New Roman"/>
                <w:kern w:val="2"/>
                <w:sz w:val="21"/>
                <w:szCs w:val="21"/>
              </w:rPr>
              <w:t>（</w:t>
            </w:r>
            <w:r>
              <w:rPr>
                <w:rFonts w:ascii="Times New Roman" w:cs="Times New Roman"/>
                <w:kern w:val="2"/>
                <w:sz w:val="21"/>
                <w:szCs w:val="21"/>
              </w:rPr>
              <w:t>A</w:t>
            </w:r>
            <w:r>
              <w:rPr>
                <w:rFonts w:ascii="Times New Roman" w:hAnsi="宋体" w:cs="Times New Roman"/>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6" w:type="dxa"/>
            <w:bottom w:w="0" w:type="dxa"/>
            <w:right w:w="6" w:type="dxa"/>
          </w:tblCellMar>
        </w:tblPrEx>
        <w:trPr>
          <w:trHeight w:val="270" w:hRule="atLeast"/>
          <w:jc w:val="center"/>
        </w:trPr>
        <w:tc>
          <w:tcPr>
            <w:tcW w:w="70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997" w:type="dxa"/>
            <w:vAlign w:val="center"/>
          </w:tcPr>
          <w:p>
            <w:pPr>
              <w:widowControl/>
              <w:topLinePunct w:val="0"/>
              <w:snapToGrid w:val="0"/>
              <w:spacing w:line="240" w:lineRule="auto"/>
              <w:ind w:firstLine="0" w:firstLineChars="0"/>
              <w:jc w:val="center"/>
              <w:rPr>
                <w:rFonts w:ascii="Times New Roman" w:cs="Times New Roman"/>
                <w:kern w:val="2"/>
                <w:sz w:val="21"/>
                <w:szCs w:val="21"/>
                <w:highlight w:val="yellow"/>
              </w:rPr>
            </w:pPr>
            <w:r>
              <w:rPr>
                <w:rFonts w:ascii="Times New Roman" w:hAnsi="宋体" w:cs="Times New Roman"/>
                <w:kern w:val="2"/>
                <w:sz w:val="21"/>
                <w:szCs w:val="21"/>
              </w:rPr>
              <w:t>测试放喷</w:t>
            </w:r>
          </w:p>
        </w:tc>
        <w:tc>
          <w:tcPr>
            <w:tcW w:w="711" w:type="dxa"/>
            <w:vAlign w:val="center"/>
          </w:tcPr>
          <w:p>
            <w:pPr>
              <w:widowControl/>
              <w:topLinePunct w:val="0"/>
              <w:snapToGrid w:val="0"/>
              <w:spacing w:line="240" w:lineRule="auto"/>
              <w:ind w:firstLine="0" w:firstLineChars="0"/>
              <w:jc w:val="center"/>
              <w:rPr>
                <w:rFonts w:ascii="Times New Roman" w:cs="Times New Roman"/>
                <w:kern w:val="2"/>
                <w:sz w:val="21"/>
                <w:szCs w:val="21"/>
                <w:highlight w:val="yellow"/>
              </w:rPr>
            </w:pPr>
            <w:r>
              <w:rPr>
                <w:rFonts w:ascii="Times New Roman" w:cs="Times New Roman"/>
                <w:kern w:val="2"/>
                <w:sz w:val="21"/>
                <w:szCs w:val="21"/>
              </w:rPr>
              <w:t>1</w:t>
            </w:r>
          </w:p>
        </w:tc>
        <w:tc>
          <w:tcPr>
            <w:tcW w:w="1423" w:type="dxa"/>
            <w:vAlign w:val="center"/>
          </w:tcPr>
          <w:p>
            <w:pPr>
              <w:widowControl/>
              <w:topLinePunct w:val="0"/>
              <w:snapToGrid w:val="0"/>
              <w:spacing w:line="240" w:lineRule="auto"/>
              <w:ind w:firstLine="0" w:firstLineChars="0"/>
              <w:jc w:val="center"/>
              <w:rPr>
                <w:rFonts w:ascii="Times New Roman" w:cs="Times New Roman"/>
                <w:kern w:val="2"/>
                <w:sz w:val="21"/>
                <w:szCs w:val="21"/>
                <w:highlight w:val="yellow"/>
              </w:rPr>
            </w:pPr>
            <w:r>
              <w:rPr>
                <w:rFonts w:ascii="Times New Roman" w:cs="Times New Roman"/>
                <w:kern w:val="2"/>
                <w:sz w:val="21"/>
                <w:szCs w:val="21"/>
              </w:rPr>
              <w:t>95</w:t>
            </w:r>
            <w:r>
              <w:rPr>
                <w:rFonts w:ascii="Times New Roman" w:hAnsi="宋体" w:cs="Times New Roman"/>
                <w:kern w:val="2"/>
                <w:sz w:val="21"/>
                <w:szCs w:val="21"/>
              </w:rPr>
              <w:t>～</w:t>
            </w:r>
            <w:r>
              <w:rPr>
                <w:rFonts w:ascii="Times New Roman" w:cs="Times New Roman"/>
                <w:kern w:val="2"/>
                <w:sz w:val="21"/>
                <w:szCs w:val="21"/>
              </w:rPr>
              <w:t>105</w:t>
            </w:r>
          </w:p>
        </w:tc>
        <w:tc>
          <w:tcPr>
            <w:tcW w:w="1138" w:type="dxa"/>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0.2</w:t>
            </w:r>
          </w:p>
        </w:tc>
        <w:tc>
          <w:tcPr>
            <w:tcW w:w="1460" w:type="dxa"/>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无</w:t>
            </w:r>
          </w:p>
        </w:tc>
        <w:tc>
          <w:tcPr>
            <w:tcW w:w="1791" w:type="dxa"/>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95</w:t>
            </w:r>
            <w:r>
              <w:rPr>
                <w:rFonts w:ascii="Times New Roman" w:hAnsi="宋体" w:cs="Times New Roman"/>
                <w:kern w:val="2"/>
                <w:sz w:val="21"/>
                <w:szCs w:val="21"/>
              </w:rPr>
              <w:t>～</w:t>
            </w:r>
            <w:r>
              <w:rPr>
                <w:rFonts w:ascii="Times New Roman" w:cs="Times New Roman"/>
                <w:kern w:val="2"/>
                <w:sz w:val="21"/>
                <w:szCs w:val="21"/>
              </w:rPr>
              <w:t>105</w:t>
            </w:r>
          </w:p>
        </w:tc>
      </w:tr>
    </w:tbl>
    <w:p>
      <w:pPr>
        <w:topLinePunct w:val="0"/>
        <w:snapToGrid w:val="0"/>
        <w:spacing w:line="331" w:lineRule="auto"/>
        <w:ind w:firstLine="476" w:firstLineChars="0"/>
        <w:rPr>
          <w:rFonts w:ascii="Times New Roman" w:cs="Times New Roman"/>
          <w:kern w:val="2"/>
        </w:rPr>
      </w:pPr>
      <w:r>
        <w:rPr>
          <w:rFonts w:ascii="Times New Roman" w:hAnsi="宋体" w:cs="Times New Roman"/>
          <w:kern w:val="2"/>
        </w:rPr>
        <w:t>②预测结果</w:t>
      </w:r>
    </w:p>
    <w:p>
      <w:pPr>
        <w:topLinePunct w:val="0"/>
        <w:snapToGrid w:val="0"/>
        <w:ind w:firstLine="476" w:firstLineChars="0"/>
        <w:rPr>
          <w:rFonts w:ascii="Times New Roman" w:cs="Times New Roman"/>
          <w:kern w:val="2"/>
        </w:rPr>
      </w:pPr>
      <w:r>
        <w:rPr>
          <w:rFonts w:ascii="Times New Roman" w:hAnsi="宋体" w:cs="Times New Roman"/>
          <w:kern w:val="2"/>
        </w:rPr>
        <w:t>本项目放喷池声评价范围内无声环境敏感点，因此，不进行敏感点噪声预测，根据相关规定，测试放喷之前，必须临时疏散</w:t>
      </w:r>
      <w:r>
        <w:rPr>
          <w:rFonts w:ascii="Times New Roman" w:cs="Times New Roman"/>
          <w:kern w:val="2"/>
        </w:rPr>
        <w:t>500m</w:t>
      </w:r>
      <w:r>
        <w:rPr>
          <w:rFonts w:ascii="Times New Roman" w:hAnsi="宋体" w:cs="Times New Roman"/>
          <w:kern w:val="2"/>
        </w:rPr>
        <w:t>范围内的居民，且测试放喷时间较短，一般只有</w:t>
      </w:r>
      <w:r>
        <w:rPr>
          <w:rFonts w:ascii="Times New Roman" w:cs="Times New Roman"/>
          <w:kern w:val="2"/>
        </w:rPr>
        <w:t>4h</w:t>
      </w:r>
      <w:r>
        <w:rPr>
          <w:rFonts w:ascii="Times New Roman" w:hAnsi="宋体" w:cs="Times New Roman"/>
          <w:kern w:val="2"/>
        </w:rPr>
        <w:t>～</w:t>
      </w:r>
      <w:r>
        <w:rPr>
          <w:rFonts w:ascii="Times New Roman" w:cs="Times New Roman"/>
          <w:kern w:val="2"/>
        </w:rPr>
        <w:t>6h</w:t>
      </w:r>
      <w:r>
        <w:rPr>
          <w:rFonts w:ascii="Times New Roman" w:hAnsi="宋体" w:cs="Times New Roman"/>
          <w:kern w:val="2"/>
        </w:rPr>
        <w:t>。因此，测试放喷对周围居民影响较小。</w:t>
      </w:r>
    </w:p>
    <w:p>
      <w:pPr>
        <w:topLinePunct w:val="0"/>
        <w:snapToGrid w:val="0"/>
        <w:ind w:firstLine="470" w:firstLineChars="196"/>
        <w:rPr>
          <w:rFonts w:ascii="Times New Roman" w:cs="Times New Roman"/>
          <w:bCs/>
          <w:kern w:val="2"/>
        </w:rPr>
      </w:pPr>
      <w:r>
        <w:rPr>
          <w:rFonts w:ascii="Times New Roman" w:cs="Times New Roman"/>
          <w:bCs/>
          <w:kern w:val="2"/>
        </w:rPr>
        <w:t>3）影响人群分析</w:t>
      </w:r>
    </w:p>
    <w:p>
      <w:pPr>
        <w:widowControl/>
        <w:topLinePunct w:val="0"/>
        <w:snapToGrid w:val="0"/>
        <w:ind w:firstLine="480"/>
        <w:rPr>
          <w:rFonts w:ascii="Times New Roman" w:cs="Times New Roman"/>
          <w:kern w:val="2"/>
        </w:rPr>
      </w:pPr>
      <w:r>
        <w:rPr>
          <w:rFonts w:ascii="Times New Roman" w:hAnsi="宋体" w:cs="Times New Roman"/>
          <w:kern w:val="2"/>
        </w:rPr>
        <w:t>钻井作业期间无超标人群；放喷池测试放喷期间无超标人群。本项目超标范围内影响人群情况见表</w:t>
      </w:r>
      <w:r>
        <w:rPr>
          <w:rFonts w:ascii="Times New Roman" w:cs="Times New Roman"/>
        </w:rPr>
        <w:t>6.</w:t>
      </w:r>
      <w:r>
        <w:rPr>
          <w:rFonts w:hint="eastAsia" w:ascii="Times New Roman" w:cs="Times New Roman"/>
        </w:rPr>
        <w:t>1</w:t>
      </w:r>
      <w:r>
        <w:rPr>
          <w:rFonts w:ascii="Times New Roman" w:cs="Times New Roman"/>
        </w:rPr>
        <w:t>-</w:t>
      </w:r>
      <w:r>
        <w:rPr>
          <w:rFonts w:hint="eastAsia" w:ascii="Times New Roman" w:cs="Times New Roman"/>
        </w:rPr>
        <w:t>11</w:t>
      </w:r>
      <w:r>
        <w:rPr>
          <w:rFonts w:ascii="Times New Roman" w:hAnsi="宋体" w:cs="Times New Roman"/>
          <w:kern w:val="2"/>
        </w:rPr>
        <w:t>。</w:t>
      </w:r>
    </w:p>
    <w:p>
      <w:pPr>
        <w:topLinePunct w:val="0"/>
        <w:snapToGrid w:val="0"/>
        <w:spacing w:beforeLines="50"/>
        <w:ind w:firstLine="480" w:firstLineChars="0"/>
        <w:jc w:val="center"/>
        <w:rPr>
          <w:rFonts w:ascii="Times New Roman" w:cs="Times New Roman"/>
          <w:kern w:val="2"/>
          <w:sz w:val="21"/>
          <w:szCs w:val="20"/>
        </w:rPr>
      </w:pPr>
      <w:bookmarkStart w:id="489" w:name="_Ref472067769"/>
      <w:r>
        <w:rPr>
          <w:rFonts w:ascii="Times New Roman" w:cs="Times New Roman"/>
          <w:kern w:val="2"/>
          <w:sz w:val="21"/>
          <w:szCs w:val="20"/>
        </w:rPr>
        <w:t>表</w:t>
      </w:r>
      <w:bookmarkEnd w:id="489"/>
      <w:r>
        <w:rPr>
          <w:rFonts w:ascii="Times New Roman" w:cs="Times New Roman"/>
          <w:kern w:val="2"/>
          <w:sz w:val="21"/>
          <w:szCs w:val="20"/>
        </w:rPr>
        <w:t>6.</w:t>
      </w:r>
      <w:r>
        <w:rPr>
          <w:rFonts w:hint="eastAsia" w:ascii="Times New Roman" w:cs="Times New Roman"/>
          <w:kern w:val="2"/>
          <w:sz w:val="21"/>
          <w:szCs w:val="20"/>
        </w:rPr>
        <w:t>1</w:t>
      </w:r>
      <w:r>
        <w:rPr>
          <w:rFonts w:ascii="Times New Roman" w:cs="Times New Roman"/>
          <w:kern w:val="2"/>
          <w:sz w:val="21"/>
          <w:szCs w:val="20"/>
        </w:rPr>
        <w:t>-</w:t>
      </w:r>
      <w:r>
        <w:rPr>
          <w:rFonts w:hint="eastAsia" w:ascii="Times New Roman" w:cs="Times New Roman"/>
          <w:kern w:val="2"/>
          <w:sz w:val="21"/>
          <w:szCs w:val="20"/>
        </w:rPr>
        <w:t>11</w:t>
      </w:r>
      <w:r>
        <w:rPr>
          <w:rFonts w:ascii="Times New Roman" w:cs="Times New Roman"/>
          <w:kern w:val="2"/>
          <w:sz w:val="21"/>
          <w:szCs w:val="20"/>
        </w:rPr>
        <w:t xml:space="preserve">  噪声超标范围内影响人群情况</w:t>
      </w:r>
    </w:p>
    <w:tbl>
      <w:tblPr>
        <w:tblStyle w:val="57"/>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4"/>
        <w:gridCol w:w="824"/>
        <w:gridCol w:w="824"/>
        <w:gridCol w:w="764"/>
        <w:gridCol w:w="885"/>
        <w:gridCol w:w="824"/>
        <w:gridCol w:w="1050"/>
        <w:gridCol w:w="600"/>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 w:hRule="atLeast"/>
          <w:jc w:val="center"/>
        </w:trPr>
        <w:tc>
          <w:tcPr>
            <w:tcW w:w="1594" w:type="dxa"/>
            <w:vMerge w:val="restart"/>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项目</w:t>
            </w:r>
          </w:p>
        </w:tc>
        <w:tc>
          <w:tcPr>
            <w:tcW w:w="1648" w:type="dxa"/>
            <w:gridSpan w:val="2"/>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钻井作业</w:t>
            </w:r>
          </w:p>
        </w:tc>
        <w:tc>
          <w:tcPr>
            <w:tcW w:w="1649" w:type="dxa"/>
            <w:gridSpan w:val="2"/>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压裂作业</w:t>
            </w:r>
          </w:p>
        </w:tc>
        <w:tc>
          <w:tcPr>
            <w:tcW w:w="1874" w:type="dxa"/>
            <w:gridSpan w:val="2"/>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测试放喷（主）</w:t>
            </w:r>
          </w:p>
        </w:tc>
        <w:tc>
          <w:tcPr>
            <w:tcW w:w="1457" w:type="dxa"/>
            <w:gridSpan w:val="2"/>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测试放喷（副）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 w:hRule="atLeast"/>
          <w:jc w:val="center"/>
        </w:trPr>
        <w:tc>
          <w:tcPr>
            <w:tcW w:w="1594" w:type="dxa"/>
            <w:vMerge w:val="continue"/>
            <w:vAlign w:val="center"/>
          </w:tcPr>
          <w:p>
            <w:pPr>
              <w:widowControl/>
              <w:topLinePunct w:val="0"/>
              <w:snapToGrid w:val="0"/>
              <w:spacing w:line="240" w:lineRule="auto"/>
              <w:ind w:firstLine="0" w:firstLineChars="0"/>
              <w:jc w:val="center"/>
              <w:rPr>
                <w:rFonts w:ascii="Times New Roman" w:cs="Times New Roman"/>
                <w:kern w:val="2"/>
                <w:sz w:val="21"/>
                <w:szCs w:val="21"/>
              </w:rPr>
            </w:pPr>
          </w:p>
        </w:tc>
        <w:tc>
          <w:tcPr>
            <w:tcW w:w="82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昼间</w:t>
            </w:r>
          </w:p>
        </w:tc>
        <w:tc>
          <w:tcPr>
            <w:tcW w:w="82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夜间</w:t>
            </w:r>
          </w:p>
        </w:tc>
        <w:tc>
          <w:tcPr>
            <w:tcW w:w="76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昼间</w:t>
            </w:r>
          </w:p>
        </w:tc>
        <w:tc>
          <w:tcPr>
            <w:tcW w:w="8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夜间</w:t>
            </w:r>
          </w:p>
        </w:tc>
        <w:tc>
          <w:tcPr>
            <w:tcW w:w="82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昼间</w:t>
            </w:r>
          </w:p>
        </w:tc>
        <w:tc>
          <w:tcPr>
            <w:tcW w:w="105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夜间</w:t>
            </w:r>
          </w:p>
        </w:tc>
        <w:tc>
          <w:tcPr>
            <w:tcW w:w="60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昼间</w:t>
            </w:r>
          </w:p>
        </w:tc>
        <w:tc>
          <w:tcPr>
            <w:tcW w:w="85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 w:hRule="atLeast"/>
          <w:jc w:val="center"/>
        </w:trPr>
        <w:tc>
          <w:tcPr>
            <w:tcW w:w="15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受影响人群</w:t>
            </w:r>
          </w:p>
        </w:tc>
        <w:tc>
          <w:tcPr>
            <w:tcW w:w="82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w:t>
            </w:r>
          </w:p>
        </w:tc>
        <w:tc>
          <w:tcPr>
            <w:tcW w:w="82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w:t>
            </w:r>
          </w:p>
        </w:tc>
        <w:tc>
          <w:tcPr>
            <w:tcW w:w="76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w:t>
            </w:r>
          </w:p>
        </w:tc>
        <w:tc>
          <w:tcPr>
            <w:tcW w:w="8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w:t>
            </w:r>
          </w:p>
        </w:tc>
        <w:tc>
          <w:tcPr>
            <w:tcW w:w="82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w:t>
            </w:r>
          </w:p>
        </w:tc>
        <w:tc>
          <w:tcPr>
            <w:tcW w:w="105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w:t>
            </w:r>
          </w:p>
        </w:tc>
        <w:tc>
          <w:tcPr>
            <w:tcW w:w="60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w:t>
            </w:r>
          </w:p>
        </w:tc>
        <w:tc>
          <w:tcPr>
            <w:tcW w:w="85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 w:hRule="atLeast"/>
          <w:jc w:val="center"/>
        </w:trPr>
        <w:tc>
          <w:tcPr>
            <w:tcW w:w="159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标准值（</w:t>
            </w:r>
            <w:r>
              <w:rPr>
                <w:rFonts w:ascii="Times New Roman" w:cs="Times New Roman"/>
                <w:kern w:val="2"/>
                <w:sz w:val="21"/>
                <w:szCs w:val="21"/>
              </w:rPr>
              <w:t>dB</w:t>
            </w:r>
            <w:r>
              <w:rPr>
                <w:rFonts w:ascii="Times New Roman" w:hAnsi="宋体" w:cs="Times New Roman"/>
                <w:kern w:val="2"/>
                <w:sz w:val="21"/>
                <w:szCs w:val="21"/>
              </w:rPr>
              <w:t>（</w:t>
            </w:r>
            <w:r>
              <w:rPr>
                <w:rFonts w:ascii="Times New Roman" w:cs="Times New Roman"/>
                <w:kern w:val="2"/>
                <w:sz w:val="21"/>
                <w:szCs w:val="21"/>
              </w:rPr>
              <w:t>A</w:t>
            </w:r>
            <w:r>
              <w:rPr>
                <w:rFonts w:ascii="Times New Roman" w:hAnsi="宋体" w:cs="Times New Roman"/>
                <w:kern w:val="2"/>
                <w:sz w:val="21"/>
                <w:szCs w:val="21"/>
              </w:rPr>
              <w:t>））</w:t>
            </w:r>
          </w:p>
        </w:tc>
        <w:tc>
          <w:tcPr>
            <w:tcW w:w="82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60</w:t>
            </w:r>
          </w:p>
        </w:tc>
        <w:tc>
          <w:tcPr>
            <w:tcW w:w="82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50</w:t>
            </w:r>
          </w:p>
        </w:tc>
        <w:tc>
          <w:tcPr>
            <w:tcW w:w="76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60</w:t>
            </w:r>
          </w:p>
        </w:tc>
        <w:tc>
          <w:tcPr>
            <w:tcW w:w="8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50</w:t>
            </w:r>
          </w:p>
        </w:tc>
        <w:tc>
          <w:tcPr>
            <w:tcW w:w="824"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60</w:t>
            </w:r>
          </w:p>
        </w:tc>
        <w:tc>
          <w:tcPr>
            <w:tcW w:w="105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50</w:t>
            </w:r>
          </w:p>
        </w:tc>
        <w:tc>
          <w:tcPr>
            <w:tcW w:w="600"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60</w:t>
            </w:r>
          </w:p>
        </w:tc>
        <w:tc>
          <w:tcPr>
            <w:tcW w:w="857"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50</w:t>
            </w:r>
          </w:p>
        </w:tc>
      </w:tr>
    </w:tbl>
    <w:p>
      <w:pPr>
        <w:pStyle w:val="112"/>
        <w:ind w:firstLine="480"/>
        <w:rPr>
          <w:szCs w:val="24"/>
        </w:rPr>
      </w:pPr>
      <w:r>
        <w:rPr>
          <w:kern w:val="2"/>
          <w:szCs w:val="24"/>
        </w:rPr>
        <w:t>测试放喷均应尽可能避开夜间施工。</w:t>
      </w:r>
    </w:p>
    <w:p>
      <w:pPr>
        <w:pStyle w:val="4"/>
        <w:rPr>
          <w:rFonts w:eastAsia="宋体"/>
        </w:rPr>
      </w:pPr>
      <w:bookmarkStart w:id="490" w:name="bookmark45"/>
      <w:bookmarkEnd w:id="490"/>
      <w:bookmarkStart w:id="491" w:name="bookmark44"/>
      <w:bookmarkEnd w:id="491"/>
      <w:bookmarkStart w:id="492" w:name="_Toc12288667"/>
      <w:bookmarkStart w:id="493" w:name="_Toc19816065"/>
      <w:r>
        <w:rPr>
          <w:rFonts w:eastAsia="宋体"/>
        </w:rPr>
        <w:t>6.1.6 施工期产生固体废物的影响</w:t>
      </w:r>
      <w:bookmarkEnd w:id="492"/>
      <w:bookmarkEnd w:id="493"/>
    </w:p>
    <w:p>
      <w:pPr>
        <w:pStyle w:val="112"/>
        <w:ind w:firstLine="480"/>
      </w:pPr>
      <w:r>
        <w:t>施工期产生的固体废物主要为生活垃圾、施工废料、</w:t>
      </w:r>
      <w:r>
        <w:rPr>
          <w:rFonts w:hint="eastAsia"/>
        </w:rPr>
        <w:t>土石方、</w:t>
      </w:r>
      <w:r>
        <w:t>钻井岩屑</w:t>
      </w:r>
      <w:r>
        <w:rPr>
          <w:rFonts w:hint="eastAsia"/>
        </w:rPr>
        <w:t>、</w:t>
      </w:r>
      <w:r>
        <w:t>废泥浆</w:t>
      </w:r>
      <w:r>
        <w:rPr>
          <w:rFonts w:hint="eastAsia"/>
        </w:rPr>
        <w:t>、废油</w:t>
      </w:r>
      <w:r>
        <w:t>等。</w:t>
      </w:r>
    </w:p>
    <w:p>
      <w:pPr>
        <w:pStyle w:val="112"/>
        <w:ind w:firstLine="482"/>
        <w:rPr>
          <w:b/>
          <w:bCs/>
        </w:rPr>
      </w:pPr>
      <w:bookmarkStart w:id="494" w:name="_Hlk82897241"/>
      <w:r>
        <w:rPr>
          <w:b/>
          <w:bCs/>
        </w:rPr>
        <w:t>1、生活垃圾</w:t>
      </w:r>
    </w:p>
    <w:p>
      <w:pPr>
        <w:pStyle w:val="112"/>
        <w:ind w:firstLine="480"/>
      </w:pPr>
      <w:r>
        <w:t>施工人员垃圾</w:t>
      </w:r>
      <w:r>
        <w:rPr>
          <w:rFonts w:hint="eastAsia"/>
        </w:rPr>
        <w:t>经垃圾</w:t>
      </w:r>
      <w:r>
        <w:t>收集设施收集，统一送环卫部门处理。因此，施工期施工人员生活垃圾不会对当地环境造成影响。</w:t>
      </w:r>
    </w:p>
    <w:p>
      <w:pPr>
        <w:pStyle w:val="112"/>
        <w:ind w:firstLine="482"/>
        <w:rPr>
          <w:b/>
          <w:bCs/>
        </w:rPr>
      </w:pPr>
      <w:r>
        <w:rPr>
          <w:b/>
          <w:bCs/>
        </w:rPr>
        <w:t>2、施工废料</w:t>
      </w:r>
    </w:p>
    <w:p>
      <w:pPr>
        <w:pStyle w:val="112"/>
        <w:ind w:firstLine="480"/>
      </w:pPr>
      <w:r>
        <w:t>项目管线防腐层均在厂家预制完成，现场无防腐层废料产生，施工废料为管道焊接后废弃的废焊条、焊渣（属于一般固废）及接口处废弃防腐材料及少量废油漆桶。施工废料部分可回收利用，剩余废料交由当地环卫部门处置；一定量的废弃防腐材料及少量废油漆桶由施工单位集中收集，然后交有资质单位处置。X射线探伤产生一些废弃物（浸润液、感光废弃材料等），由工程探伤检验专业队伍集中收集处置，不在本次评价范围内。</w:t>
      </w:r>
    </w:p>
    <w:p>
      <w:pPr>
        <w:pStyle w:val="112"/>
        <w:ind w:firstLine="482"/>
        <w:rPr>
          <w:b/>
          <w:bCs/>
        </w:rPr>
      </w:pPr>
      <w:r>
        <w:rPr>
          <w:b/>
          <w:bCs/>
        </w:rPr>
        <w:t>3、土石方</w:t>
      </w:r>
    </w:p>
    <w:p>
      <w:pPr>
        <w:pStyle w:val="112"/>
        <w:ind w:firstLine="480"/>
      </w:pPr>
      <w:r>
        <w:t>项目</w:t>
      </w:r>
      <w:r>
        <w:rPr>
          <w:rFonts w:hint="eastAsia"/>
        </w:rPr>
        <w:t>管沟</w:t>
      </w:r>
      <w:r>
        <w:t>土石方挖填平衡</w:t>
      </w:r>
      <w:r>
        <w:rPr>
          <w:rFonts w:hint="eastAsia"/>
        </w:rPr>
        <w:t>，无</w:t>
      </w:r>
      <w:r>
        <w:t>弃方</w:t>
      </w:r>
      <w:r>
        <w:rPr>
          <w:rFonts w:hint="eastAsia"/>
        </w:rPr>
        <w:t>产生</w:t>
      </w:r>
      <w:r>
        <w:t>。</w:t>
      </w:r>
    </w:p>
    <w:p>
      <w:pPr>
        <w:pStyle w:val="112"/>
        <w:ind w:firstLine="482"/>
        <w:rPr>
          <w:b/>
          <w:bCs/>
        </w:rPr>
      </w:pPr>
      <w:r>
        <w:rPr>
          <w:rFonts w:hint="eastAsia"/>
          <w:b/>
          <w:bCs/>
        </w:rPr>
        <w:t>4</w:t>
      </w:r>
      <w:r>
        <w:rPr>
          <w:b/>
          <w:bCs/>
        </w:rPr>
        <w:t>、</w:t>
      </w:r>
      <w:r>
        <w:rPr>
          <w:rFonts w:hint="eastAsia"/>
          <w:b/>
          <w:bCs/>
        </w:rPr>
        <w:t>钻井岩屑</w:t>
      </w:r>
    </w:p>
    <w:p>
      <w:pPr>
        <w:pStyle w:val="551"/>
        <w:ind w:firstLine="480"/>
        <w:rPr>
          <w:rFonts w:ascii="Times New Roman" w:hAnsi="Times New Roman"/>
        </w:rPr>
      </w:pPr>
      <w:r>
        <w:rPr>
          <w:rFonts w:ascii="Times New Roman"/>
        </w:rPr>
        <w:t>本项目采取清洁化操作平台</w:t>
      </w:r>
      <w:r>
        <w:rPr>
          <w:bCs/>
          <w:spacing w:val="10"/>
        </w:rPr>
        <w:t>，并采取泥浆不落地措施</w:t>
      </w:r>
      <w:r>
        <w:rPr>
          <w:rFonts w:ascii="Times New Roman"/>
        </w:rPr>
        <w:t>，</w:t>
      </w:r>
      <w:r>
        <w:rPr>
          <w:rFonts w:hint="eastAsia" w:ascii="Times New Roman"/>
        </w:rPr>
        <w:t>水基</w:t>
      </w:r>
      <w:r>
        <w:rPr>
          <w:rFonts w:ascii="Times New Roman"/>
        </w:rPr>
        <w:t>岩屑按照《达州市生态环境局办公室关于</w:t>
      </w:r>
      <w:r>
        <w:rPr>
          <w:rFonts w:hint="eastAsia" w:ascii="Times New Roman"/>
        </w:rPr>
        <w:t>进一步</w:t>
      </w:r>
      <w:r>
        <w:rPr>
          <w:rFonts w:ascii="Times New Roman"/>
        </w:rPr>
        <w:t>加强固体废物污染防治工作的通知》（达市环办发〔</w:t>
      </w:r>
      <w:r>
        <w:rPr>
          <w:rFonts w:ascii="Times New Roman" w:hAnsi="Times New Roman"/>
        </w:rPr>
        <w:t>20</w:t>
      </w:r>
      <w:r>
        <w:rPr>
          <w:rFonts w:hint="eastAsia" w:ascii="Times New Roman" w:hAnsi="Times New Roman"/>
        </w:rPr>
        <w:t>21</w:t>
      </w:r>
      <w:r>
        <w:rPr>
          <w:rFonts w:ascii="Times New Roman"/>
        </w:rPr>
        <w:t>〕</w:t>
      </w:r>
      <w:r>
        <w:rPr>
          <w:rFonts w:hint="eastAsia" w:ascii="Times New Roman" w:hAnsi="Times New Roman"/>
        </w:rPr>
        <w:t>24</w:t>
      </w:r>
      <w:r>
        <w:rPr>
          <w:rFonts w:ascii="Times New Roman"/>
        </w:rPr>
        <w:t>号）要求，就近交给依法取得生态环境部门关于利用和处置相关工业固体废物项目环评批复、具有处理处置相应固体废物能力并配套建设有废气、废水、固废等污染物治理设施的单位</w:t>
      </w:r>
      <w:r>
        <w:rPr>
          <w:rFonts w:hint="eastAsia" w:ascii="Times New Roman"/>
        </w:rPr>
        <w:t>进行资源化利用；油基岩屑</w:t>
      </w:r>
      <w:r>
        <w:t>属危险废物（</w:t>
      </w:r>
      <w:r>
        <w:rPr>
          <w:rFonts w:ascii="Times New Roman" w:hAnsi="Times New Roman"/>
        </w:rPr>
        <w:t>HW08</w:t>
      </w:r>
      <w:r>
        <w:rPr>
          <w:rFonts w:ascii="Times New Roman"/>
        </w:rPr>
        <w:t>废矿物油与含矿物油废物</w:t>
      </w:r>
      <w:r>
        <w:t>）</w:t>
      </w:r>
      <w:r>
        <w:rPr>
          <w:rFonts w:hint="eastAsia"/>
        </w:rPr>
        <w:t>，</w:t>
      </w:r>
      <w:r>
        <w:rPr>
          <w:rFonts w:hint="eastAsia" w:ascii="Times New Roman"/>
        </w:rPr>
        <w:t>存于危废暂存间，定期交由资质单位处置</w:t>
      </w:r>
      <w:r>
        <w:rPr>
          <w:rFonts w:ascii="Times New Roman"/>
        </w:rPr>
        <w:t>。</w:t>
      </w:r>
    </w:p>
    <w:p>
      <w:pPr>
        <w:pStyle w:val="112"/>
        <w:ind w:firstLine="482"/>
        <w:rPr>
          <w:b/>
          <w:bCs/>
        </w:rPr>
      </w:pPr>
      <w:r>
        <w:rPr>
          <w:rFonts w:hint="eastAsia"/>
          <w:b/>
          <w:bCs/>
        </w:rPr>
        <w:t>5</w:t>
      </w:r>
      <w:r>
        <w:rPr>
          <w:b/>
          <w:bCs/>
        </w:rPr>
        <w:t>、</w:t>
      </w:r>
      <w:r>
        <w:rPr>
          <w:rFonts w:hint="eastAsia"/>
          <w:b/>
          <w:bCs/>
        </w:rPr>
        <w:t>废泥浆</w:t>
      </w:r>
    </w:p>
    <w:p>
      <w:pPr>
        <w:pStyle w:val="551"/>
        <w:ind w:firstLine="480"/>
        <w:rPr>
          <w:rFonts w:ascii="Times New Roman" w:hAnsi="Times New Roman"/>
        </w:rPr>
      </w:pPr>
      <w:r>
        <w:rPr>
          <w:rFonts w:ascii="Times New Roman"/>
        </w:rPr>
        <w:t>废弃泥浆采用清洁化操作平台，并采取泥浆不落地措施</w:t>
      </w:r>
      <w:r>
        <w:rPr>
          <w:rFonts w:hint="eastAsia" w:ascii="Times New Roman"/>
        </w:rPr>
        <w:t>，废水基</w:t>
      </w:r>
      <w:r>
        <w:rPr>
          <w:rFonts w:ascii="Times New Roman"/>
        </w:rPr>
        <w:t>泥浆按照《达州市生态环境局办公室关于</w:t>
      </w:r>
      <w:r>
        <w:rPr>
          <w:rFonts w:hint="eastAsia" w:ascii="Times New Roman"/>
        </w:rPr>
        <w:t>进一步</w:t>
      </w:r>
      <w:r>
        <w:rPr>
          <w:rFonts w:ascii="Times New Roman"/>
        </w:rPr>
        <w:t>加强固体废物污染防治工作的通知》（达市环办发〔</w:t>
      </w:r>
      <w:r>
        <w:rPr>
          <w:rFonts w:ascii="Times New Roman" w:hAnsi="Times New Roman"/>
        </w:rPr>
        <w:t>20</w:t>
      </w:r>
      <w:r>
        <w:rPr>
          <w:rFonts w:hint="eastAsia" w:ascii="Times New Roman" w:hAnsi="Times New Roman"/>
        </w:rPr>
        <w:t>21</w:t>
      </w:r>
      <w:r>
        <w:rPr>
          <w:rFonts w:ascii="Times New Roman"/>
        </w:rPr>
        <w:t>〕</w:t>
      </w:r>
      <w:r>
        <w:rPr>
          <w:rFonts w:hint="eastAsia" w:ascii="Times New Roman" w:hAnsi="Times New Roman"/>
        </w:rPr>
        <w:t>24</w:t>
      </w:r>
      <w:r>
        <w:rPr>
          <w:rFonts w:ascii="Times New Roman"/>
        </w:rPr>
        <w:t>号）要求，就近交给依法取得生态环境部门关于利用和处置相关工业固体废物项目环评批复、具有处理处置相应固体废物能力并配套建设有废气、废水、固废等污染物治理设施的单位</w:t>
      </w:r>
      <w:r>
        <w:rPr>
          <w:rFonts w:hint="eastAsia" w:ascii="Times New Roman"/>
        </w:rPr>
        <w:t>进行资源化利用；废油基泥浆</w:t>
      </w:r>
      <w:r>
        <w:t>属危险废物（</w:t>
      </w:r>
      <w:r>
        <w:rPr>
          <w:rFonts w:ascii="Times New Roman" w:hAnsi="Times New Roman"/>
        </w:rPr>
        <w:t>HW08</w:t>
      </w:r>
      <w:r>
        <w:rPr>
          <w:rFonts w:ascii="Times New Roman"/>
        </w:rPr>
        <w:t>废矿物油与含矿物油废物</w:t>
      </w:r>
      <w:r>
        <w:t>）</w:t>
      </w:r>
      <w:r>
        <w:rPr>
          <w:rFonts w:hint="eastAsia"/>
        </w:rPr>
        <w:t>，</w:t>
      </w:r>
      <w:r>
        <w:rPr>
          <w:rFonts w:hint="eastAsia" w:ascii="Times New Roman"/>
        </w:rPr>
        <w:t>存于危废暂存间，定期交由资质单位处置</w:t>
      </w:r>
      <w:r>
        <w:rPr>
          <w:rFonts w:ascii="Times New Roman"/>
        </w:rPr>
        <w:t>。</w:t>
      </w:r>
    </w:p>
    <w:p>
      <w:pPr>
        <w:pStyle w:val="112"/>
        <w:ind w:firstLine="482"/>
        <w:rPr>
          <w:b/>
          <w:bCs/>
        </w:rPr>
      </w:pPr>
      <w:r>
        <w:rPr>
          <w:rFonts w:hint="eastAsia"/>
          <w:b/>
          <w:bCs/>
        </w:rPr>
        <w:t>6</w:t>
      </w:r>
      <w:r>
        <w:rPr>
          <w:b/>
          <w:bCs/>
        </w:rPr>
        <w:t>、</w:t>
      </w:r>
      <w:r>
        <w:rPr>
          <w:rFonts w:hint="eastAsia"/>
          <w:b/>
        </w:rPr>
        <w:t>废油</w:t>
      </w:r>
    </w:p>
    <w:p>
      <w:pPr>
        <w:pStyle w:val="109"/>
        <w:ind w:firstLine="480"/>
      </w:pPr>
      <w:r>
        <w:t>钻井过程中废油</w:t>
      </w:r>
      <w:r>
        <w:rPr>
          <w:rFonts w:hint="eastAsia"/>
        </w:rPr>
        <w:t>暂存于危废暂存间，面积约10m</w:t>
      </w:r>
      <w:r>
        <w:rPr>
          <w:rFonts w:hint="eastAsia"/>
          <w:vertAlign w:val="superscript"/>
        </w:rPr>
        <w:t>2</w:t>
      </w:r>
      <w:r>
        <w:rPr>
          <w:rFonts w:hint="eastAsia"/>
        </w:rPr>
        <w:t>，暂存间地面采取</w:t>
      </w:r>
      <w:r>
        <w:rPr>
          <w:rFonts w:hint="eastAsia"/>
          <w:color w:val="0000FF"/>
        </w:rPr>
        <w:t>六防措施（防风、防雨、防晒、防渗、防漏、防腐）</w:t>
      </w:r>
      <w:r>
        <w:rPr>
          <w:rFonts w:hint="eastAsia"/>
        </w:rPr>
        <w:t>，并</w:t>
      </w:r>
      <w:r>
        <w:t>及时清运</w:t>
      </w:r>
      <w:r>
        <w:rPr>
          <w:rFonts w:hint="eastAsia"/>
        </w:rPr>
        <w:t>至企业净化厂</w:t>
      </w:r>
      <w:r>
        <w:t>危险废物贮存仓库</w:t>
      </w:r>
      <w:r>
        <w:rPr>
          <w:rFonts w:hint="eastAsia"/>
        </w:rPr>
        <w:t>（运距约20km）</w:t>
      </w:r>
      <w:r>
        <w:t>，</w:t>
      </w:r>
      <w:r>
        <w:rPr>
          <w:rFonts w:hint="eastAsia"/>
        </w:rPr>
        <w:t>定期</w:t>
      </w:r>
      <w:r>
        <w:t>送有资质单位处理。废油属危险废物（《国家危险废物名录》（20</w:t>
      </w:r>
      <w:r>
        <w:rPr>
          <w:rFonts w:hint="eastAsia"/>
        </w:rPr>
        <w:t>21</w:t>
      </w:r>
      <w:r>
        <w:t>年</w:t>
      </w:r>
      <w:r>
        <w:rPr>
          <w:rFonts w:hint="eastAsia"/>
        </w:rPr>
        <w:t>1</w:t>
      </w:r>
      <w:r>
        <w:t>月1日）中HW08废矿物油</w:t>
      </w:r>
      <w:r>
        <w:rPr>
          <w:rFonts w:hint="eastAsia"/>
        </w:rPr>
        <w:t>与含矿物油废物</w:t>
      </w:r>
      <w:r>
        <w:t>），</w:t>
      </w:r>
      <w:r>
        <w:rPr>
          <w:rFonts w:hint="eastAsia"/>
        </w:rPr>
        <w:t>定期交由资质单位处置</w:t>
      </w:r>
      <w:r>
        <w:t>。本项目对废油的收集、贮存和运输应满足《危险废物收集 贮存 运输技术规范》（HJ 2025-2012）的相关规定</w:t>
      </w:r>
      <w:r>
        <w:rPr>
          <w:rFonts w:hint="eastAsia"/>
        </w:rPr>
        <w:t>，</w:t>
      </w:r>
      <w:r>
        <w:t>建设单位做好钻井固废转移记录。</w:t>
      </w:r>
    </w:p>
    <w:bookmarkEnd w:id="494"/>
    <w:p>
      <w:pPr>
        <w:pStyle w:val="4"/>
        <w:rPr>
          <w:rFonts w:eastAsia="宋体"/>
        </w:rPr>
      </w:pPr>
      <w:r>
        <w:rPr>
          <w:rFonts w:eastAsia="宋体"/>
        </w:rPr>
        <w:t xml:space="preserve">6.1.7 </w:t>
      </w:r>
      <w:r>
        <w:rPr>
          <w:rFonts w:hint="eastAsia" w:eastAsia="宋体"/>
        </w:rPr>
        <w:t>对基础设施影响分析</w:t>
      </w:r>
    </w:p>
    <w:p>
      <w:pPr>
        <w:pStyle w:val="112"/>
        <w:ind w:firstLine="482"/>
        <w:rPr>
          <w:b/>
          <w:bCs/>
        </w:rPr>
      </w:pPr>
      <w:r>
        <w:rPr>
          <w:rFonts w:hint="eastAsia" w:hAnsi="Calibri"/>
          <w:b/>
          <w:bCs/>
        </w:rPr>
        <w:t>1、</w:t>
      </w:r>
      <w:r>
        <w:rPr>
          <w:rFonts w:hint="eastAsia"/>
          <w:b/>
          <w:bCs/>
        </w:rPr>
        <w:t>对区域其他管道的影响</w:t>
      </w:r>
    </w:p>
    <w:p>
      <w:pPr>
        <w:pStyle w:val="112"/>
        <w:ind w:firstLine="480"/>
      </w:pPr>
      <w:r>
        <w:rPr>
          <w:rFonts w:hint="eastAsia"/>
        </w:rPr>
        <w:t>根据工程设计资料和现场踏勘，工程管道沿线区域存在现状天然气管网、国防光缆等，工程管线在路由设计时已留出一定的安全距离，原则上不会对已有管线造成影响。在实际施工中，若调查内容与实际情况有出入，以管线的实际埋设情况为准，如果有线路重合则申请更改该段路线；如果线路交叉，施工时需加强管理，做到文明施工，分层开挖，严禁对交叉管线造成影响和破坏，以免对环境造成次生污染。</w:t>
      </w:r>
    </w:p>
    <w:p>
      <w:pPr>
        <w:pStyle w:val="112"/>
        <w:ind w:firstLine="482"/>
        <w:rPr>
          <w:b/>
          <w:bCs/>
        </w:rPr>
      </w:pPr>
      <w:r>
        <w:rPr>
          <w:rFonts w:hint="eastAsia"/>
          <w:b/>
          <w:bCs/>
        </w:rPr>
        <w:t>2、对交通的影响</w:t>
      </w:r>
    </w:p>
    <w:p>
      <w:pPr>
        <w:pStyle w:val="112"/>
        <w:ind w:firstLine="480"/>
      </w:pPr>
      <w:r>
        <w:rPr>
          <w:rFonts w:hint="eastAsia"/>
        </w:rPr>
        <w:t>本工程天然气管道为埋地敷设，施工期施工机械工作时会临时占用道路，施工车辆进出施工场地会增加区域的道路交通量，提高交通噪声影响值，给周边居民的出行带来不便。本工程施工期分段施工，施工机械作业时间较短，尽量减小对管线沿途道路交通的影响。建设单位制定好施工方案和计划，减少对交通的影响，并提前向社会公布，对于出入施工场地的车辆，实施清洁工作，避免影响周边环境。施工期合理安排施工时间，把施工对居民的生活和出行造成的影响降到最低程度。</w:t>
      </w:r>
    </w:p>
    <w:p>
      <w:pPr>
        <w:pStyle w:val="3"/>
        <w:spacing w:before="120"/>
        <w:rPr>
          <w:rFonts w:cs="Times New Roman"/>
        </w:rPr>
      </w:pPr>
      <w:bookmarkStart w:id="495" w:name="_Toc81515290"/>
      <w:r>
        <w:rPr>
          <w:rFonts w:cs="Times New Roman"/>
        </w:rPr>
        <w:t xml:space="preserve">6.2 </w:t>
      </w:r>
      <w:r>
        <w:rPr>
          <w:rFonts w:hint="eastAsia" w:cs="Times New Roman"/>
        </w:rPr>
        <w:t>运营期环境影响预测及评价</w:t>
      </w:r>
      <w:bookmarkEnd w:id="495"/>
    </w:p>
    <w:p>
      <w:pPr>
        <w:pStyle w:val="4"/>
        <w:rPr>
          <w:rFonts w:eastAsia="宋体"/>
        </w:rPr>
      </w:pPr>
      <w:r>
        <w:rPr>
          <w:rFonts w:eastAsia="宋体"/>
        </w:rPr>
        <w:t xml:space="preserve">6.2.1 </w:t>
      </w:r>
      <w:r>
        <w:rPr>
          <w:rFonts w:hint="eastAsia" w:eastAsia="宋体"/>
        </w:rPr>
        <w:t>运营期</w:t>
      </w:r>
      <w:r>
        <w:rPr>
          <w:rFonts w:eastAsia="宋体"/>
        </w:rPr>
        <w:t>生态影响分析</w:t>
      </w:r>
    </w:p>
    <w:p>
      <w:pPr>
        <w:pStyle w:val="112"/>
        <w:ind w:firstLine="482"/>
        <w:rPr>
          <w:b/>
          <w:bCs/>
        </w:rPr>
      </w:pPr>
      <w:r>
        <w:rPr>
          <w:rFonts w:hint="eastAsia"/>
          <w:b/>
          <w:bCs/>
        </w:rPr>
        <w:t>1</w:t>
      </w:r>
      <w:r>
        <w:rPr>
          <w:b/>
          <w:bCs/>
        </w:rPr>
        <w:t>、</w:t>
      </w:r>
      <w:r>
        <w:rPr>
          <w:rFonts w:hint="eastAsia"/>
          <w:b/>
          <w:bCs/>
        </w:rPr>
        <w:t>对沿线景观生态环境的影响</w:t>
      </w:r>
    </w:p>
    <w:p>
      <w:pPr>
        <w:pStyle w:val="112"/>
        <w:ind w:firstLine="480"/>
      </w:pPr>
      <w:r>
        <w:rPr>
          <w:rFonts w:hint="eastAsia"/>
        </w:rPr>
        <w:t>管线两侧各</w:t>
      </w:r>
      <w:r>
        <w:t>5m</w:t>
      </w:r>
      <w:r>
        <w:rPr>
          <w:rFonts w:hint="eastAsia"/>
        </w:rPr>
        <w:t>范围内的一般林地段施工结束后，原有一般林地景观类型发生变化。本项目施工结束后，沿线工程扰动区内的农田可恢复农业生产。</w:t>
      </w:r>
    </w:p>
    <w:p>
      <w:pPr>
        <w:pStyle w:val="112"/>
        <w:ind w:firstLine="480"/>
      </w:pPr>
      <w:r>
        <w:rPr>
          <w:rFonts w:hint="eastAsia"/>
        </w:rPr>
        <w:t>总体而言，本项目集输管线敷设在地下，进行密闭输送，运营后沿线工程扰动区域内的原有人工植被及自然植被逐渐恢复，对沿线区域景观生态环境影响相对较小。</w:t>
      </w:r>
    </w:p>
    <w:p>
      <w:pPr>
        <w:pStyle w:val="112"/>
        <w:ind w:firstLine="482"/>
        <w:rPr>
          <w:b/>
          <w:bCs/>
        </w:rPr>
      </w:pPr>
      <w:r>
        <w:rPr>
          <w:rFonts w:hint="eastAsia"/>
          <w:b/>
          <w:bCs/>
        </w:rPr>
        <w:t>2</w:t>
      </w:r>
      <w:r>
        <w:rPr>
          <w:b/>
          <w:bCs/>
        </w:rPr>
        <w:t>、</w:t>
      </w:r>
      <w:r>
        <w:rPr>
          <w:rFonts w:hint="eastAsia"/>
          <w:b/>
          <w:bCs/>
        </w:rPr>
        <w:t>对沿线动植物的影响</w:t>
      </w:r>
    </w:p>
    <w:p>
      <w:pPr>
        <w:pStyle w:val="112"/>
        <w:ind w:firstLine="480"/>
      </w:pPr>
      <w:r>
        <w:rPr>
          <w:rFonts w:hint="eastAsia"/>
        </w:rPr>
        <w:t>线性工程营运期对动植物的影响从景观生态功能和生态关系角度分析，集输管线等线性工程建设会对沿线工程扰动区域地表及其周围一定范围区域造成一定的景观隔离；但从生物传播关系来看，这种隔离作用仅限于对土壤微生物及以根系作为传播途径的植物的影响，对以花粉、种子为传播途径的植物以及动物的生态隔离影响较小。从生态系统中的食物链关系以及更广范围的生物互惠关系来看，由于建设过程持续时间较短，项目在区域总面积中所占比重较小，其影响较小。因此项目的建设对沿线的动植物影响较小。</w:t>
      </w:r>
    </w:p>
    <w:p>
      <w:pPr>
        <w:pStyle w:val="112"/>
        <w:ind w:firstLine="482"/>
        <w:rPr>
          <w:b/>
          <w:bCs/>
        </w:rPr>
      </w:pPr>
      <w:r>
        <w:rPr>
          <w:rFonts w:hint="eastAsia"/>
          <w:b/>
          <w:bCs/>
        </w:rPr>
        <w:t>3</w:t>
      </w:r>
      <w:r>
        <w:rPr>
          <w:b/>
          <w:bCs/>
        </w:rPr>
        <w:t>、</w:t>
      </w:r>
      <w:r>
        <w:rPr>
          <w:rFonts w:hint="eastAsia"/>
          <w:b/>
          <w:bCs/>
        </w:rPr>
        <w:t>对生态系统结构完整性和功能连续性的影响分析</w:t>
      </w:r>
    </w:p>
    <w:p>
      <w:pPr>
        <w:pStyle w:val="112"/>
        <w:ind w:firstLine="480"/>
      </w:pPr>
      <w:r>
        <w:rPr>
          <w:rFonts w:hint="eastAsia"/>
        </w:rPr>
        <w:t>拟建管道沿线区域主要植被类型为林地和农田植被。构成这些植被类型的种类为适应该区域的物种，具有种群数量大、适应性强的特点。项目建设过程会占用一定面积的一般林地及耕地，会减少部分植被类型的分布面积，但不会造成沿线植被类型分布状况和植物群落结构的改变。</w:t>
      </w:r>
    </w:p>
    <w:p>
      <w:pPr>
        <w:pStyle w:val="112"/>
        <w:ind w:firstLine="480"/>
      </w:pPr>
      <w:r>
        <w:rPr>
          <w:rFonts w:hint="eastAsia"/>
        </w:rPr>
        <w:t>对于森林植被而言，呈带状分布的施工作业不会阻隔植物的散布。植物通过花粉流仍能进行基因交流，种子生产和种子库更新等过程也不会被打断，因此，现有植物群落的物种组成不会因此发生改变，生物多样性也不会受较大的影响。由不同植物群落组成的生态系统结构也不会发生改变，生态系统的物质循环和能量流动及其中的生态关系仍能延续。</w:t>
      </w:r>
    </w:p>
    <w:p>
      <w:pPr>
        <w:pStyle w:val="112"/>
        <w:ind w:firstLine="480"/>
      </w:pPr>
      <w:r>
        <w:rPr>
          <w:rFonts w:hint="eastAsia"/>
        </w:rPr>
        <w:t>对于农田生态系统而言，小麦、玉米、马铃薯及蔬菜等农作物均为常见的物种，因此不会改变农田生态系统的结构和功能，因此，农田生态系统的持续生产能力不会下降，系统的运行连续性不会破坏。</w:t>
      </w:r>
    </w:p>
    <w:p>
      <w:pPr>
        <w:pStyle w:val="112"/>
        <w:ind w:firstLine="480"/>
      </w:pPr>
      <w:r>
        <w:rPr>
          <w:rFonts w:hint="eastAsia"/>
        </w:rPr>
        <w:t>综上所述，本区域内绝大部分的植被面积和植被类型没有发生变化，亦即对本区域生态环境起控制作用的组分未变动，生境的异质性没有发生大的改变，因此，项目建设不会改变现有生态系统的完整性和功能的连续性。</w:t>
      </w:r>
    </w:p>
    <w:p>
      <w:pPr>
        <w:pStyle w:val="4"/>
        <w:rPr>
          <w:rFonts w:eastAsia="宋体"/>
        </w:rPr>
      </w:pPr>
      <w:r>
        <w:rPr>
          <w:rFonts w:eastAsia="宋体"/>
        </w:rPr>
        <w:t xml:space="preserve">6.2.2 </w:t>
      </w:r>
      <w:r>
        <w:rPr>
          <w:rFonts w:hint="eastAsia" w:eastAsia="宋体"/>
        </w:rPr>
        <w:t>环境空气影响分析</w:t>
      </w:r>
    </w:p>
    <w:p>
      <w:pPr>
        <w:pStyle w:val="112"/>
        <w:ind w:firstLine="482"/>
        <w:rPr>
          <w:b/>
          <w:bCs/>
        </w:rPr>
      </w:pPr>
      <w:r>
        <w:rPr>
          <w:rFonts w:hint="eastAsia"/>
          <w:b/>
          <w:bCs/>
        </w:rPr>
        <w:t>1、正常工况</w:t>
      </w:r>
    </w:p>
    <w:p>
      <w:pPr>
        <w:pStyle w:val="112"/>
        <w:ind w:firstLine="480"/>
      </w:pPr>
      <w:r>
        <w:rPr>
          <w:rFonts w:hint="eastAsia"/>
        </w:rPr>
        <w:t>由于输气管道敷设在地下，进行密闭输送，管道进行了防腐处理，在正常情况下，不会有废气排放，不会对大气环境造成不利影响。项目主要排放废气为普陆4集气平台水套炉燃烧废气。</w:t>
      </w:r>
    </w:p>
    <w:p>
      <w:pPr>
        <w:pStyle w:val="112"/>
        <w:ind w:firstLine="480"/>
      </w:pPr>
      <w:r>
        <w:rPr>
          <w:rFonts w:hint="eastAsia"/>
        </w:rPr>
        <w:t>新建的普陆4集气平台为有人值守站，正常工况下仅有水套炉燃料燃烧产生的废气，该水套炉所使用的天然气来源于净化厂净化后返输天然气，依托现有</w:t>
      </w:r>
      <w:r>
        <w:t>燃气返输管线进行返输</w:t>
      </w:r>
      <w:r>
        <w:rPr>
          <w:rFonts w:hint="eastAsia"/>
        </w:rPr>
        <w:t>，不含硫化氢，主要成分为甲烷，燃烧后其主要污染物为</w:t>
      </w:r>
      <w:r>
        <w:t>NO</w:t>
      </w:r>
      <w:r>
        <w:rPr>
          <w:sz w:val="16"/>
          <w:szCs w:val="16"/>
        </w:rPr>
        <w:t>X</w:t>
      </w:r>
      <w:r>
        <w:rPr>
          <w:rFonts w:hint="eastAsia"/>
        </w:rPr>
        <w:t>。根据工程分析，本项目所使用的水套燃烧废气中</w:t>
      </w:r>
      <w:r>
        <w:t>NO</w:t>
      </w:r>
      <w:r>
        <w:rPr>
          <w:vertAlign w:val="subscript"/>
        </w:rPr>
        <w:t>X</w:t>
      </w:r>
      <w:r>
        <w:rPr>
          <w:rFonts w:hint="eastAsia"/>
        </w:rPr>
        <w:t>排放量为</w:t>
      </w:r>
      <w:r>
        <w:t>23.81g/h</w:t>
      </w:r>
      <w:r>
        <w:rPr>
          <w:rFonts w:hint="eastAsia"/>
        </w:rPr>
        <w:t>、</w:t>
      </w:r>
      <w:r>
        <w:t>0.57kg/d</w:t>
      </w:r>
      <w:r>
        <w:rPr>
          <w:rFonts w:hint="eastAsia"/>
        </w:rPr>
        <w:t>、</w:t>
      </w:r>
      <w:r>
        <w:t>35.56kg/a</w:t>
      </w:r>
      <w:r>
        <w:rPr>
          <w:rFonts w:hint="eastAsia"/>
        </w:rPr>
        <w:t>，排放浓度为</w:t>
      </w:r>
      <w:r>
        <w:t>147.5mg/m</w:t>
      </w:r>
      <w:r>
        <w:rPr>
          <w:vertAlign w:val="superscript"/>
        </w:rPr>
        <w:t>3</w:t>
      </w:r>
      <w:r>
        <w:rPr>
          <w:rFonts w:hint="eastAsia"/>
        </w:rPr>
        <w:t>。</w:t>
      </w:r>
    </w:p>
    <w:p>
      <w:pPr>
        <w:pStyle w:val="112"/>
        <w:ind w:firstLine="482"/>
        <w:rPr>
          <w:b/>
          <w:bCs/>
        </w:rPr>
      </w:pPr>
      <w:r>
        <w:rPr>
          <w:rFonts w:hint="eastAsia"/>
          <w:b/>
          <w:bCs/>
        </w:rPr>
        <w:t>（1）大气评价等级及评价内容</w:t>
      </w:r>
    </w:p>
    <w:p>
      <w:pPr>
        <w:pStyle w:val="112"/>
        <w:ind w:firstLine="480"/>
      </w:pPr>
      <w:r>
        <w:rPr>
          <w:rFonts w:hint="eastAsia"/>
        </w:rPr>
        <w:t>根据</w:t>
      </w:r>
      <w:r>
        <w:rPr>
          <w:lang w:val="de-DE"/>
        </w:rPr>
        <w:t>《环境影响评价技术导则-大气环境》（HJ2.2-2018）中附录A推荐模型中估算模型分别计算项目污染源的最大环境影响，然后按评价工作分级判据进行分级。</w:t>
      </w:r>
    </w:p>
    <w:p>
      <w:pPr>
        <w:pStyle w:val="112"/>
        <w:ind w:firstLine="480"/>
        <w:rPr>
          <w:lang w:val="de-DE"/>
        </w:rPr>
      </w:pPr>
      <w:r>
        <w:t>根据项目污染源初步调查结果，分别计算项目排放主要污染源的</w:t>
      </w:r>
      <w:r>
        <w:rPr>
          <w:lang w:val="de-DE"/>
        </w:rPr>
        <w:t>最大地面空气质量浓度占标率P</w:t>
      </w:r>
      <w:r>
        <w:rPr>
          <w:vertAlign w:val="subscript"/>
          <w:lang w:val="de-DE"/>
        </w:rPr>
        <w:t>i</w:t>
      </w:r>
      <w:r>
        <w:rPr>
          <w:lang w:val="de-DE"/>
        </w:rPr>
        <w:t>（第i个污染物，简称“最大浓度占标率”），及第i个污染物的地面空气质量浓度达到标准值的10%时所对应的最远距离D</w:t>
      </w:r>
      <w:r>
        <w:rPr>
          <w:vertAlign w:val="subscript"/>
          <w:lang w:val="de-DE"/>
        </w:rPr>
        <w:t>10%</w:t>
      </w:r>
      <w:r>
        <w:rPr>
          <w:lang w:val="de-DE"/>
        </w:rPr>
        <w:t>。其中P</w:t>
      </w:r>
      <w:r>
        <w:rPr>
          <w:vertAlign w:val="subscript"/>
          <w:lang w:val="de-DE"/>
        </w:rPr>
        <w:t>i</w:t>
      </w:r>
      <w:r>
        <w:rPr>
          <w:lang w:val="de-DE"/>
        </w:rPr>
        <w:t>定义公式（1）：</w:t>
      </w:r>
    </w:p>
    <w:p>
      <w:pPr>
        <w:snapToGrid w:val="0"/>
        <w:ind w:firstLine="560"/>
        <w:jc w:val="center"/>
        <w:rPr>
          <w:rFonts w:ascii="Times New Roman" w:cs="Times New Roman"/>
          <w:bCs/>
        </w:rPr>
      </w:pPr>
      <w:r>
        <w:rPr>
          <w:rFonts w:ascii="Times New Roman" w:cs="Times New Roman"/>
          <w:sz w:val="28"/>
        </w:rPr>
        <w:t xml:space="preserve">                  </w:t>
      </w:r>
      <w:r>
        <w:rPr>
          <w:rFonts w:ascii="Times New Roman" w:cs="Times New Roman"/>
          <w:position w:val="-30"/>
          <w:sz w:val="28"/>
        </w:rPr>
        <w:object>
          <v:shape id="_x0000_i1028" o:spt="75" type="#_x0000_t75" style="height:36pt;width:79.25pt;" o:ole="t" filled="f" o:preferrelative="t" stroked="f" coordsize="21600,21600">
            <v:path/>
            <v:fill on="f" focussize="0,0"/>
            <v:stroke on="f" joinstyle="miter"/>
            <v:imagedata r:id="rId46" o:title=""/>
            <o:lock v:ext="edit" aspectratio="t"/>
            <w10:wrap type="none"/>
            <w10:anchorlock/>
          </v:shape>
          <o:OLEObject Type="Embed" ProgID="Equation.3" ShapeID="_x0000_i1028" DrawAspect="Content" ObjectID="_1468075728" r:id="rId82">
            <o:LockedField>false</o:LockedField>
          </o:OLEObject>
        </w:object>
      </w:r>
      <w:r>
        <w:rPr>
          <w:rFonts w:ascii="Times New Roman" w:cs="Times New Roman"/>
          <w:sz w:val="28"/>
        </w:rPr>
        <w:t xml:space="preserve">                </w:t>
      </w:r>
      <w:r>
        <w:rPr>
          <w:rFonts w:ascii="Times New Roman" w:cs="Times New Roman"/>
        </w:rPr>
        <w:t>（1）</w:t>
      </w:r>
    </w:p>
    <w:p>
      <w:pPr>
        <w:snapToGrid w:val="0"/>
        <w:ind w:firstLine="480"/>
        <w:rPr>
          <w:rFonts w:ascii="Times New Roman" w:cs="Times New Roman"/>
        </w:rPr>
      </w:pPr>
      <w:r>
        <w:rPr>
          <w:rFonts w:ascii="Times New Roman" w:cs="Times New Roman"/>
        </w:rPr>
        <w:t>式中：P</w:t>
      </w:r>
      <w:r>
        <w:rPr>
          <w:rFonts w:ascii="Times New Roman" w:cs="Times New Roman"/>
          <w:vertAlign w:val="subscript"/>
        </w:rPr>
        <w:t>i</w:t>
      </w:r>
      <w:r>
        <w:rPr>
          <w:rFonts w:ascii="Times New Roman" w:cs="Times New Roman"/>
        </w:rPr>
        <w:t>——第i个污染物的最大地面空气质量浓度占标率，%；</w:t>
      </w:r>
    </w:p>
    <w:p>
      <w:pPr>
        <w:snapToGrid w:val="0"/>
        <w:ind w:firstLine="480"/>
        <w:rPr>
          <w:rFonts w:ascii="Times New Roman" w:cs="Times New Roman"/>
        </w:rPr>
      </w:pPr>
      <w:r>
        <w:rPr>
          <w:rFonts w:ascii="Times New Roman" w:cs="Times New Roman"/>
        </w:rPr>
        <w:t>C</w:t>
      </w:r>
      <w:r>
        <w:rPr>
          <w:rFonts w:ascii="Times New Roman" w:cs="Times New Roman"/>
          <w:vertAlign w:val="subscript"/>
        </w:rPr>
        <w:t>i</w:t>
      </w:r>
      <w:r>
        <w:rPr>
          <w:rFonts w:ascii="Times New Roman" w:cs="Times New Roman"/>
        </w:rPr>
        <w:t>——采用估算模式计算出的第i个污染物的最大1h地面空气质量浓度，ug/m</w:t>
      </w:r>
      <w:r>
        <w:rPr>
          <w:rFonts w:ascii="Times New Roman" w:cs="Times New Roman"/>
          <w:vertAlign w:val="superscript"/>
        </w:rPr>
        <w:t>3</w:t>
      </w:r>
      <w:r>
        <w:rPr>
          <w:rFonts w:ascii="Times New Roman" w:cs="Times New Roman"/>
        </w:rPr>
        <w:t>；</w:t>
      </w:r>
    </w:p>
    <w:p>
      <w:pPr>
        <w:snapToGrid w:val="0"/>
        <w:ind w:firstLine="480"/>
        <w:rPr>
          <w:rFonts w:ascii="Times New Roman" w:cs="Times New Roman"/>
        </w:rPr>
      </w:pPr>
      <w:r>
        <w:rPr>
          <w:rFonts w:ascii="Times New Roman" w:cs="Times New Roman"/>
        </w:rPr>
        <w:t>C</w:t>
      </w:r>
      <w:r>
        <w:rPr>
          <w:rFonts w:ascii="Times New Roman" w:cs="Times New Roman"/>
          <w:vertAlign w:val="subscript"/>
        </w:rPr>
        <w:t>oi</w:t>
      </w:r>
      <w:r>
        <w:rPr>
          <w:rFonts w:ascii="Times New Roman" w:cs="Times New Roman"/>
        </w:rPr>
        <w:t>——第i个污染物的环境空气质量浓度标准，ug/m</w:t>
      </w:r>
      <w:r>
        <w:rPr>
          <w:rFonts w:ascii="Times New Roman" w:cs="Times New Roman"/>
          <w:vertAlign w:val="superscript"/>
        </w:rPr>
        <w:t>3</w:t>
      </w:r>
      <w:r>
        <w:rPr>
          <w:rFonts w:ascii="Times New Roman" w:cs="Times New Roman"/>
        </w:rPr>
        <w:t>。</w:t>
      </w:r>
    </w:p>
    <w:p>
      <w:pPr>
        <w:pStyle w:val="112"/>
        <w:ind w:firstLine="480"/>
      </w:pPr>
      <w:r>
        <w:t>评价工作等级按下表的分级判据进行划分。最大地面空气质量浓度占标率按公式（1）计算，如污染物数i大于1，取P值中最大者P</w:t>
      </w:r>
      <w:r>
        <w:rPr>
          <w:vertAlign w:val="subscript"/>
        </w:rPr>
        <w:t>max</w:t>
      </w:r>
      <w:r>
        <w:t>。</w:t>
      </w:r>
    </w:p>
    <w:p>
      <w:pPr>
        <w:pStyle w:val="37"/>
      </w:pPr>
      <w:r>
        <w:t>表6.2-1  评价工作等级</w:t>
      </w:r>
    </w:p>
    <w:tbl>
      <w:tblPr>
        <w:tblStyle w:val="57"/>
        <w:tblW w:w="90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61"/>
        <w:gridCol w:w="59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3061" w:type="dxa"/>
            <w:vAlign w:val="center"/>
          </w:tcPr>
          <w:p>
            <w:pPr>
              <w:pStyle w:val="553"/>
              <w:rPr>
                <w:b/>
                <w:bCs w:val="0"/>
              </w:rPr>
            </w:pPr>
            <w:r>
              <w:rPr>
                <w:b/>
                <w:bCs w:val="0"/>
              </w:rPr>
              <w:t>评价工作等级</w:t>
            </w:r>
          </w:p>
        </w:tc>
        <w:tc>
          <w:tcPr>
            <w:tcW w:w="5976" w:type="dxa"/>
            <w:vAlign w:val="center"/>
          </w:tcPr>
          <w:p>
            <w:pPr>
              <w:pStyle w:val="553"/>
              <w:rPr>
                <w:b/>
                <w:bCs w:val="0"/>
              </w:rPr>
            </w:pPr>
            <w:r>
              <w:rPr>
                <w:b/>
                <w:bCs w:val="0"/>
              </w:rPr>
              <w:t>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3061" w:type="dxa"/>
            <w:vAlign w:val="center"/>
          </w:tcPr>
          <w:p>
            <w:pPr>
              <w:pStyle w:val="553"/>
            </w:pPr>
            <w:r>
              <w:t>一级评价</w:t>
            </w:r>
          </w:p>
        </w:tc>
        <w:tc>
          <w:tcPr>
            <w:tcW w:w="5976" w:type="dxa"/>
            <w:vAlign w:val="center"/>
          </w:tcPr>
          <w:p>
            <w:pPr>
              <w:pStyle w:val="553"/>
            </w:pPr>
            <w:r>
              <w:t>P</w:t>
            </w:r>
            <w:r>
              <w:rPr>
                <w:vertAlign w:val="subscript"/>
              </w:rPr>
              <w:t>max</w:t>
            </w:r>
            <w: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3061" w:type="dxa"/>
            <w:vAlign w:val="center"/>
          </w:tcPr>
          <w:p>
            <w:pPr>
              <w:pStyle w:val="553"/>
            </w:pPr>
            <w:r>
              <w:t>二级评价</w:t>
            </w:r>
          </w:p>
        </w:tc>
        <w:tc>
          <w:tcPr>
            <w:tcW w:w="5976" w:type="dxa"/>
            <w:vAlign w:val="center"/>
          </w:tcPr>
          <w:p>
            <w:pPr>
              <w:pStyle w:val="553"/>
            </w:pPr>
            <w:r>
              <w:t>1≤P</w:t>
            </w:r>
            <w:r>
              <w:rPr>
                <w:vertAlign w:val="subscript"/>
              </w:rPr>
              <w:t>max</w:t>
            </w:r>
            <w:r>
              <w:t>&lt;10%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3061" w:type="dxa"/>
            <w:vAlign w:val="center"/>
          </w:tcPr>
          <w:p>
            <w:pPr>
              <w:pStyle w:val="553"/>
            </w:pPr>
            <w:r>
              <w:t>三级评价</w:t>
            </w:r>
          </w:p>
        </w:tc>
        <w:tc>
          <w:tcPr>
            <w:tcW w:w="5976" w:type="dxa"/>
            <w:vAlign w:val="center"/>
          </w:tcPr>
          <w:p>
            <w:pPr>
              <w:pStyle w:val="553"/>
            </w:pPr>
            <w:r>
              <w:t>P</w:t>
            </w:r>
            <w:r>
              <w:rPr>
                <w:vertAlign w:val="subscript"/>
              </w:rPr>
              <w:t>max</w:t>
            </w:r>
            <w:r>
              <w:t>&lt;1%</w:t>
            </w:r>
          </w:p>
        </w:tc>
      </w:tr>
    </w:tbl>
    <w:p>
      <w:pPr>
        <w:pStyle w:val="112"/>
        <w:ind w:firstLine="482"/>
        <w:rPr>
          <w:b/>
          <w:bCs/>
        </w:rPr>
      </w:pPr>
      <w:r>
        <w:rPr>
          <w:b/>
          <w:bCs/>
        </w:rPr>
        <w:t>（2）估算模型参数</w:t>
      </w:r>
    </w:p>
    <w:p>
      <w:pPr>
        <w:pStyle w:val="112"/>
        <w:ind w:firstLine="480"/>
        <w:rPr>
          <w:lang w:val="de-DE"/>
        </w:rPr>
      </w:pPr>
      <w:r>
        <w:rPr>
          <w:lang w:val="de-DE"/>
        </w:rPr>
        <w:t>估算模型参数见下表：</w:t>
      </w:r>
    </w:p>
    <w:p>
      <w:pPr>
        <w:pStyle w:val="37"/>
        <w:rPr>
          <w:rFonts w:cs="Times New Roman"/>
        </w:rPr>
      </w:pPr>
      <w:r>
        <w:rPr>
          <w:rFonts w:cs="Times New Roman"/>
        </w:rPr>
        <w:t>表6.2-2  污染物计算参数选取表</w:t>
      </w:r>
    </w:p>
    <w:tbl>
      <w:tblPr>
        <w:tblStyle w:val="57"/>
        <w:tblW w:w="8892"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2396"/>
        <w:gridCol w:w="2924"/>
        <w:gridCol w:w="357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73" w:hRule="atLeast"/>
          <w:jc w:val="center"/>
        </w:trPr>
        <w:tc>
          <w:tcPr>
            <w:tcW w:w="5320" w:type="dxa"/>
            <w:gridSpan w:val="2"/>
            <w:vAlign w:val="center"/>
          </w:tcPr>
          <w:p>
            <w:pPr>
              <w:pStyle w:val="539"/>
              <w:rPr>
                <w:b/>
                <w:bCs/>
              </w:rPr>
            </w:pPr>
            <w:r>
              <w:rPr>
                <w:b/>
                <w:bCs/>
              </w:rPr>
              <w:t>参数</w:t>
            </w:r>
          </w:p>
        </w:tc>
        <w:tc>
          <w:tcPr>
            <w:tcW w:w="3572" w:type="dxa"/>
            <w:vAlign w:val="center"/>
          </w:tcPr>
          <w:p>
            <w:pPr>
              <w:pStyle w:val="539"/>
              <w:rPr>
                <w:b/>
                <w:bCs/>
              </w:rPr>
            </w:pPr>
            <w:r>
              <w:rPr>
                <w:b/>
                <w:bCs/>
              </w:rPr>
              <w:t>取值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73" w:hRule="atLeast"/>
          <w:jc w:val="center"/>
        </w:trPr>
        <w:tc>
          <w:tcPr>
            <w:tcW w:w="2396" w:type="dxa"/>
            <w:vMerge w:val="restart"/>
            <w:vAlign w:val="center"/>
          </w:tcPr>
          <w:p>
            <w:pPr>
              <w:pStyle w:val="539"/>
            </w:pPr>
            <w:r>
              <w:t>城市农村/选项</w:t>
            </w:r>
          </w:p>
        </w:tc>
        <w:tc>
          <w:tcPr>
            <w:tcW w:w="2923" w:type="dxa"/>
            <w:vAlign w:val="center"/>
          </w:tcPr>
          <w:p>
            <w:pPr>
              <w:pStyle w:val="539"/>
            </w:pPr>
            <w:r>
              <w:t>城市/农村</w:t>
            </w:r>
          </w:p>
        </w:tc>
        <w:tc>
          <w:tcPr>
            <w:tcW w:w="3572" w:type="dxa"/>
            <w:vAlign w:val="center"/>
          </w:tcPr>
          <w:p>
            <w:pPr>
              <w:pStyle w:val="539"/>
            </w:pPr>
            <w:r>
              <w:t>农村</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73" w:hRule="atLeast"/>
          <w:jc w:val="center"/>
        </w:trPr>
        <w:tc>
          <w:tcPr>
            <w:tcW w:w="2396" w:type="dxa"/>
            <w:vMerge w:val="continue"/>
            <w:vAlign w:val="center"/>
          </w:tcPr>
          <w:p>
            <w:pPr>
              <w:pStyle w:val="539"/>
            </w:pPr>
          </w:p>
        </w:tc>
        <w:tc>
          <w:tcPr>
            <w:tcW w:w="2923" w:type="dxa"/>
            <w:vAlign w:val="center"/>
          </w:tcPr>
          <w:p>
            <w:pPr>
              <w:pStyle w:val="539"/>
            </w:pPr>
            <w:r>
              <w:t>人口数（城市人口数）</w:t>
            </w:r>
          </w:p>
        </w:tc>
        <w:tc>
          <w:tcPr>
            <w:tcW w:w="3572" w:type="dxa"/>
            <w:vAlign w:val="center"/>
          </w:tcPr>
          <w:p>
            <w:pPr>
              <w:pStyle w:val="539"/>
            </w:pPr>
            <w: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70" w:hRule="atLeast"/>
          <w:jc w:val="center"/>
        </w:trPr>
        <w:tc>
          <w:tcPr>
            <w:tcW w:w="5320" w:type="dxa"/>
            <w:gridSpan w:val="2"/>
            <w:vAlign w:val="center"/>
          </w:tcPr>
          <w:p>
            <w:pPr>
              <w:pStyle w:val="539"/>
            </w:pPr>
            <w:r>
              <w:t>最高环境温度/℃</w:t>
            </w:r>
          </w:p>
        </w:tc>
        <w:tc>
          <w:tcPr>
            <w:tcW w:w="3572" w:type="dxa"/>
            <w:vAlign w:val="center"/>
          </w:tcPr>
          <w:p>
            <w:pPr>
              <w:pStyle w:val="539"/>
            </w:pPr>
            <w:r>
              <w:t>41.3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73" w:hRule="atLeast"/>
          <w:jc w:val="center"/>
        </w:trPr>
        <w:tc>
          <w:tcPr>
            <w:tcW w:w="5320" w:type="dxa"/>
            <w:gridSpan w:val="2"/>
            <w:vAlign w:val="center"/>
          </w:tcPr>
          <w:p>
            <w:pPr>
              <w:pStyle w:val="539"/>
            </w:pPr>
            <w:r>
              <w:t>最低环境温度/℃</w:t>
            </w:r>
          </w:p>
        </w:tc>
        <w:tc>
          <w:tcPr>
            <w:tcW w:w="3572" w:type="dxa"/>
            <w:vAlign w:val="center"/>
          </w:tcPr>
          <w:p>
            <w:pPr>
              <w:pStyle w:val="539"/>
            </w:pPr>
            <w:r>
              <w:t>-</w:t>
            </w:r>
            <w:r>
              <w:rPr>
                <w:rFonts w:hint="eastAsia"/>
              </w:rPr>
              <w:t>2</w:t>
            </w:r>
            <w: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73" w:hRule="atLeast"/>
          <w:jc w:val="center"/>
        </w:trPr>
        <w:tc>
          <w:tcPr>
            <w:tcW w:w="5320" w:type="dxa"/>
            <w:gridSpan w:val="2"/>
            <w:vAlign w:val="center"/>
          </w:tcPr>
          <w:p>
            <w:pPr>
              <w:pStyle w:val="539"/>
            </w:pPr>
            <w:r>
              <w:t>土地利用类型</w:t>
            </w:r>
          </w:p>
        </w:tc>
        <w:tc>
          <w:tcPr>
            <w:tcW w:w="3572" w:type="dxa"/>
            <w:vAlign w:val="center"/>
          </w:tcPr>
          <w:p>
            <w:pPr>
              <w:pStyle w:val="539"/>
            </w:pPr>
            <w:r>
              <w:t>农村</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73" w:hRule="atLeast"/>
          <w:jc w:val="center"/>
        </w:trPr>
        <w:tc>
          <w:tcPr>
            <w:tcW w:w="5320" w:type="dxa"/>
            <w:gridSpan w:val="2"/>
            <w:vAlign w:val="center"/>
          </w:tcPr>
          <w:p>
            <w:pPr>
              <w:pStyle w:val="539"/>
            </w:pPr>
            <w:r>
              <w:t>区域湿度条件</w:t>
            </w:r>
          </w:p>
        </w:tc>
        <w:tc>
          <w:tcPr>
            <w:tcW w:w="3572" w:type="dxa"/>
            <w:vAlign w:val="center"/>
          </w:tcPr>
          <w:p>
            <w:pPr>
              <w:pStyle w:val="539"/>
            </w:pPr>
            <w:r>
              <w:t>潮湿</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53" w:hRule="atLeast"/>
          <w:jc w:val="center"/>
        </w:trPr>
        <w:tc>
          <w:tcPr>
            <w:tcW w:w="2396" w:type="dxa"/>
            <w:vMerge w:val="restart"/>
            <w:vAlign w:val="center"/>
          </w:tcPr>
          <w:p>
            <w:pPr>
              <w:pStyle w:val="539"/>
            </w:pPr>
            <w:r>
              <w:t>是否考虑地形</w:t>
            </w:r>
          </w:p>
        </w:tc>
        <w:tc>
          <w:tcPr>
            <w:tcW w:w="2923" w:type="dxa"/>
            <w:vAlign w:val="center"/>
          </w:tcPr>
          <w:p>
            <w:pPr>
              <w:pStyle w:val="539"/>
            </w:pPr>
            <w:r>
              <w:t>考虑地形</w:t>
            </w:r>
          </w:p>
        </w:tc>
        <w:tc>
          <w:tcPr>
            <w:tcW w:w="3572" w:type="dxa"/>
            <w:vAlign w:val="center"/>
          </w:tcPr>
          <w:p>
            <w:pPr>
              <w:pStyle w:val="539"/>
            </w:pPr>
            <w:r>
              <w:t>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53" w:hRule="atLeast"/>
          <w:jc w:val="center"/>
        </w:trPr>
        <w:tc>
          <w:tcPr>
            <w:tcW w:w="2396" w:type="dxa"/>
            <w:vMerge w:val="continue"/>
            <w:vAlign w:val="center"/>
          </w:tcPr>
          <w:p>
            <w:pPr>
              <w:pStyle w:val="539"/>
            </w:pPr>
          </w:p>
        </w:tc>
        <w:tc>
          <w:tcPr>
            <w:tcW w:w="2923" w:type="dxa"/>
            <w:vAlign w:val="center"/>
          </w:tcPr>
          <w:p>
            <w:pPr>
              <w:pStyle w:val="539"/>
            </w:pPr>
            <w:r>
              <w:t>地形数据分辨率</w:t>
            </w:r>
            <w:r>
              <w:rPr>
                <w:rFonts w:hint="eastAsia"/>
              </w:rPr>
              <w:t>（</w:t>
            </w:r>
            <w:r>
              <w:t>m</w:t>
            </w:r>
            <w:r>
              <w:rPr>
                <w:rFonts w:hint="eastAsia"/>
              </w:rPr>
              <w:t>）</w:t>
            </w:r>
          </w:p>
        </w:tc>
        <w:tc>
          <w:tcPr>
            <w:tcW w:w="3572" w:type="dxa"/>
            <w:vAlign w:val="center"/>
          </w:tcPr>
          <w:p>
            <w:pPr>
              <w:pStyle w:val="539"/>
            </w:pPr>
            <w:r>
              <w:t>90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102" w:hRule="atLeast"/>
          <w:jc w:val="center"/>
        </w:trPr>
        <w:tc>
          <w:tcPr>
            <w:tcW w:w="2396" w:type="dxa"/>
            <w:vMerge w:val="restart"/>
            <w:vAlign w:val="center"/>
          </w:tcPr>
          <w:p>
            <w:pPr>
              <w:pStyle w:val="539"/>
            </w:pPr>
            <w:r>
              <w:t>是否考虑岸线熏烟</w:t>
            </w:r>
          </w:p>
        </w:tc>
        <w:tc>
          <w:tcPr>
            <w:tcW w:w="2923" w:type="dxa"/>
            <w:vAlign w:val="center"/>
          </w:tcPr>
          <w:p>
            <w:pPr>
              <w:pStyle w:val="539"/>
            </w:pPr>
            <w:r>
              <w:t>考虑岸线熏烟</w:t>
            </w:r>
          </w:p>
        </w:tc>
        <w:tc>
          <w:tcPr>
            <w:tcW w:w="3572" w:type="dxa"/>
            <w:vAlign w:val="center"/>
          </w:tcPr>
          <w:p>
            <w:pPr>
              <w:pStyle w:val="539"/>
            </w:pPr>
            <w:r>
              <w:t>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102" w:hRule="atLeast"/>
          <w:jc w:val="center"/>
        </w:trPr>
        <w:tc>
          <w:tcPr>
            <w:tcW w:w="2396" w:type="dxa"/>
            <w:vMerge w:val="continue"/>
            <w:vAlign w:val="center"/>
          </w:tcPr>
          <w:p>
            <w:pPr>
              <w:pStyle w:val="539"/>
            </w:pPr>
          </w:p>
        </w:tc>
        <w:tc>
          <w:tcPr>
            <w:tcW w:w="2923" w:type="dxa"/>
            <w:vAlign w:val="center"/>
          </w:tcPr>
          <w:p>
            <w:pPr>
              <w:pStyle w:val="539"/>
            </w:pPr>
            <w:r>
              <w:t>岸线距离/km</w:t>
            </w:r>
          </w:p>
        </w:tc>
        <w:tc>
          <w:tcPr>
            <w:tcW w:w="3572" w:type="dxa"/>
            <w:vAlign w:val="center"/>
          </w:tcPr>
          <w:p>
            <w:pPr>
              <w:pStyle w:val="539"/>
            </w:pPr>
            <w: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102" w:hRule="atLeast"/>
          <w:jc w:val="center"/>
        </w:trPr>
        <w:tc>
          <w:tcPr>
            <w:tcW w:w="2396" w:type="dxa"/>
            <w:vMerge w:val="continue"/>
            <w:vAlign w:val="center"/>
          </w:tcPr>
          <w:p>
            <w:pPr>
              <w:pStyle w:val="539"/>
            </w:pPr>
          </w:p>
        </w:tc>
        <w:tc>
          <w:tcPr>
            <w:tcW w:w="2923" w:type="dxa"/>
            <w:vAlign w:val="center"/>
          </w:tcPr>
          <w:p>
            <w:pPr>
              <w:pStyle w:val="539"/>
            </w:pPr>
            <w:r>
              <w:t>岸线方向/o</w:t>
            </w:r>
          </w:p>
        </w:tc>
        <w:tc>
          <w:tcPr>
            <w:tcW w:w="3572" w:type="dxa"/>
            <w:vAlign w:val="center"/>
          </w:tcPr>
          <w:p>
            <w:pPr>
              <w:pStyle w:val="539"/>
            </w:pPr>
            <w:r>
              <w:t>/</w:t>
            </w:r>
          </w:p>
        </w:tc>
      </w:tr>
    </w:tbl>
    <w:p>
      <w:pPr>
        <w:pStyle w:val="112"/>
        <w:ind w:firstLine="482"/>
        <w:rPr>
          <w:b/>
          <w:bCs/>
        </w:rPr>
      </w:pPr>
      <w:r>
        <w:rPr>
          <w:rFonts w:hint="eastAsia"/>
          <w:b/>
          <w:bCs/>
        </w:rPr>
        <w:t>（</w:t>
      </w:r>
      <w:r>
        <w:rPr>
          <w:b/>
          <w:bCs/>
        </w:rPr>
        <w:t>3</w:t>
      </w:r>
      <w:r>
        <w:rPr>
          <w:rFonts w:hint="eastAsia"/>
          <w:b/>
          <w:bCs/>
        </w:rPr>
        <w:t>）主要污染源估算模型计算结果</w:t>
      </w:r>
    </w:p>
    <w:p>
      <w:pPr>
        <w:pStyle w:val="112"/>
        <w:ind w:firstLine="480"/>
      </w:pPr>
      <w:r>
        <w:rPr>
          <w:rFonts w:hint="eastAsia"/>
        </w:rPr>
        <w:t>项目废气污染物排放情况及估算参数选择情况见下表：</w:t>
      </w:r>
    </w:p>
    <w:p>
      <w:pPr>
        <w:pStyle w:val="37"/>
        <w:rPr>
          <w:rFonts w:cs="Times New Roman"/>
        </w:rPr>
      </w:pPr>
      <w:r>
        <w:rPr>
          <w:rFonts w:cs="Times New Roman"/>
        </w:rPr>
        <w:t xml:space="preserve">表6.2-3  </w:t>
      </w:r>
      <w:r>
        <w:rPr>
          <w:rFonts w:hint="eastAsia" w:cs="Times New Roman"/>
        </w:rPr>
        <w:t>项目点源参数调查清单</w:t>
      </w:r>
    </w:p>
    <w:tbl>
      <w:tblPr>
        <w:tblStyle w:val="57"/>
        <w:tblW w:w="918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14"/>
        <w:gridCol w:w="1003"/>
        <w:gridCol w:w="1224"/>
        <w:gridCol w:w="934"/>
        <w:gridCol w:w="997"/>
        <w:gridCol w:w="1091"/>
        <w:gridCol w:w="892"/>
        <w:gridCol w:w="16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8" w:hRule="atLeast"/>
          <w:jc w:val="center"/>
        </w:trPr>
        <w:tc>
          <w:tcPr>
            <w:tcW w:w="1414" w:type="dxa"/>
            <w:vMerge w:val="restart"/>
            <w:vAlign w:val="center"/>
          </w:tcPr>
          <w:p>
            <w:pPr>
              <w:pStyle w:val="553"/>
              <w:rPr>
                <w:b/>
                <w:bCs w:val="0"/>
                <w:szCs w:val="21"/>
              </w:rPr>
            </w:pPr>
            <w:r>
              <w:rPr>
                <w:b/>
                <w:bCs w:val="0"/>
                <w:szCs w:val="21"/>
              </w:rPr>
              <w:t>名称</w:t>
            </w:r>
          </w:p>
        </w:tc>
        <w:tc>
          <w:tcPr>
            <w:tcW w:w="1003" w:type="dxa"/>
            <w:vMerge w:val="restart"/>
            <w:tcBorders>
              <w:right w:val="single" w:color="auto" w:sz="2" w:space="0"/>
            </w:tcBorders>
            <w:vAlign w:val="center"/>
          </w:tcPr>
          <w:p>
            <w:pPr>
              <w:pStyle w:val="119"/>
              <w:jc w:val="center"/>
              <w:rPr>
                <w:b/>
                <w:color w:val="auto"/>
                <w:sz w:val="21"/>
                <w:szCs w:val="21"/>
              </w:rPr>
            </w:pPr>
            <w:r>
              <w:rPr>
                <w:rFonts w:hint="eastAsia"/>
                <w:b/>
                <w:color w:val="auto"/>
                <w:sz w:val="21"/>
                <w:szCs w:val="21"/>
              </w:rPr>
              <w:t>排气筒高度</w:t>
            </w:r>
            <w:r>
              <w:rPr>
                <w:rFonts w:ascii="Times New Roman" w:hAnsi="Times New Roman" w:cs="Times New Roman"/>
                <w:b/>
                <w:color w:val="auto"/>
                <w:sz w:val="21"/>
                <w:szCs w:val="21"/>
              </w:rPr>
              <w:t>/m</w:t>
            </w:r>
          </w:p>
        </w:tc>
        <w:tc>
          <w:tcPr>
            <w:tcW w:w="1224" w:type="dxa"/>
            <w:vMerge w:val="restart"/>
            <w:tcBorders>
              <w:left w:val="single" w:color="auto" w:sz="2" w:space="0"/>
            </w:tcBorders>
            <w:vAlign w:val="center"/>
          </w:tcPr>
          <w:p>
            <w:pPr>
              <w:pStyle w:val="119"/>
              <w:jc w:val="center"/>
              <w:rPr>
                <w:b/>
                <w:color w:val="auto"/>
                <w:sz w:val="21"/>
                <w:szCs w:val="21"/>
              </w:rPr>
            </w:pPr>
            <w:r>
              <w:rPr>
                <w:rFonts w:hint="eastAsia"/>
                <w:b/>
                <w:color w:val="auto"/>
                <w:sz w:val="21"/>
                <w:szCs w:val="21"/>
              </w:rPr>
              <w:t>排气筒出口内径</w:t>
            </w:r>
            <w:r>
              <w:rPr>
                <w:rFonts w:ascii="Times New Roman" w:hAnsi="Times New Roman" w:cs="Times New Roman"/>
                <w:b/>
                <w:color w:val="auto"/>
                <w:sz w:val="21"/>
                <w:szCs w:val="21"/>
              </w:rPr>
              <w:t>m</w:t>
            </w:r>
          </w:p>
        </w:tc>
        <w:tc>
          <w:tcPr>
            <w:tcW w:w="934" w:type="dxa"/>
            <w:vMerge w:val="restart"/>
            <w:vAlign w:val="center"/>
          </w:tcPr>
          <w:p>
            <w:pPr>
              <w:pStyle w:val="119"/>
              <w:jc w:val="center"/>
              <w:rPr>
                <w:b/>
                <w:color w:val="auto"/>
                <w:sz w:val="21"/>
                <w:szCs w:val="21"/>
              </w:rPr>
            </w:pPr>
            <w:r>
              <w:rPr>
                <w:rFonts w:hint="eastAsia"/>
                <w:b/>
                <w:color w:val="auto"/>
                <w:sz w:val="21"/>
                <w:szCs w:val="21"/>
              </w:rPr>
              <w:t>烟气流量</w:t>
            </w:r>
            <w:r>
              <w:rPr>
                <w:rFonts w:ascii="Times New Roman" w:hAnsi="Times New Roman" w:cs="Times New Roman"/>
                <w:b/>
                <w:color w:val="auto"/>
                <w:sz w:val="21"/>
                <w:szCs w:val="21"/>
              </w:rPr>
              <w:t>m</w:t>
            </w:r>
            <w:r>
              <w:rPr>
                <w:rFonts w:ascii="Times New Roman" w:hAnsi="Times New Roman" w:cs="Times New Roman"/>
                <w:b/>
                <w:color w:val="auto"/>
                <w:sz w:val="21"/>
                <w:szCs w:val="21"/>
                <w:vertAlign w:val="superscript"/>
              </w:rPr>
              <w:t>3</w:t>
            </w:r>
            <w:r>
              <w:rPr>
                <w:rFonts w:ascii="Times New Roman" w:hAnsi="Times New Roman" w:cs="Times New Roman"/>
                <w:b/>
                <w:color w:val="auto"/>
                <w:sz w:val="21"/>
                <w:szCs w:val="21"/>
              </w:rPr>
              <w:t>/h</w:t>
            </w:r>
          </w:p>
        </w:tc>
        <w:tc>
          <w:tcPr>
            <w:tcW w:w="997" w:type="dxa"/>
            <w:vMerge w:val="restart"/>
            <w:vAlign w:val="center"/>
          </w:tcPr>
          <w:p>
            <w:pPr>
              <w:pStyle w:val="119"/>
              <w:jc w:val="center"/>
              <w:rPr>
                <w:b/>
                <w:color w:val="auto"/>
                <w:sz w:val="21"/>
                <w:szCs w:val="21"/>
              </w:rPr>
            </w:pPr>
            <w:r>
              <w:rPr>
                <w:rFonts w:hint="eastAsia"/>
                <w:b/>
                <w:color w:val="auto"/>
                <w:sz w:val="21"/>
                <w:szCs w:val="21"/>
              </w:rPr>
              <w:t>烟气温度℃</w:t>
            </w:r>
          </w:p>
        </w:tc>
        <w:tc>
          <w:tcPr>
            <w:tcW w:w="1091" w:type="dxa"/>
            <w:vMerge w:val="restart"/>
            <w:vAlign w:val="center"/>
          </w:tcPr>
          <w:p>
            <w:pPr>
              <w:pStyle w:val="119"/>
              <w:jc w:val="center"/>
              <w:rPr>
                <w:b/>
                <w:color w:val="auto"/>
                <w:sz w:val="21"/>
                <w:szCs w:val="21"/>
              </w:rPr>
            </w:pPr>
            <w:r>
              <w:rPr>
                <w:rFonts w:hint="eastAsia"/>
                <w:b/>
                <w:color w:val="auto"/>
                <w:sz w:val="21"/>
                <w:szCs w:val="21"/>
              </w:rPr>
              <w:t>年排放小时数</w:t>
            </w:r>
            <w:r>
              <w:rPr>
                <w:rFonts w:ascii="Times New Roman" w:hAnsi="Times New Roman" w:cs="Times New Roman"/>
                <w:b/>
                <w:color w:val="auto"/>
                <w:sz w:val="21"/>
                <w:szCs w:val="21"/>
              </w:rPr>
              <w:t>/h</w:t>
            </w:r>
          </w:p>
        </w:tc>
        <w:tc>
          <w:tcPr>
            <w:tcW w:w="892" w:type="dxa"/>
            <w:vMerge w:val="restart"/>
            <w:vAlign w:val="center"/>
          </w:tcPr>
          <w:p>
            <w:pPr>
              <w:pStyle w:val="119"/>
              <w:jc w:val="center"/>
              <w:rPr>
                <w:b/>
                <w:color w:val="auto"/>
                <w:sz w:val="21"/>
                <w:szCs w:val="21"/>
              </w:rPr>
            </w:pPr>
            <w:r>
              <w:rPr>
                <w:rFonts w:hint="eastAsia"/>
                <w:b/>
                <w:color w:val="auto"/>
                <w:sz w:val="21"/>
                <w:szCs w:val="21"/>
              </w:rPr>
              <w:t>排放工况</w:t>
            </w:r>
          </w:p>
        </w:tc>
        <w:tc>
          <w:tcPr>
            <w:tcW w:w="1627" w:type="dxa"/>
            <w:vAlign w:val="center"/>
          </w:tcPr>
          <w:p>
            <w:pPr>
              <w:pStyle w:val="553"/>
              <w:rPr>
                <w:b/>
                <w:bCs w:val="0"/>
                <w:snapToGrid w:val="0"/>
                <w:szCs w:val="21"/>
              </w:rPr>
            </w:pPr>
            <w:r>
              <w:rPr>
                <w:b/>
                <w:bCs w:val="0"/>
                <w:snapToGrid w:val="0"/>
                <w:szCs w:val="21"/>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7" w:hRule="atLeast"/>
          <w:jc w:val="center"/>
        </w:trPr>
        <w:tc>
          <w:tcPr>
            <w:tcW w:w="1414" w:type="dxa"/>
            <w:vMerge w:val="continue"/>
            <w:vAlign w:val="center"/>
          </w:tcPr>
          <w:p>
            <w:pPr>
              <w:pStyle w:val="553"/>
              <w:rPr>
                <w:b/>
                <w:bCs w:val="0"/>
                <w:szCs w:val="21"/>
              </w:rPr>
            </w:pPr>
          </w:p>
        </w:tc>
        <w:tc>
          <w:tcPr>
            <w:tcW w:w="1003" w:type="dxa"/>
            <w:vMerge w:val="continue"/>
            <w:tcBorders>
              <w:right w:val="single" w:color="auto" w:sz="2" w:space="0"/>
            </w:tcBorders>
            <w:vAlign w:val="center"/>
          </w:tcPr>
          <w:p>
            <w:pPr>
              <w:pStyle w:val="553"/>
              <w:rPr>
                <w:b/>
                <w:bCs w:val="0"/>
                <w:szCs w:val="21"/>
              </w:rPr>
            </w:pPr>
          </w:p>
        </w:tc>
        <w:tc>
          <w:tcPr>
            <w:tcW w:w="1224" w:type="dxa"/>
            <w:vMerge w:val="continue"/>
            <w:tcBorders>
              <w:left w:val="single" w:color="auto" w:sz="2" w:space="0"/>
            </w:tcBorders>
            <w:vAlign w:val="center"/>
          </w:tcPr>
          <w:p>
            <w:pPr>
              <w:pStyle w:val="553"/>
              <w:rPr>
                <w:b/>
                <w:bCs w:val="0"/>
                <w:szCs w:val="21"/>
              </w:rPr>
            </w:pPr>
          </w:p>
        </w:tc>
        <w:tc>
          <w:tcPr>
            <w:tcW w:w="934" w:type="dxa"/>
            <w:vMerge w:val="continue"/>
            <w:vAlign w:val="center"/>
          </w:tcPr>
          <w:p>
            <w:pPr>
              <w:pStyle w:val="553"/>
              <w:rPr>
                <w:b/>
                <w:bCs w:val="0"/>
                <w:szCs w:val="21"/>
              </w:rPr>
            </w:pPr>
          </w:p>
        </w:tc>
        <w:tc>
          <w:tcPr>
            <w:tcW w:w="997" w:type="dxa"/>
            <w:vMerge w:val="continue"/>
            <w:vAlign w:val="center"/>
          </w:tcPr>
          <w:p>
            <w:pPr>
              <w:pStyle w:val="553"/>
              <w:rPr>
                <w:b/>
                <w:bCs w:val="0"/>
                <w:szCs w:val="21"/>
              </w:rPr>
            </w:pPr>
          </w:p>
        </w:tc>
        <w:tc>
          <w:tcPr>
            <w:tcW w:w="1091" w:type="dxa"/>
            <w:vMerge w:val="continue"/>
            <w:vAlign w:val="center"/>
          </w:tcPr>
          <w:p>
            <w:pPr>
              <w:pStyle w:val="553"/>
              <w:rPr>
                <w:b/>
                <w:bCs w:val="0"/>
                <w:szCs w:val="21"/>
              </w:rPr>
            </w:pPr>
          </w:p>
        </w:tc>
        <w:tc>
          <w:tcPr>
            <w:tcW w:w="892" w:type="dxa"/>
            <w:vMerge w:val="continue"/>
            <w:vAlign w:val="center"/>
          </w:tcPr>
          <w:p>
            <w:pPr>
              <w:pStyle w:val="553"/>
              <w:rPr>
                <w:b/>
                <w:bCs w:val="0"/>
                <w:szCs w:val="21"/>
              </w:rPr>
            </w:pPr>
          </w:p>
        </w:tc>
        <w:tc>
          <w:tcPr>
            <w:tcW w:w="1627" w:type="dxa"/>
            <w:vAlign w:val="center"/>
          </w:tcPr>
          <w:p>
            <w:pPr>
              <w:pStyle w:val="553"/>
              <w:rPr>
                <w:b/>
                <w:bCs w:val="0"/>
                <w:snapToGrid w:val="0"/>
                <w:szCs w:val="21"/>
              </w:rPr>
            </w:pPr>
            <w:r>
              <w:rPr>
                <w:rFonts w:hint="eastAsia"/>
                <w:b/>
                <w:bCs w:val="0"/>
                <w:snapToGrid w:val="0"/>
                <w:szCs w:val="21"/>
              </w:rPr>
              <w:t>氮氧化物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83" w:hRule="atLeast"/>
          <w:jc w:val="center"/>
        </w:trPr>
        <w:tc>
          <w:tcPr>
            <w:tcW w:w="1414" w:type="dxa"/>
            <w:vAlign w:val="center"/>
          </w:tcPr>
          <w:p>
            <w:pPr>
              <w:pStyle w:val="37"/>
              <w:spacing w:line="240" w:lineRule="auto"/>
              <w:rPr>
                <w:rFonts w:cs="Times New Roman"/>
                <w:b w:val="0"/>
                <w:bCs/>
                <w:szCs w:val="21"/>
              </w:rPr>
            </w:pPr>
            <w:r>
              <w:rPr>
                <w:rFonts w:cs="Times New Roman"/>
                <w:b w:val="0"/>
                <w:bCs/>
                <w:szCs w:val="21"/>
              </w:rPr>
              <w:t>水套炉排气筒</w:t>
            </w:r>
          </w:p>
        </w:tc>
        <w:tc>
          <w:tcPr>
            <w:tcW w:w="1003" w:type="dxa"/>
            <w:vAlign w:val="center"/>
          </w:tcPr>
          <w:p>
            <w:pPr>
              <w:pStyle w:val="553"/>
            </w:pPr>
            <w:r>
              <w:rPr>
                <w:rFonts w:hint="eastAsia"/>
              </w:rPr>
              <w:t>8</w:t>
            </w:r>
          </w:p>
        </w:tc>
        <w:tc>
          <w:tcPr>
            <w:tcW w:w="1224" w:type="dxa"/>
            <w:vAlign w:val="center"/>
          </w:tcPr>
          <w:p>
            <w:pPr>
              <w:pStyle w:val="553"/>
            </w:pPr>
            <w:r>
              <w:rPr>
                <w:rFonts w:hint="eastAsia"/>
              </w:rPr>
              <w:t>0</w:t>
            </w:r>
            <w:r>
              <w:t>.15</w:t>
            </w:r>
          </w:p>
        </w:tc>
        <w:tc>
          <w:tcPr>
            <w:tcW w:w="934" w:type="dxa"/>
            <w:vAlign w:val="center"/>
          </w:tcPr>
          <w:p>
            <w:pPr>
              <w:pStyle w:val="553"/>
              <w:rPr>
                <w:snapToGrid w:val="0"/>
              </w:rPr>
            </w:pPr>
            <w:r>
              <w:rPr>
                <w:snapToGrid w:val="0"/>
              </w:rPr>
              <w:t>80.82</w:t>
            </w:r>
          </w:p>
        </w:tc>
        <w:tc>
          <w:tcPr>
            <w:tcW w:w="997" w:type="dxa"/>
            <w:vAlign w:val="center"/>
          </w:tcPr>
          <w:p>
            <w:pPr>
              <w:pStyle w:val="553"/>
              <w:rPr>
                <w:snapToGrid w:val="0"/>
              </w:rPr>
            </w:pPr>
            <w:r>
              <w:rPr>
                <w:snapToGrid w:val="0"/>
              </w:rPr>
              <w:t>100</w:t>
            </w:r>
          </w:p>
        </w:tc>
        <w:tc>
          <w:tcPr>
            <w:tcW w:w="1091" w:type="dxa"/>
            <w:vAlign w:val="center"/>
          </w:tcPr>
          <w:p>
            <w:pPr>
              <w:pStyle w:val="553"/>
              <w:rPr>
                <w:snapToGrid w:val="0"/>
              </w:rPr>
            </w:pPr>
            <w:r>
              <w:rPr>
                <w:rFonts w:hint="eastAsia"/>
                <w:snapToGrid w:val="0"/>
              </w:rPr>
              <w:t>1536（64*24）</w:t>
            </w:r>
          </w:p>
        </w:tc>
        <w:tc>
          <w:tcPr>
            <w:tcW w:w="892" w:type="dxa"/>
            <w:vAlign w:val="center"/>
          </w:tcPr>
          <w:p>
            <w:pPr>
              <w:pStyle w:val="553"/>
              <w:rPr>
                <w:snapToGrid w:val="0"/>
              </w:rPr>
            </w:pPr>
            <w:r>
              <w:rPr>
                <w:rFonts w:hint="eastAsia"/>
                <w:snapToGrid w:val="0"/>
              </w:rPr>
              <w:t>正常工况</w:t>
            </w:r>
          </w:p>
        </w:tc>
        <w:tc>
          <w:tcPr>
            <w:tcW w:w="1627" w:type="dxa"/>
            <w:vAlign w:val="center"/>
          </w:tcPr>
          <w:p>
            <w:pPr>
              <w:pStyle w:val="553"/>
              <w:rPr>
                <w:snapToGrid w:val="0"/>
              </w:rPr>
            </w:pPr>
            <w:r>
              <w:rPr>
                <w:snapToGrid w:val="0"/>
              </w:rPr>
              <w:t>0.0238</w:t>
            </w:r>
            <w:r>
              <w:rPr>
                <w:rFonts w:hint="eastAsia"/>
                <w:snapToGrid w:val="0"/>
              </w:rPr>
              <w:t>1</w:t>
            </w:r>
          </w:p>
        </w:tc>
      </w:tr>
    </w:tbl>
    <w:p>
      <w:pPr>
        <w:pStyle w:val="112"/>
        <w:ind w:firstLine="482"/>
        <w:rPr>
          <w:b/>
          <w:bCs/>
        </w:rPr>
      </w:pPr>
      <w:r>
        <w:rPr>
          <w:b/>
          <w:bCs/>
        </w:rPr>
        <w:t>（4）评价因子和评价标准</w:t>
      </w:r>
    </w:p>
    <w:p>
      <w:pPr>
        <w:pStyle w:val="112"/>
        <w:ind w:firstLine="480"/>
        <w:rPr>
          <w:lang w:val="de-DE"/>
        </w:rPr>
      </w:pPr>
      <w:r>
        <w:rPr>
          <w:lang w:val="de-DE"/>
        </w:rPr>
        <w:t>评价因子和评价标准表见下表：</w:t>
      </w:r>
    </w:p>
    <w:p>
      <w:pPr>
        <w:pStyle w:val="37"/>
        <w:rPr>
          <w:rFonts w:cs="Times New Roman"/>
        </w:rPr>
      </w:pPr>
      <w:r>
        <w:rPr>
          <w:rFonts w:cs="Times New Roman"/>
        </w:rPr>
        <w:t>表6.2</w:t>
      </w:r>
      <w:r>
        <w:rPr>
          <w:rFonts w:hint="eastAsia" w:cs="Times New Roman"/>
        </w:rPr>
        <w:t>-</w:t>
      </w:r>
      <w:r>
        <w:rPr>
          <w:rFonts w:cs="Times New Roman"/>
        </w:rPr>
        <w:t>4  评价因子和评价标准表</w:t>
      </w:r>
    </w:p>
    <w:tbl>
      <w:tblPr>
        <w:tblStyle w:val="57"/>
        <w:tblW w:w="918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294"/>
        <w:gridCol w:w="1240"/>
        <w:gridCol w:w="1326"/>
        <w:gridCol w:w="41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149" w:type="dxa"/>
            <w:tcBorders>
              <w:top w:val="single" w:color="auto" w:sz="12" w:space="0"/>
              <w:bottom w:val="single" w:color="auto" w:sz="4" w:space="0"/>
            </w:tcBorders>
            <w:vAlign w:val="center"/>
          </w:tcPr>
          <w:p>
            <w:pPr>
              <w:pStyle w:val="553"/>
              <w:rPr>
                <w:b/>
                <w:bCs w:val="0"/>
                <w:lang w:val="de-DE"/>
              </w:rPr>
            </w:pPr>
            <w:r>
              <w:rPr>
                <w:b/>
                <w:bCs w:val="0"/>
                <w:lang w:val="de-DE"/>
              </w:rPr>
              <w:t>评价因子</w:t>
            </w:r>
          </w:p>
        </w:tc>
        <w:tc>
          <w:tcPr>
            <w:tcW w:w="1294" w:type="dxa"/>
            <w:tcBorders>
              <w:top w:val="single" w:color="auto" w:sz="12" w:space="0"/>
              <w:bottom w:val="single" w:color="auto" w:sz="4" w:space="0"/>
            </w:tcBorders>
            <w:vAlign w:val="center"/>
          </w:tcPr>
          <w:p>
            <w:pPr>
              <w:pStyle w:val="553"/>
              <w:rPr>
                <w:b/>
                <w:bCs w:val="0"/>
                <w:lang w:val="de-DE"/>
              </w:rPr>
            </w:pPr>
            <w:r>
              <w:rPr>
                <w:b/>
                <w:bCs w:val="0"/>
                <w:lang w:val="de-DE"/>
              </w:rPr>
              <w:t>评价时段</w:t>
            </w:r>
          </w:p>
        </w:tc>
        <w:tc>
          <w:tcPr>
            <w:tcW w:w="1240" w:type="dxa"/>
            <w:tcBorders>
              <w:top w:val="single" w:color="auto" w:sz="12" w:space="0"/>
              <w:bottom w:val="single" w:color="auto" w:sz="4" w:space="0"/>
            </w:tcBorders>
            <w:vAlign w:val="center"/>
          </w:tcPr>
          <w:p>
            <w:pPr>
              <w:pStyle w:val="553"/>
              <w:rPr>
                <w:b/>
                <w:bCs w:val="0"/>
                <w:lang w:val="de-DE"/>
              </w:rPr>
            </w:pPr>
            <w:r>
              <w:rPr>
                <w:b/>
                <w:bCs w:val="0"/>
                <w:lang w:val="de-DE"/>
              </w:rPr>
              <w:t>标准值（ug/m</w:t>
            </w:r>
            <w:r>
              <w:rPr>
                <w:b/>
                <w:bCs w:val="0"/>
                <w:vertAlign w:val="superscript"/>
                <w:lang w:val="de-DE"/>
              </w:rPr>
              <w:t>3</w:t>
            </w:r>
            <w:r>
              <w:rPr>
                <w:b/>
                <w:bCs w:val="0"/>
                <w:lang w:val="de-DE"/>
              </w:rPr>
              <w:t>）</w:t>
            </w:r>
          </w:p>
        </w:tc>
        <w:tc>
          <w:tcPr>
            <w:tcW w:w="1326" w:type="dxa"/>
            <w:tcBorders>
              <w:top w:val="single" w:color="auto" w:sz="12" w:space="0"/>
              <w:bottom w:val="single" w:color="auto" w:sz="4" w:space="0"/>
            </w:tcBorders>
            <w:vAlign w:val="center"/>
          </w:tcPr>
          <w:p>
            <w:pPr>
              <w:pStyle w:val="553"/>
              <w:rPr>
                <w:b/>
                <w:bCs w:val="0"/>
                <w:lang w:val="de-DE"/>
              </w:rPr>
            </w:pPr>
            <w:r>
              <w:rPr>
                <w:b/>
                <w:bCs w:val="0"/>
                <w:lang w:val="de-DE"/>
              </w:rPr>
              <w:t>功能区</w:t>
            </w:r>
          </w:p>
        </w:tc>
        <w:tc>
          <w:tcPr>
            <w:tcW w:w="4171" w:type="dxa"/>
            <w:tcBorders>
              <w:top w:val="single" w:color="auto" w:sz="12" w:space="0"/>
              <w:bottom w:val="single" w:color="auto" w:sz="4" w:space="0"/>
            </w:tcBorders>
            <w:vAlign w:val="center"/>
          </w:tcPr>
          <w:p>
            <w:pPr>
              <w:pStyle w:val="553"/>
              <w:rPr>
                <w:b/>
                <w:bCs w:val="0"/>
                <w:lang w:val="de-DE"/>
              </w:rPr>
            </w:pPr>
            <w:r>
              <w:rPr>
                <w:b/>
                <w:bCs w:val="0"/>
                <w:lang w:val="de-D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149" w:type="dxa"/>
            <w:tcBorders>
              <w:top w:val="single" w:color="auto" w:sz="4" w:space="0"/>
              <w:bottom w:val="single" w:color="auto" w:sz="4" w:space="0"/>
            </w:tcBorders>
            <w:vAlign w:val="center"/>
          </w:tcPr>
          <w:p>
            <w:pPr>
              <w:pStyle w:val="553"/>
              <w:rPr>
                <w:lang w:val="de-DE"/>
              </w:rPr>
            </w:pPr>
            <w:r>
              <w:rPr>
                <w:rFonts w:hint="eastAsia"/>
                <w:lang w:val="de-DE"/>
              </w:rPr>
              <w:t>氮氧化物</w:t>
            </w:r>
          </w:p>
        </w:tc>
        <w:tc>
          <w:tcPr>
            <w:tcW w:w="1294" w:type="dxa"/>
            <w:tcBorders>
              <w:top w:val="single" w:color="auto" w:sz="4" w:space="0"/>
              <w:bottom w:val="single" w:color="auto" w:sz="4" w:space="0"/>
            </w:tcBorders>
            <w:vAlign w:val="center"/>
          </w:tcPr>
          <w:p>
            <w:pPr>
              <w:pStyle w:val="553"/>
              <w:rPr>
                <w:lang w:val="de-DE"/>
              </w:rPr>
            </w:pPr>
            <w:r>
              <w:rPr>
                <w:lang w:val="de-DE"/>
              </w:rPr>
              <w:t>1小时平均</w:t>
            </w:r>
          </w:p>
        </w:tc>
        <w:tc>
          <w:tcPr>
            <w:tcW w:w="1240" w:type="dxa"/>
            <w:tcBorders>
              <w:top w:val="single" w:color="auto" w:sz="4" w:space="0"/>
              <w:bottom w:val="single" w:color="auto" w:sz="4" w:space="0"/>
            </w:tcBorders>
            <w:vAlign w:val="center"/>
          </w:tcPr>
          <w:p>
            <w:pPr>
              <w:pStyle w:val="553"/>
              <w:rPr>
                <w:lang w:val="de-DE"/>
              </w:rPr>
            </w:pPr>
            <w:r>
              <w:rPr>
                <w:lang w:val="de-DE"/>
              </w:rPr>
              <w:t>250</w:t>
            </w:r>
          </w:p>
        </w:tc>
        <w:tc>
          <w:tcPr>
            <w:tcW w:w="1326" w:type="dxa"/>
            <w:tcBorders>
              <w:top w:val="single" w:color="auto" w:sz="4" w:space="0"/>
              <w:bottom w:val="single" w:color="auto" w:sz="4" w:space="0"/>
            </w:tcBorders>
            <w:vAlign w:val="center"/>
          </w:tcPr>
          <w:p>
            <w:pPr>
              <w:pStyle w:val="553"/>
              <w:rPr>
                <w:lang w:val="de-DE"/>
              </w:rPr>
            </w:pPr>
            <w:r>
              <w:rPr>
                <w:lang w:val="de-DE"/>
              </w:rPr>
              <w:t>二类限区</w:t>
            </w:r>
          </w:p>
        </w:tc>
        <w:tc>
          <w:tcPr>
            <w:tcW w:w="4171" w:type="dxa"/>
            <w:tcBorders>
              <w:top w:val="single" w:color="auto" w:sz="4" w:space="0"/>
              <w:bottom w:val="single" w:color="auto" w:sz="4" w:space="0"/>
            </w:tcBorders>
            <w:vAlign w:val="center"/>
          </w:tcPr>
          <w:p>
            <w:pPr>
              <w:pStyle w:val="553"/>
              <w:rPr>
                <w:lang w:val="de-DE"/>
              </w:rPr>
            </w:pPr>
            <w:r>
              <w:t>《环境空气质量标准》（GB3095-2012）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9182" w:type="dxa"/>
            <w:gridSpan w:val="5"/>
            <w:tcBorders>
              <w:top w:val="single" w:color="auto" w:sz="4" w:space="0"/>
              <w:bottom w:val="single" w:color="auto" w:sz="12" w:space="0"/>
            </w:tcBorders>
            <w:vAlign w:val="center"/>
          </w:tcPr>
          <w:p>
            <w:pPr>
              <w:pStyle w:val="553"/>
              <w:jc w:val="both"/>
              <w:rPr>
                <w:sz w:val="18"/>
                <w:lang w:val="de-DE"/>
              </w:rPr>
            </w:pPr>
            <w:r>
              <w:rPr>
                <w:sz w:val="18"/>
                <w:lang w:val="de-DE"/>
              </w:rPr>
              <w:t>注：按照（HJ2.2-2018）5.3.2评价分级方法：日平均浓度限值可按3倍折算为1h平均质量浓度限值。</w:t>
            </w:r>
          </w:p>
        </w:tc>
      </w:tr>
    </w:tbl>
    <w:p>
      <w:pPr>
        <w:pStyle w:val="112"/>
        <w:ind w:firstLine="482"/>
        <w:rPr>
          <w:b/>
          <w:bCs/>
        </w:rPr>
      </w:pPr>
      <w:r>
        <w:rPr>
          <w:b/>
          <w:bCs/>
        </w:rPr>
        <w:t>（5）主要污染源估算模型计算结果</w:t>
      </w:r>
    </w:p>
    <w:p>
      <w:pPr>
        <w:pStyle w:val="112"/>
        <w:ind w:firstLine="480"/>
      </w:pPr>
      <w:r>
        <w:t>根据本项目大气污染物排放情况，按照估算模式计算各污染物的最大地面浓度占标率P值，估算模型计算结果见下表：</w:t>
      </w:r>
    </w:p>
    <w:p>
      <w:pPr>
        <w:pStyle w:val="37"/>
        <w:rPr>
          <w:rFonts w:cs="Times New Roman"/>
        </w:rPr>
      </w:pPr>
      <w:bookmarkStart w:id="496" w:name="_Hlk54557602"/>
      <w:r>
        <w:rPr>
          <w:rFonts w:cs="Times New Roman"/>
        </w:rPr>
        <w:t>表6.2-5  本项目大气环境影响估算结果表</w:t>
      </w:r>
    </w:p>
    <w:tbl>
      <w:tblPr>
        <w:tblStyle w:val="57"/>
        <w:tblW w:w="891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514"/>
        <w:gridCol w:w="1754"/>
        <w:gridCol w:w="709"/>
        <w:gridCol w:w="1366"/>
        <w:gridCol w:w="1051"/>
        <w:gridCol w:w="916"/>
        <w:gridCol w:w="1065"/>
        <w:gridCol w:w="661"/>
        <w:gridCol w:w="87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480" w:hRule="atLeast"/>
          <w:jc w:val="center"/>
        </w:trPr>
        <w:tc>
          <w:tcPr>
            <w:tcW w:w="514" w:type="dxa"/>
            <w:shd w:val="clear" w:color="auto" w:fill="auto"/>
            <w:vAlign w:val="center"/>
          </w:tcPr>
          <w:p>
            <w:pPr>
              <w:pStyle w:val="553"/>
              <w:rPr>
                <w:b/>
                <w:bCs w:val="0"/>
              </w:rPr>
            </w:pPr>
            <w:r>
              <w:rPr>
                <w:b/>
                <w:bCs w:val="0"/>
              </w:rPr>
              <w:t>类别</w:t>
            </w:r>
          </w:p>
        </w:tc>
        <w:tc>
          <w:tcPr>
            <w:tcW w:w="1754" w:type="dxa"/>
            <w:shd w:val="clear" w:color="auto" w:fill="auto"/>
            <w:vAlign w:val="center"/>
          </w:tcPr>
          <w:p>
            <w:pPr>
              <w:pStyle w:val="553"/>
              <w:rPr>
                <w:b/>
                <w:bCs w:val="0"/>
                <w:snapToGrid w:val="0"/>
              </w:rPr>
            </w:pPr>
            <w:r>
              <w:rPr>
                <w:b/>
                <w:bCs w:val="0"/>
              </w:rPr>
              <w:t>污染源名称</w:t>
            </w:r>
          </w:p>
        </w:tc>
        <w:tc>
          <w:tcPr>
            <w:tcW w:w="709" w:type="dxa"/>
            <w:shd w:val="clear" w:color="auto" w:fill="auto"/>
            <w:vAlign w:val="center"/>
          </w:tcPr>
          <w:p>
            <w:pPr>
              <w:pStyle w:val="553"/>
              <w:rPr>
                <w:b/>
                <w:bCs w:val="0"/>
                <w:snapToGrid w:val="0"/>
              </w:rPr>
            </w:pPr>
            <w:r>
              <w:rPr>
                <w:b/>
                <w:bCs w:val="0"/>
                <w:snapToGrid w:val="0"/>
              </w:rPr>
              <w:t>污染物</w:t>
            </w:r>
          </w:p>
        </w:tc>
        <w:tc>
          <w:tcPr>
            <w:tcW w:w="1366" w:type="dxa"/>
            <w:shd w:val="clear" w:color="auto" w:fill="auto"/>
            <w:vAlign w:val="center"/>
          </w:tcPr>
          <w:p>
            <w:pPr>
              <w:pStyle w:val="553"/>
              <w:rPr>
                <w:b/>
                <w:bCs w:val="0"/>
                <w:snapToGrid w:val="0"/>
              </w:rPr>
            </w:pPr>
            <w:r>
              <w:rPr>
                <w:b/>
                <w:bCs w:val="0"/>
                <w:snapToGrid w:val="0"/>
              </w:rPr>
              <w:t>最大落地浓度</w:t>
            </w:r>
            <w:r>
              <w:rPr>
                <w:b/>
                <w:bCs w:val="0"/>
              </w:rPr>
              <w:t>（μg/m</w:t>
            </w:r>
            <w:r>
              <w:rPr>
                <w:b/>
                <w:bCs w:val="0"/>
                <w:vertAlign w:val="superscript"/>
              </w:rPr>
              <w:t>3</w:t>
            </w:r>
            <w:r>
              <w:rPr>
                <w:b/>
                <w:bCs w:val="0"/>
              </w:rPr>
              <w:t>）</w:t>
            </w:r>
          </w:p>
        </w:tc>
        <w:tc>
          <w:tcPr>
            <w:tcW w:w="1051" w:type="dxa"/>
            <w:shd w:val="clear" w:color="auto" w:fill="auto"/>
            <w:vAlign w:val="center"/>
          </w:tcPr>
          <w:p>
            <w:pPr>
              <w:pStyle w:val="553"/>
              <w:rPr>
                <w:b/>
                <w:bCs w:val="0"/>
              </w:rPr>
            </w:pPr>
            <w:r>
              <w:rPr>
                <w:b/>
                <w:bCs w:val="0"/>
              </w:rPr>
              <w:t>最大浓度落地点(m)</w:t>
            </w:r>
          </w:p>
        </w:tc>
        <w:tc>
          <w:tcPr>
            <w:tcW w:w="916" w:type="dxa"/>
            <w:shd w:val="clear" w:color="auto" w:fill="auto"/>
            <w:vAlign w:val="center"/>
          </w:tcPr>
          <w:p>
            <w:pPr>
              <w:pStyle w:val="553"/>
              <w:rPr>
                <w:b/>
                <w:bCs w:val="0"/>
              </w:rPr>
            </w:pPr>
            <w:r>
              <w:rPr>
                <w:b/>
                <w:bCs w:val="0"/>
              </w:rPr>
              <w:t>评价标准(μg/m</w:t>
            </w:r>
            <w:r>
              <w:rPr>
                <w:b/>
                <w:bCs w:val="0"/>
                <w:vertAlign w:val="superscript"/>
              </w:rPr>
              <w:t>3</w:t>
            </w:r>
            <w:r>
              <w:rPr>
                <w:b/>
                <w:bCs w:val="0"/>
              </w:rPr>
              <w:t>)</w:t>
            </w:r>
          </w:p>
        </w:tc>
        <w:tc>
          <w:tcPr>
            <w:tcW w:w="1065" w:type="dxa"/>
            <w:shd w:val="clear" w:color="auto" w:fill="auto"/>
            <w:vAlign w:val="center"/>
          </w:tcPr>
          <w:p>
            <w:pPr>
              <w:pStyle w:val="553"/>
              <w:rPr>
                <w:b/>
                <w:bCs w:val="0"/>
                <w:snapToGrid w:val="0"/>
              </w:rPr>
            </w:pPr>
            <w:r>
              <w:rPr>
                <w:b/>
                <w:bCs w:val="0"/>
                <w:snapToGrid w:val="0"/>
              </w:rPr>
              <w:t>最大占标率Pi(%)</w:t>
            </w:r>
          </w:p>
        </w:tc>
        <w:tc>
          <w:tcPr>
            <w:tcW w:w="661" w:type="dxa"/>
            <w:shd w:val="clear" w:color="auto" w:fill="auto"/>
            <w:vAlign w:val="center"/>
          </w:tcPr>
          <w:p>
            <w:pPr>
              <w:pStyle w:val="553"/>
              <w:rPr>
                <w:b/>
                <w:bCs w:val="0"/>
                <w:snapToGrid w:val="0"/>
                <w:vertAlign w:val="subscript"/>
              </w:rPr>
            </w:pPr>
            <w:r>
              <w:rPr>
                <w:b/>
                <w:bCs w:val="0"/>
                <w:snapToGrid w:val="0"/>
              </w:rPr>
              <w:t>D</w:t>
            </w:r>
            <w:r>
              <w:rPr>
                <w:b/>
                <w:bCs w:val="0"/>
                <w:snapToGrid w:val="0"/>
                <w:vertAlign w:val="subscript"/>
              </w:rPr>
              <w:t>10%</w:t>
            </w:r>
          </w:p>
          <w:p>
            <w:pPr>
              <w:pStyle w:val="553"/>
              <w:rPr>
                <w:b/>
                <w:bCs w:val="0"/>
                <w:snapToGrid w:val="0"/>
              </w:rPr>
            </w:pPr>
            <w:r>
              <w:rPr>
                <w:b/>
                <w:bCs w:val="0"/>
                <w:snapToGrid w:val="0"/>
              </w:rPr>
              <w:t>(m)</w:t>
            </w:r>
          </w:p>
        </w:tc>
        <w:tc>
          <w:tcPr>
            <w:tcW w:w="879" w:type="dxa"/>
            <w:shd w:val="clear" w:color="auto" w:fill="auto"/>
            <w:vAlign w:val="center"/>
          </w:tcPr>
          <w:p>
            <w:pPr>
              <w:pStyle w:val="553"/>
              <w:rPr>
                <w:b/>
                <w:bCs w:val="0"/>
                <w:snapToGrid w:val="0"/>
              </w:rPr>
            </w:pPr>
            <w:r>
              <w:rPr>
                <w:b/>
                <w:bCs w:val="0"/>
                <w:snapToGrid w:val="0"/>
              </w:rPr>
              <w:t>推荐评价级别</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220" w:hRule="atLeast"/>
          <w:jc w:val="center"/>
        </w:trPr>
        <w:tc>
          <w:tcPr>
            <w:tcW w:w="514" w:type="dxa"/>
            <w:shd w:val="clear" w:color="auto" w:fill="auto"/>
            <w:vAlign w:val="center"/>
          </w:tcPr>
          <w:p>
            <w:pPr>
              <w:pStyle w:val="553"/>
            </w:pPr>
            <w:r>
              <w:rPr>
                <w:rFonts w:hint="eastAsia"/>
              </w:rPr>
              <w:t>点</w:t>
            </w:r>
            <w:r>
              <w:t>源</w:t>
            </w:r>
          </w:p>
        </w:tc>
        <w:tc>
          <w:tcPr>
            <w:tcW w:w="1754" w:type="dxa"/>
            <w:shd w:val="clear" w:color="auto" w:fill="auto"/>
            <w:vAlign w:val="center"/>
          </w:tcPr>
          <w:p>
            <w:pPr>
              <w:pStyle w:val="37"/>
              <w:spacing w:line="240" w:lineRule="auto"/>
              <w:rPr>
                <w:rFonts w:cs="Times New Roman"/>
                <w:b w:val="0"/>
                <w:bCs/>
                <w:szCs w:val="21"/>
              </w:rPr>
            </w:pPr>
            <w:r>
              <w:rPr>
                <w:rFonts w:cs="Times New Roman"/>
                <w:b w:val="0"/>
                <w:bCs/>
                <w:szCs w:val="21"/>
              </w:rPr>
              <w:t>水套炉排气筒</w:t>
            </w:r>
          </w:p>
        </w:tc>
        <w:tc>
          <w:tcPr>
            <w:tcW w:w="709" w:type="dxa"/>
            <w:shd w:val="clear" w:color="auto" w:fill="auto"/>
            <w:vAlign w:val="center"/>
          </w:tcPr>
          <w:p>
            <w:pPr>
              <w:pStyle w:val="553"/>
            </w:pPr>
            <w:r>
              <w:t>NO</w:t>
            </w:r>
            <w:r>
              <w:rPr>
                <w:vertAlign w:val="subscript"/>
              </w:rPr>
              <w:t>X</w:t>
            </w:r>
          </w:p>
        </w:tc>
        <w:tc>
          <w:tcPr>
            <w:tcW w:w="1366" w:type="dxa"/>
            <w:shd w:val="clear" w:color="auto" w:fill="auto"/>
            <w:vAlign w:val="center"/>
          </w:tcPr>
          <w:p>
            <w:pPr>
              <w:pStyle w:val="553"/>
              <w:rPr>
                <w:kern w:val="0"/>
              </w:rPr>
            </w:pPr>
            <w:r>
              <w:rPr>
                <w:bCs w:val="0"/>
                <w:szCs w:val="21"/>
              </w:rPr>
              <w:t>0.00</w:t>
            </w:r>
            <w:r>
              <w:rPr>
                <w:rFonts w:hint="eastAsia"/>
                <w:bCs w:val="0"/>
                <w:szCs w:val="21"/>
              </w:rPr>
              <w:t>58</w:t>
            </w:r>
          </w:p>
        </w:tc>
        <w:tc>
          <w:tcPr>
            <w:tcW w:w="1051" w:type="dxa"/>
            <w:shd w:val="clear" w:color="auto" w:fill="auto"/>
            <w:vAlign w:val="center"/>
          </w:tcPr>
          <w:p>
            <w:pPr>
              <w:pStyle w:val="553"/>
              <w:rPr>
                <w:kern w:val="0"/>
              </w:rPr>
            </w:pPr>
            <w:r>
              <w:rPr>
                <w:rFonts w:hint="eastAsia"/>
                <w:kern w:val="0"/>
              </w:rPr>
              <w:t>26</w:t>
            </w:r>
          </w:p>
        </w:tc>
        <w:tc>
          <w:tcPr>
            <w:tcW w:w="916" w:type="dxa"/>
            <w:shd w:val="clear" w:color="auto" w:fill="auto"/>
            <w:vAlign w:val="center"/>
          </w:tcPr>
          <w:p>
            <w:pPr>
              <w:pStyle w:val="553"/>
            </w:pPr>
            <w:r>
              <w:t>250</w:t>
            </w:r>
          </w:p>
        </w:tc>
        <w:tc>
          <w:tcPr>
            <w:tcW w:w="1065" w:type="dxa"/>
            <w:shd w:val="clear" w:color="auto" w:fill="auto"/>
            <w:vAlign w:val="center"/>
          </w:tcPr>
          <w:p>
            <w:pPr>
              <w:pStyle w:val="553"/>
              <w:rPr>
                <w:kern w:val="0"/>
              </w:rPr>
            </w:pPr>
            <w:r>
              <w:rPr>
                <w:rFonts w:hint="eastAsia"/>
                <w:kern w:val="0"/>
              </w:rPr>
              <w:t>2.33</w:t>
            </w:r>
          </w:p>
        </w:tc>
        <w:tc>
          <w:tcPr>
            <w:tcW w:w="661" w:type="dxa"/>
            <w:shd w:val="clear" w:color="auto" w:fill="auto"/>
            <w:vAlign w:val="center"/>
          </w:tcPr>
          <w:p>
            <w:pPr>
              <w:pStyle w:val="553"/>
            </w:pPr>
            <w:r>
              <w:t>/</w:t>
            </w:r>
          </w:p>
        </w:tc>
        <w:tc>
          <w:tcPr>
            <w:tcW w:w="879" w:type="dxa"/>
            <w:shd w:val="clear" w:color="auto" w:fill="auto"/>
            <w:vAlign w:val="center"/>
          </w:tcPr>
          <w:p>
            <w:pPr>
              <w:pStyle w:val="553"/>
            </w:pPr>
            <w:r>
              <w:t>II</w:t>
            </w:r>
          </w:p>
        </w:tc>
      </w:tr>
    </w:tbl>
    <w:p>
      <w:pPr>
        <w:pStyle w:val="112"/>
        <w:ind w:firstLine="480"/>
      </w:pPr>
      <w:r>
        <w:t>由上表可知，项目污染物最大落地浓度占标率P</w:t>
      </w:r>
      <w:r>
        <w:rPr>
          <w:vertAlign w:val="subscript"/>
        </w:rPr>
        <w:t>max</w:t>
      </w:r>
      <w:r>
        <w:t>=</w:t>
      </w:r>
      <w:r>
        <w:rPr>
          <w:rFonts w:hint="eastAsia"/>
        </w:rPr>
        <w:t>2.33</w:t>
      </w:r>
      <w:r>
        <w:t>%（1%≤Pmax&lt;10%），根据《环境影响评价技术导则 大气环境》（HJ2.2-2018）中的相关要求，本项目大气评价等级为二级评价。</w:t>
      </w:r>
    </w:p>
    <w:bookmarkEnd w:id="496"/>
    <w:p>
      <w:pPr>
        <w:pStyle w:val="112"/>
        <w:ind w:firstLine="482"/>
        <w:rPr>
          <w:b/>
          <w:bCs/>
        </w:rPr>
      </w:pPr>
      <w:r>
        <w:rPr>
          <w:b/>
          <w:bCs/>
        </w:rPr>
        <w:t>（6）大气防护距离计算</w:t>
      </w:r>
    </w:p>
    <w:p>
      <w:pPr>
        <w:pStyle w:val="112"/>
        <w:ind w:firstLine="480"/>
      </w:pPr>
      <w:r>
        <w:rPr>
          <w:rFonts w:hint="eastAsia"/>
        </w:rPr>
        <w:t>根据本环评采用的《环境影响评价技术导则 大气环境》（</w:t>
      </w:r>
      <w:r>
        <w:t>HJ2.2-2018</w:t>
      </w:r>
      <w:r>
        <w:rPr>
          <w:rFonts w:hint="eastAsia"/>
        </w:rPr>
        <w:t>），确定大气评价等级为二级，不进行进一步预测，故不设置大气环境防护距离。</w:t>
      </w:r>
    </w:p>
    <w:p>
      <w:pPr>
        <w:pStyle w:val="112"/>
        <w:ind w:firstLine="482"/>
        <w:rPr>
          <w:b/>
          <w:bCs/>
          <w:lang w:val="de-DE"/>
        </w:rPr>
      </w:pPr>
      <w:r>
        <w:rPr>
          <w:b/>
          <w:bCs/>
          <w:lang w:val="de-DE"/>
        </w:rPr>
        <w:t>（7）</w:t>
      </w:r>
      <w:r>
        <w:rPr>
          <w:b/>
          <w:bCs/>
        </w:rPr>
        <w:t>污染物排放量核算</w:t>
      </w:r>
    </w:p>
    <w:p>
      <w:pPr>
        <w:pStyle w:val="112"/>
        <w:ind w:firstLine="480"/>
      </w:pPr>
      <w:r>
        <w:t>本项目大气评价等级为二级评价，根据《环境影响评价技术导则 大气环境》（HJ2.2-2018）“8.1.2二级评价项目不进行进一步预测与评价，只对污染物排放量进行核算。”的规定，需要对本项目废气污染物排放量进行核算，主要包括无组织排放量核算、大气污染物年排放量核算。具体内容如下。</w:t>
      </w:r>
    </w:p>
    <w:p>
      <w:pPr>
        <w:pStyle w:val="112"/>
        <w:ind w:firstLine="480"/>
      </w:pPr>
      <w:r>
        <w:rPr>
          <w:rFonts w:hint="eastAsia" w:ascii="宋体" w:hAnsi="宋体" w:cs="宋体"/>
        </w:rPr>
        <w:t>①</w:t>
      </w:r>
      <w:r>
        <w:rPr>
          <w:rFonts w:hint="eastAsia"/>
        </w:rPr>
        <w:t>有组织排放核算</w:t>
      </w:r>
    </w:p>
    <w:p>
      <w:pPr>
        <w:pStyle w:val="112"/>
        <w:ind w:firstLine="480"/>
      </w:pPr>
      <w:r>
        <w:t>项目</w:t>
      </w:r>
      <w:r>
        <w:rPr>
          <w:rFonts w:hint="eastAsia"/>
        </w:rPr>
        <w:t>有</w:t>
      </w:r>
      <w:r>
        <w:t>组织排放量核算具体情况详见下表。</w:t>
      </w:r>
    </w:p>
    <w:p>
      <w:pPr>
        <w:pStyle w:val="112"/>
        <w:ind w:firstLine="480"/>
      </w:pPr>
    </w:p>
    <w:p>
      <w:pPr>
        <w:pStyle w:val="37"/>
        <w:rPr>
          <w:rFonts w:cs="Times New Roman"/>
        </w:rPr>
      </w:pPr>
      <w:r>
        <w:rPr>
          <w:rFonts w:cs="Times New Roman"/>
        </w:rPr>
        <w:t>表6.2-6  项目大气污染物无组织废气排放量核算表</w:t>
      </w:r>
    </w:p>
    <w:tbl>
      <w:tblPr>
        <w:tblStyle w:val="57"/>
        <w:tblW w:w="89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51"/>
        <w:gridCol w:w="1609"/>
        <w:gridCol w:w="1084"/>
        <w:gridCol w:w="2410"/>
        <w:gridCol w:w="1417"/>
        <w:gridCol w:w="16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4" w:hRule="atLeast"/>
          <w:jc w:val="center"/>
        </w:trPr>
        <w:tc>
          <w:tcPr>
            <w:tcW w:w="851" w:type="dxa"/>
            <w:shd w:val="clear" w:color="auto" w:fill="auto"/>
            <w:vAlign w:val="center"/>
          </w:tcPr>
          <w:p>
            <w:pPr>
              <w:pStyle w:val="553"/>
              <w:rPr>
                <w:b/>
                <w:bCs w:val="0"/>
              </w:rPr>
            </w:pPr>
            <w:bookmarkStart w:id="497" w:name="_Hlk1736008"/>
            <w:r>
              <w:rPr>
                <w:b/>
                <w:bCs w:val="0"/>
              </w:rPr>
              <w:t>序号</w:t>
            </w:r>
          </w:p>
        </w:tc>
        <w:tc>
          <w:tcPr>
            <w:tcW w:w="1609" w:type="dxa"/>
            <w:shd w:val="clear" w:color="auto" w:fill="auto"/>
            <w:vAlign w:val="center"/>
          </w:tcPr>
          <w:p>
            <w:pPr>
              <w:pStyle w:val="553"/>
              <w:rPr>
                <w:b/>
                <w:bCs w:val="0"/>
              </w:rPr>
            </w:pPr>
            <w:r>
              <w:rPr>
                <w:rFonts w:hint="eastAsia"/>
                <w:b/>
                <w:bCs w:val="0"/>
              </w:rPr>
              <w:t>排放口编号</w:t>
            </w:r>
          </w:p>
        </w:tc>
        <w:tc>
          <w:tcPr>
            <w:tcW w:w="1084" w:type="dxa"/>
            <w:shd w:val="clear" w:color="auto" w:fill="auto"/>
            <w:vAlign w:val="center"/>
          </w:tcPr>
          <w:p>
            <w:pPr>
              <w:pStyle w:val="553"/>
              <w:rPr>
                <w:b/>
                <w:bCs w:val="0"/>
              </w:rPr>
            </w:pPr>
            <w:r>
              <w:rPr>
                <w:rFonts w:hint="eastAsia"/>
                <w:b/>
                <w:bCs w:val="0"/>
              </w:rPr>
              <w:t>污染物</w:t>
            </w:r>
          </w:p>
        </w:tc>
        <w:tc>
          <w:tcPr>
            <w:tcW w:w="2410" w:type="dxa"/>
            <w:shd w:val="clear" w:color="auto" w:fill="auto"/>
            <w:vAlign w:val="center"/>
          </w:tcPr>
          <w:p>
            <w:pPr>
              <w:pStyle w:val="553"/>
              <w:rPr>
                <w:b/>
                <w:bCs w:val="0"/>
              </w:rPr>
            </w:pPr>
            <w:r>
              <w:rPr>
                <w:rFonts w:hint="eastAsia"/>
                <w:b/>
                <w:bCs w:val="0"/>
              </w:rPr>
              <w:t>核算排放浓度/（mg/m</w:t>
            </w:r>
            <w:r>
              <w:rPr>
                <w:rFonts w:hint="eastAsia"/>
                <w:b/>
                <w:bCs w:val="0"/>
                <w:vertAlign w:val="superscript"/>
              </w:rPr>
              <w:t>3</w:t>
            </w:r>
            <w:r>
              <w:rPr>
                <w:rFonts w:hint="eastAsia"/>
                <w:b/>
                <w:bCs w:val="0"/>
              </w:rPr>
              <w:t>）</w:t>
            </w:r>
          </w:p>
        </w:tc>
        <w:tc>
          <w:tcPr>
            <w:tcW w:w="1417" w:type="dxa"/>
            <w:shd w:val="clear" w:color="auto" w:fill="auto"/>
            <w:vAlign w:val="center"/>
          </w:tcPr>
          <w:p>
            <w:pPr>
              <w:pStyle w:val="553"/>
              <w:rPr>
                <w:b/>
                <w:bCs w:val="0"/>
              </w:rPr>
            </w:pPr>
            <w:r>
              <w:rPr>
                <w:rFonts w:hint="eastAsia"/>
                <w:b/>
                <w:bCs w:val="0"/>
              </w:rPr>
              <w:t>核算排放速率/（kg/h）</w:t>
            </w:r>
          </w:p>
        </w:tc>
        <w:tc>
          <w:tcPr>
            <w:tcW w:w="1601" w:type="dxa"/>
            <w:shd w:val="clear" w:color="auto" w:fill="auto"/>
            <w:vAlign w:val="center"/>
          </w:tcPr>
          <w:p>
            <w:pPr>
              <w:pStyle w:val="553"/>
              <w:rPr>
                <w:b/>
                <w:bCs w:val="0"/>
              </w:rPr>
            </w:pPr>
            <w:r>
              <w:rPr>
                <w:rFonts w:hint="eastAsia"/>
                <w:b/>
                <w:bCs w:val="0"/>
              </w:rPr>
              <w:t>核算年排放量/（t/a）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8972" w:type="dxa"/>
            <w:gridSpan w:val="6"/>
            <w:shd w:val="clear" w:color="auto" w:fill="auto"/>
            <w:vAlign w:val="center"/>
          </w:tcPr>
          <w:p>
            <w:pPr>
              <w:pStyle w:val="553"/>
              <w:rPr>
                <w:b/>
                <w:bCs w:val="0"/>
              </w:rPr>
            </w:pPr>
            <w:r>
              <w:rPr>
                <w:rFonts w:hint="eastAsia"/>
                <w:b/>
                <w:bCs w:val="0"/>
              </w:rPr>
              <w:t>主要排放口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5" w:hRule="atLeast"/>
          <w:jc w:val="center"/>
        </w:trPr>
        <w:tc>
          <w:tcPr>
            <w:tcW w:w="851" w:type="dxa"/>
            <w:shd w:val="clear" w:color="auto" w:fill="auto"/>
            <w:vAlign w:val="center"/>
          </w:tcPr>
          <w:p>
            <w:pPr>
              <w:pStyle w:val="553"/>
            </w:pPr>
            <w:bookmarkStart w:id="498" w:name="_Hlk42933987"/>
            <w:r>
              <w:t>1</w:t>
            </w:r>
          </w:p>
        </w:tc>
        <w:tc>
          <w:tcPr>
            <w:tcW w:w="1609" w:type="dxa"/>
            <w:shd w:val="clear" w:color="auto" w:fill="auto"/>
            <w:vAlign w:val="center"/>
          </w:tcPr>
          <w:p>
            <w:pPr>
              <w:pStyle w:val="553"/>
            </w:pPr>
            <w:r>
              <w:rPr>
                <w:rFonts w:hint="eastAsia"/>
              </w:rPr>
              <w:t>水套炉排气筒</w:t>
            </w:r>
          </w:p>
        </w:tc>
        <w:tc>
          <w:tcPr>
            <w:tcW w:w="1084" w:type="dxa"/>
            <w:shd w:val="clear" w:color="auto" w:fill="auto"/>
            <w:vAlign w:val="center"/>
          </w:tcPr>
          <w:p>
            <w:pPr>
              <w:pStyle w:val="553"/>
            </w:pPr>
            <w:r>
              <w:rPr>
                <w:rFonts w:hint="eastAsia"/>
              </w:rPr>
              <w:t>氮氧化物</w:t>
            </w:r>
          </w:p>
        </w:tc>
        <w:tc>
          <w:tcPr>
            <w:tcW w:w="2410" w:type="dxa"/>
            <w:shd w:val="clear" w:color="auto" w:fill="auto"/>
            <w:vAlign w:val="center"/>
          </w:tcPr>
          <w:p>
            <w:pPr>
              <w:pStyle w:val="553"/>
            </w:pPr>
            <w:r>
              <w:rPr>
                <w:rFonts w:hint="eastAsia"/>
              </w:rPr>
              <w:t>1</w:t>
            </w:r>
            <w:r>
              <w:t>47.5</w:t>
            </w:r>
          </w:p>
        </w:tc>
        <w:tc>
          <w:tcPr>
            <w:tcW w:w="1417" w:type="dxa"/>
            <w:shd w:val="clear" w:color="auto" w:fill="auto"/>
            <w:vAlign w:val="center"/>
          </w:tcPr>
          <w:p>
            <w:pPr>
              <w:pStyle w:val="553"/>
            </w:pPr>
            <w:r>
              <w:rPr>
                <w:rFonts w:hint="eastAsia"/>
              </w:rPr>
              <w:t>0</w:t>
            </w:r>
            <w:r>
              <w:t>.0238</w:t>
            </w:r>
            <w:r>
              <w:rPr>
                <w:rFonts w:hint="eastAsia"/>
              </w:rPr>
              <w:t>1</w:t>
            </w:r>
          </w:p>
        </w:tc>
        <w:tc>
          <w:tcPr>
            <w:tcW w:w="1601" w:type="dxa"/>
            <w:shd w:val="clear" w:color="auto" w:fill="auto"/>
            <w:vAlign w:val="center"/>
          </w:tcPr>
          <w:p>
            <w:pPr>
              <w:pStyle w:val="553"/>
            </w:pPr>
            <w:r>
              <w:t>0.03556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5" w:hRule="atLeast"/>
          <w:jc w:val="center"/>
        </w:trPr>
        <w:tc>
          <w:tcPr>
            <w:tcW w:w="2460" w:type="dxa"/>
            <w:gridSpan w:val="2"/>
            <w:shd w:val="clear" w:color="auto" w:fill="auto"/>
            <w:vAlign w:val="center"/>
          </w:tcPr>
          <w:p>
            <w:pPr>
              <w:pStyle w:val="553"/>
            </w:pPr>
            <w:r>
              <w:rPr>
                <w:rFonts w:hint="eastAsia"/>
              </w:rPr>
              <w:t>有组织排放合计</w:t>
            </w:r>
          </w:p>
        </w:tc>
        <w:tc>
          <w:tcPr>
            <w:tcW w:w="4911" w:type="dxa"/>
            <w:gridSpan w:val="3"/>
            <w:shd w:val="clear" w:color="auto" w:fill="auto"/>
            <w:vAlign w:val="center"/>
          </w:tcPr>
          <w:p>
            <w:pPr>
              <w:pStyle w:val="553"/>
            </w:pPr>
            <w:r>
              <w:rPr>
                <w:rFonts w:hint="eastAsia"/>
              </w:rPr>
              <w:t>氮氧化物</w:t>
            </w:r>
          </w:p>
        </w:tc>
        <w:tc>
          <w:tcPr>
            <w:tcW w:w="1601" w:type="dxa"/>
            <w:shd w:val="clear" w:color="auto" w:fill="auto"/>
            <w:vAlign w:val="center"/>
          </w:tcPr>
          <w:p>
            <w:pPr>
              <w:pStyle w:val="553"/>
            </w:pPr>
            <w:r>
              <w:t>0.03556</w:t>
            </w:r>
          </w:p>
        </w:tc>
      </w:tr>
      <w:bookmarkEnd w:id="497"/>
      <w:bookmarkEnd w:id="498"/>
    </w:tbl>
    <w:p>
      <w:pPr>
        <w:pStyle w:val="112"/>
        <w:ind w:firstLine="480"/>
      </w:pPr>
      <w:r>
        <w:rPr>
          <w:rFonts w:hint="eastAsia"/>
        </w:rPr>
        <w:t>②大气污染物年排放量核算</w:t>
      </w:r>
    </w:p>
    <w:p>
      <w:pPr>
        <w:pStyle w:val="37"/>
      </w:pPr>
      <w:r>
        <w:rPr>
          <w:rFonts w:hint="eastAsia"/>
        </w:rPr>
        <w:t>表</w:t>
      </w:r>
      <w:r>
        <w:rPr>
          <w:bCs/>
        </w:rPr>
        <w:t xml:space="preserve">6.2-7 </w:t>
      </w:r>
      <w:r>
        <w:rPr>
          <w:rFonts w:hint="eastAsia"/>
        </w:rPr>
        <w:t>大气污染物年排放量核算表</w:t>
      </w:r>
    </w:p>
    <w:tbl>
      <w:tblPr>
        <w:tblStyle w:val="57"/>
        <w:tblW w:w="901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11"/>
        <w:gridCol w:w="3376"/>
        <w:gridCol w:w="35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2111" w:type="dxa"/>
            <w:vAlign w:val="center"/>
          </w:tcPr>
          <w:p>
            <w:pPr>
              <w:pStyle w:val="553"/>
              <w:rPr>
                <w:b/>
                <w:bCs w:val="0"/>
                <w:lang w:val="de-DE"/>
              </w:rPr>
            </w:pPr>
            <w:r>
              <w:rPr>
                <w:rFonts w:hint="eastAsia"/>
                <w:b/>
                <w:bCs w:val="0"/>
                <w:lang w:val="de-DE"/>
              </w:rPr>
              <w:t>序号</w:t>
            </w:r>
          </w:p>
        </w:tc>
        <w:tc>
          <w:tcPr>
            <w:tcW w:w="3376" w:type="dxa"/>
            <w:vAlign w:val="center"/>
          </w:tcPr>
          <w:p>
            <w:pPr>
              <w:pStyle w:val="553"/>
              <w:rPr>
                <w:b/>
                <w:bCs w:val="0"/>
                <w:lang w:val="de-DE"/>
              </w:rPr>
            </w:pPr>
            <w:r>
              <w:rPr>
                <w:rFonts w:hint="eastAsia"/>
                <w:b/>
                <w:bCs w:val="0"/>
                <w:lang w:val="de-DE"/>
              </w:rPr>
              <w:t>污染物</w:t>
            </w:r>
          </w:p>
        </w:tc>
        <w:tc>
          <w:tcPr>
            <w:tcW w:w="3528" w:type="dxa"/>
            <w:vAlign w:val="center"/>
          </w:tcPr>
          <w:p>
            <w:pPr>
              <w:pStyle w:val="553"/>
              <w:rPr>
                <w:b/>
                <w:bCs w:val="0"/>
                <w:lang w:val="de-DE"/>
              </w:rPr>
            </w:pPr>
            <w:r>
              <w:rPr>
                <w:rFonts w:hint="eastAsia"/>
                <w:b/>
                <w:bCs w:val="0"/>
                <w:lang w:val="de-DE"/>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2111" w:type="dxa"/>
            <w:vAlign w:val="center"/>
          </w:tcPr>
          <w:p>
            <w:pPr>
              <w:pStyle w:val="553"/>
              <w:rPr>
                <w:lang w:val="de-DE"/>
              </w:rPr>
            </w:pPr>
            <w:r>
              <w:rPr>
                <w:rFonts w:hint="eastAsia"/>
                <w:lang w:val="de-DE"/>
              </w:rPr>
              <w:t>1</w:t>
            </w:r>
          </w:p>
        </w:tc>
        <w:tc>
          <w:tcPr>
            <w:tcW w:w="3376" w:type="dxa"/>
            <w:vAlign w:val="center"/>
          </w:tcPr>
          <w:p>
            <w:pPr>
              <w:pStyle w:val="553"/>
              <w:rPr>
                <w:lang w:val="de-DE"/>
              </w:rPr>
            </w:pPr>
            <w:r>
              <w:rPr>
                <w:rFonts w:hint="eastAsia"/>
                <w:lang w:val="de-DE"/>
              </w:rPr>
              <w:t>氮氧化物</w:t>
            </w:r>
          </w:p>
        </w:tc>
        <w:tc>
          <w:tcPr>
            <w:tcW w:w="3528" w:type="dxa"/>
            <w:vAlign w:val="center"/>
          </w:tcPr>
          <w:p>
            <w:pPr>
              <w:pStyle w:val="553"/>
              <w:rPr>
                <w:lang w:val="de-DE"/>
              </w:rPr>
            </w:pPr>
            <w:r>
              <w:t>0.03556</w:t>
            </w:r>
          </w:p>
        </w:tc>
      </w:tr>
    </w:tbl>
    <w:p>
      <w:pPr>
        <w:pStyle w:val="112"/>
        <w:ind w:firstLine="482"/>
        <w:rPr>
          <w:b/>
          <w:bCs/>
          <w:color w:val="FF0000"/>
        </w:rPr>
      </w:pPr>
      <w:r>
        <w:rPr>
          <w:rFonts w:hint="eastAsia"/>
          <w:b/>
          <w:bCs/>
          <w:color w:val="FF0000"/>
        </w:rPr>
        <w:t>（8）环境影响分析</w:t>
      </w:r>
    </w:p>
    <w:p>
      <w:pPr>
        <w:pStyle w:val="112"/>
        <w:ind w:firstLine="480"/>
        <w:rPr>
          <w:b/>
          <w:bCs/>
          <w:color w:val="FF0000"/>
        </w:rPr>
      </w:pPr>
      <w:r>
        <w:rPr>
          <w:rFonts w:hint="eastAsia"/>
          <w:color w:val="FF0000"/>
        </w:rPr>
        <w:t>正常工况水套炉燃烧废气通过水套炉自带的</w:t>
      </w:r>
      <w:r>
        <w:rPr>
          <w:color w:val="FF0000"/>
        </w:rPr>
        <w:t>8m</w:t>
      </w:r>
      <w:r>
        <w:rPr>
          <w:rFonts w:hint="eastAsia"/>
          <w:color w:val="FF0000"/>
        </w:rPr>
        <w:t>高的排气筒外排，能够满足《锅炉大气污染物排放标准》（</w:t>
      </w:r>
      <w:r>
        <w:rPr>
          <w:color w:val="FF0000"/>
        </w:rPr>
        <w:t>GB13271-2014</w:t>
      </w:r>
      <w:r>
        <w:rPr>
          <w:rFonts w:hint="eastAsia"/>
          <w:color w:val="FF0000"/>
        </w:rPr>
        <w:t>）中表</w:t>
      </w:r>
      <w:r>
        <w:rPr>
          <w:color w:val="FF0000"/>
        </w:rPr>
        <w:t>2</w:t>
      </w:r>
      <w:r>
        <w:rPr>
          <w:rFonts w:hint="eastAsia"/>
          <w:color w:val="FF0000"/>
        </w:rPr>
        <w:t>新建锅炉大气污染物排放限值燃气锅炉排放标准要求。水套炉位于地势开阔的空旷地带，大气扩散条件良好，故水套炉燃烧废气不会对周边大气环境造成明显不利影响。</w:t>
      </w:r>
    </w:p>
    <w:p>
      <w:pPr>
        <w:pStyle w:val="112"/>
        <w:ind w:firstLine="482"/>
        <w:rPr>
          <w:b/>
          <w:bCs/>
        </w:rPr>
      </w:pPr>
      <w:r>
        <w:rPr>
          <w:rFonts w:hint="eastAsia"/>
          <w:b/>
          <w:bCs/>
        </w:rPr>
        <w:t>2</w:t>
      </w:r>
      <w:r>
        <w:rPr>
          <w:b/>
          <w:bCs/>
        </w:rPr>
        <w:t>、</w:t>
      </w:r>
      <w:r>
        <w:rPr>
          <w:rFonts w:hint="eastAsia"/>
          <w:b/>
          <w:bCs/>
        </w:rPr>
        <w:t>非正常工况</w:t>
      </w:r>
    </w:p>
    <w:p>
      <w:pPr>
        <w:pStyle w:val="112"/>
        <w:ind w:firstLine="480"/>
      </w:pPr>
      <w:r>
        <w:rPr>
          <w:rFonts w:hint="eastAsia"/>
        </w:rPr>
        <w:t>非正常工况，在事故或检修放空期间会产生放空废气，本工程天然气中含硫，少量的天然气通过放空管燃烧后在放空区会产生氮氧化物和S</w:t>
      </w:r>
      <w:r>
        <w:t>O</w:t>
      </w:r>
      <w:r>
        <w:rPr>
          <w:vertAlign w:val="subscript"/>
        </w:rPr>
        <w:t>2</w:t>
      </w:r>
      <w:r>
        <w:rPr>
          <w:rFonts w:hint="eastAsia"/>
        </w:rPr>
        <w:t>，但由于事故及检修频率低，每次外排氮氧化物和S</w:t>
      </w:r>
      <w:r>
        <w:t>O</w:t>
      </w:r>
      <w:r>
        <w:rPr>
          <w:vertAlign w:val="subscript"/>
        </w:rPr>
        <w:t>2</w:t>
      </w:r>
      <w:r>
        <w:rPr>
          <w:rFonts w:hint="eastAsia"/>
        </w:rPr>
        <w:t>较少，通过放空区放空管高空排放，且普陆4集气平台放空区位于地势开阔的空旷地带，大气扩散条件良好，放空时疏散</w:t>
      </w:r>
      <w:r>
        <w:t>附近的居民</w:t>
      </w:r>
      <w:r>
        <w:rPr>
          <w:rFonts w:hint="eastAsia"/>
        </w:rPr>
        <w:t>，放空废气不会对周边大气环境造成明显不利影响。</w:t>
      </w:r>
    </w:p>
    <w:p>
      <w:pPr>
        <w:pStyle w:val="4"/>
        <w:rPr>
          <w:rFonts w:eastAsia="宋体"/>
        </w:rPr>
      </w:pPr>
      <w:r>
        <w:rPr>
          <w:rFonts w:eastAsia="宋体"/>
        </w:rPr>
        <w:t xml:space="preserve">6.2.3 </w:t>
      </w:r>
      <w:r>
        <w:rPr>
          <w:rFonts w:hint="eastAsia" w:eastAsia="宋体"/>
        </w:rPr>
        <w:t>地表水环境影响分析</w:t>
      </w:r>
    </w:p>
    <w:p>
      <w:pPr>
        <w:pStyle w:val="112"/>
        <w:ind w:firstLine="482"/>
        <w:rPr>
          <w:b/>
          <w:bCs/>
        </w:rPr>
      </w:pPr>
      <w:r>
        <w:rPr>
          <w:rFonts w:hint="eastAsia"/>
          <w:b/>
          <w:bCs/>
        </w:rPr>
        <w:t>1</w:t>
      </w:r>
      <w:r>
        <w:rPr>
          <w:b/>
          <w:bCs/>
        </w:rPr>
        <w:t>、</w:t>
      </w:r>
      <w:r>
        <w:rPr>
          <w:rFonts w:hint="eastAsia"/>
          <w:b/>
          <w:bCs/>
        </w:rPr>
        <w:t>评价内容要求</w:t>
      </w:r>
    </w:p>
    <w:p>
      <w:pPr>
        <w:pStyle w:val="112"/>
        <w:ind w:firstLine="480"/>
        <w:rPr>
          <w:color w:val="FF0000"/>
        </w:rPr>
      </w:pPr>
      <w:r>
        <w:rPr>
          <w:color w:val="FF0000"/>
        </w:rPr>
        <w:t>本项目地表水环境影响评价等级定为水污染影响型三级B</w:t>
      </w:r>
      <w:r>
        <w:rPr>
          <w:rFonts w:hint="eastAsia"/>
          <w:color w:val="FF0000"/>
        </w:rPr>
        <w:t>，</w:t>
      </w:r>
      <w:r>
        <w:rPr>
          <w:color w:val="FF0000"/>
        </w:rPr>
        <w:t>根据《环境影响评价技术导则 地表水环境》（HJ2.3-2018）中关于</w:t>
      </w:r>
      <w:r>
        <w:rPr>
          <w:rFonts w:hint="eastAsia"/>
          <w:color w:val="FF0000"/>
        </w:rPr>
        <w:t>要求，</w:t>
      </w:r>
      <w:r>
        <w:rPr>
          <w:color w:val="FF0000"/>
        </w:rPr>
        <w:t>本次环评地表水环境影响评价</w:t>
      </w:r>
      <w:r>
        <w:rPr>
          <w:rFonts w:hint="eastAsia"/>
          <w:color w:val="FF0000"/>
        </w:rPr>
        <w:t>主要</w:t>
      </w:r>
      <w:r>
        <w:rPr>
          <w:color w:val="FF0000"/>
        </w:rPr>
        <w:t>对污、废水的产生情况以及</w:t>
      </w:r>
      <w:r>
        <w:rPr>
          <w:rFonts w:hint="eastAsia"/>
          <w:color w:val="FF0000"/>
        </w:rPr>
        <w:t>依托污水处理设施环境可行性分析</w:t>
      </w:r>
      <w:r>
        <w:rPr>
          <w:color w:val="FF0000"/>
        </w:rPr>
        <w:t>，并对</w:t>
      </w:r>
      <w:r>
        <w:rPr>
          <w:rFonts w:hint="eastAsia"/>
          <w:color w:val="FF0000"/>
        </w:rPr>
        <w:t>涉及地表水环境风险影响范围所及的水环境保护目标水域进行分析</w:t>
      </w:r>
      <w:r>
        <w:rPr>
          <w:color w:val="FF0000"/>
        </w:rPr>
        <w:t>。</w:t>
      </w:r>
    </w:p>
    <w:p>
      <w:pPr>
        <w:pStyle w:val="112"/>
        <w:ind w:firstLine="482"/>
        <w:rPr>
          <w:b/>
          <w:bCs/>
        </w:rPr>
      </w:pPr>
      <w:r>
        <w:rPr>
          <w:b/>
          <w:bCs/>
        </w:rPr>
        <w:t>2、</w:t>
      </w:r>
      <w:r>
        <w:rPr>
          <w:rFonts w:hint="eastAsia"/>
          <w:b/>
          <w:bCs/>
        </w:rPr>
        <w:t>环境影响分析</w:t>
      </w:r>
    </w:p>
    <w:p>
      <w:pPr>
        <w:pStyle w:val="112"/>
        <w:ind w:firstLine="482"/>
        <w:rPr>
          <w:b/>
          <w:bCs/>
        </w:rPr>
      </w:pPr>
      <w:r>
        <w:rPr>
          <w:rFonts w:hint="eastAsia"/>
          <w:b/>
          <w:bCs/>
        </w:rPr>
        <w:t>（1）集输管线</w:t>
      </w:r>
    </w:p>
    <w:p>
      <w:pPr>
        <w:pStyle w:val="112"/>
        <w:ind w:firstLine="480"/>
      </w:pPr>
      <w:r>
        <w:t>正常工况下，由于输气管线是全封闭系统，输运的天然气不会与</w:t>
      </w:r>
      <w:r>
        <w:rPr>
          <w:rFonts w:hint="eastAsia"/>
        </w:rPr>
        <w:t>地表水体</w:t>
      </w:r>
      <w:r>
        <w:t>之间发生联系，采用外防腐层和强制电流阴极保护联合方式，如不发生泄漏事故，正常运营期对</w:t>
      </w:r>
      <w:r>
        <w:rPr>
          <w:rFonts w:hint="eastAsia"/>
        </w:rPr>
        <w:t>地表水</w:t>
      </w:r>
      <w:r>
        <w:t>不会造成影响；在发生泄漏事故时，由于天然气中以CH</w:t>
      </w:r>
      <w:r>
        <w:rPr>
          <w:vertAlign w:val="subscript"/>
        </w:rPr>
        <w:t>4</w:t>
      </w:r>
      <w:r>
        <w:t>为主，在水中的溶解度极低，因此对水环境基本无影响。</w:t>
      </w:r>
    </w:p>
    <w:p>
      <w:pPr>
        <w:pStyle w:val="112"/>
        <w:ind w:firstLine="482"/>
        <w:rPr>
          <w:b/>
          <w:bCs/>
        </w:rPr>
      </w:pPr>
      <w:r>
        <w:rPr>
          <w:rFonts w:hint="eastAsia"/>
          <w:b/>
          <w:bCs/>
        </w:rPr>
        <w:t>（2）集气站</w:t>
      </w:r>
    </w:p>
    <w:p>
      <w:pPr>
        <w:pStyle w:val="112"/>
        <w:ind w:firstLine="480"/>
      </w:pPr>
      <w:r>
        <w:rPr>
          <w:szCs w:val="22"/>
        </w:rPr>
        <w:t>本项目运营期产生的气田水</w:t>
      </w:r>
      <w:r>
        <w:rPr>
          <w:rFonts w:hint="eastAsia"/>
          <w:szCs w:val="22"/>
        </w:rPr>
        <w:t>暂存于污水缓冲罐</w:t>
      </w:r>
      <w:r>
        <w:rPr>
          <w:szCs w:val="22"/>
        </w:rPr>
        <w:t>，然后通过密闭罐车拉运至大湾403污水站处理达到《气田水回注方法》（SY/T 6596</w:t>
      </w:r>
      <w:r>
        <w:rPr>
          <w:rFonts w:hint="eastAsia"/>
          <w:szCs w:val="22"/>
        </w:rPr>
        <w:t>-</w:t>
      </w:r>
      <w:r>
        <w:rPr>
          <w:szCs w:val="22"/>
        </w:rPr>
        <w:t>2016）中注入水基本要求后管输至毛开1井回注站回注处理，不外排</w:t>
      </w:r>
      <w:r>
        <w:rPr>
          <w:rFonts w:hint="eastAsia"/>
          <w:color w:val="FF0000"/>
          <w:szCs w:val="22"/>
        </w:rPr>
        <w:t>，</w:t>
      </w:r>
      <w:r>
        <w:rPr>
          <w:color w:val="FF0000"/>
          <w:szCs w:val="22"/>
        </w:rPr>
        <w:t>对地表水环境基本无影响</w:t>
      </w:r>
      <w:r>
        <w:rPr>
          <w:rFonts w:hint="eastAsia"/>
          <w:szCs w:val="22"/>
        </w:rPr>
        <w:t>；值守</w:t>
      </w:r>
      <w:r>
        <w:rPr>
          <w:szCs w:val="22"/>
        </w:rPr>
        <w:t>人员生活</w:t>
      </w:r>
      <w:r>
        <w:rPr>
          <w:rFonts w:hint="eastAsia"/>
          <w:szCs w:val="22"/>
        </w:rPr>
        <w:t>污水经</w:t>
      </w:r>
      <w:r>
        <w:rPr>
          <w:szCs w:val="22"/>
        </w:rPr>
        <w:t>生态环保厕所收集后，用作周边农肥，不外排</w:t>
      </w:r>
      <w:r>
        <w:rPr>
          <w:rFonts w:hint="eastAsia"/>
          <w:color w:val="FF0000"/>
          <w:szCs w:val="22"/>
        </w:rPr>
        <w:t>，</w:t>
      </w:r>
      <w:r>
        <w:rPr>
          <w:color w:val="FF0000"/>
          <w:szCs w:val="22"/>
        </w:rPr>
        <w:t>对地表水环境基本无影响</w:t>
      </w:r>
      <w:r>
        <w:t>。</w:t>
      </w:r>
    </w:p>
    <w:p>
      <w:pPr>
        <w:pStyle w:val="4"/>
        <w:rPr>
          <w:rFonts w:eastAsia="宋体"/>
        </w:rPr>
      </w:pPr>
      <w:r>
        <w:rPr>
          <w:rFonts w:eastAsia="宋体"/>
        </w:rPr>
        <w:t xml:space="preserve">6.2.4 </w:t>
      </w:r>
      <w:r>
        <w:rPr>
          <w:rFonts w:hint="eastAsia" w:eastAsia="宋体"/>
        </w:rPr>
        <w:t>地下水环境影响分析</w:t>
      </w:r>
    </w:p>
    <w:p>
      <w:pPr>
        <w:pStyle w:val="112"/>
        <w:ind w:firstLine="480"/>
        <w:rPr>
          <w:rFonts w:ascii="宋体" w:cs="宋体"/>
        </w:rPr>
      </w:pPr>
      <w:r>
        <w:rPr>
          <w:rFonts w:hint="eastAsia" w:ascii="宋体" w:cs="宋体"/>
        </w:rPr>
        <w:t>本项目各可能影响地下水的环节中，污水缓冲罐四周设有防渗围堰，主要污染因素为跑冒滴漏和事故状态下废水泄漏，泄漏后废水在围堰内收集，不会深入地下造成地下水污染。因此本项目非正常情况下地下水环境影响重点分析污水缓冲罐泄漏，</w:t>
      </w:r>
      <w:r>
        <w:rPr>
          <w:rFonts w:hint="eastAsia"/>
        </w:rPr>
        <w:t>且防渗设施失效而导致泄漏</w:t>
      </w:r>
      <w:r>
        <w:rPr>
          <w:rFonts w:hint="eastAsia" w:hAnsi="宋体"/>
          <w:kern w:val="2"/>
        </w:rPr>
        <w:t>气田水</w:t>
      </w:r>
      <w:r>
        <w:rPr>
          <w:rFonts w:hint="eastAsia"/>
        </w:rPr>
        <w:t>直接进入潜水含水层</w:t>
      </w:r>
      <w:r>
        <w:rPr>
          <w:rFonts w:hint="eastAsia" w:ascii="宋体" w:cs="宋体"/>
        </w:rPr>
        <w:t>对地下水环境的影响。</w:t>
      </w:r>
    </w:p>
    <w:p>
      <w:pPr>
        <w:pStyle w:val="112"/>
        <w:ind w:firstLine="482"/>
        <w:rPr>
          <w:b/>
          <w:bCs/>
        </w:rPr>
      </w:pPr>
      <w:r>
        <w:rPr>
          <w:rFonts w:hint="eastAsia"/>
          <w:b/>
          <w:bCs/>
        </w:rPr>
        <w:t>1</w:t>
      </w:r>
      <w:r>
        <w:rPr>
          <w:b/>
          <w:bCs/>
        </w:rPr>
        <w:t>、</w:t>
      </w:r>
      <w:r>
        <w:rPr>
          <w:rFonts w:hint="eastAsia"/>
          <w:b/>
          <w:bCs/>
        </w:rPr>
        <w:t>评价区和场地环境水文地质条件</w:t>
      </w:r>
    </w:p>
    <w:p>
      <w:pPr>
        <w:pStyle w:val="112"/>
        <w:ind w:firstLine="480"/>
        <w:rPr>
          <w:rFonts w:hAnsi="Calibri"/>
        </w:rPr>
      </w:pPr>
      <w:r>
        <w:rPr>
          <w:rFonts w:hint="eastAsia" w:hAnsi="Calibri"/>
        </w:rPr>
        <w:t>管道敷设线路通过地区地下水类型均为第四系全新统松散层孔隙上层滞水、碎屑岩类基岩风化裂隙水。</w:t>
      </w:r>
    </w:p>
    <w:p>
      <w:pPr>
        <w:pStyle w:val="112"/>
        <w:ind w:firstLine="480"/>
        <w:rPr>
          <w:rFonts w:hAnsi="Calibri"/>
        </w:rPr>
      </w:pPr>
      <w:r>
        <w:rPr>
          <w:rFonts w:hint="eastAsia" w:hAnsi="Calibri"/>
        </w:rPr>
        <w:t>第四系全新统松散层孔隙上层滞水，线路分布的沟谷粉质粘土层中局部具有上层滞水，主要接受大气降雨及斜坡、沟谷地表水漫灌补给，埋藏深度不一，水量较贫乏，对管道敷设施工影响较小。</w:t>
      </w:r>
    </w:p>
    <w:p>
      <w:pPr>
        <w:pStyle w:val="112"/>
        <w:ind w:firstLine="480"/>
        <w:rPr>
          <w:rFonts w:ascii="宋体" w:cs="宋体"/>
        </w:rPr>
      </w:pPr>
      <w:r>
        <w:rPr>
          <w:rFonts w:hint="eastAsia" w:ascii="宋体" w:hAnsi="Calibri" w:cs="宋体"/>
        </w:rPr>
        <w:t>基岩风化裂隙水：主要赋存于场地区下伏、出露的基岩风化裂隙与构造裂隙中。根据现场勘察，勘察深度内未见该类地下水出露。该类地下水主要接受地下水径流补给（出露区可接受大气降雨补给），一般埋深大于</w:t>
      </w:r>
      <w:r>
        <w:rPr>
          <w:rFonts w:hint="eastAsia"/>
        </w:rPr>
        <w:t>4</w:t>
      </w:r>
      <w:r>
        <w:t>m</w:t>
      </w:r>
      <w:r>
        <w:rPr>
          <w:rFonts w:hint="eastAsia" w:ascii="宋体" w:cs="宋体"/>
        </w:rPr>
        <w:t>，埋深较大，水量较少，仅在裂隙发育、贯通性好，以及补给源较充分地段可形成局部富水。该类地下水对管道敷设施工、运营影响较小。</w:t>
      </w:r>
    </w:p>
    <w:p>
      <w:pPr>
        <w:pStyle w:val="112"/>
        <w:ind w:firstLine="482"/>
        <w:rPr>
          <w:b/>
          <w:bCs/>
        </w:rPr>
      </w:pPr>
      <w:r>
        <w:rPr>
          <w:b/>
          <w:bCs/>
        </w:rPr>
        <w:t>2、</w:t>
      </w:r>
      <w:r>
        <w:rPr>
          <w:rFonts w:hint="eastAsia"/>
          <w:b/>
          <w:bCs/>
        </w:rPr>
        <w:t>地下水补径排条件和地下水环境质量现状</w:t>
      </w:r>
    </w:p>
    <w:p>
      <w:pPr>
        <w:pStyle w:val="112"/>
        <w:ind w:firstLine="480"/>
      </w:pPr>
      <w:r>
        <w:rPr>
          <w:rFonts w:hint="eastAsia"/>
        </w:rPr>
        <w:t>项目管线经过地区地下水以大气补给为主。根据地下水现状监测结果，可知项目监测点位地下水化学类型为</w:t>
      </w:r>
      <w:r>
        <w:t>HCO</w:t>
      </w:r>
      <w:r>
        <w:rPr>
          <w:vertAlign w:val="subscript"/>
        </w:rPr>
        <w:t>3</w:t>
      </w:r>
      <w:r>
        <w:t>-Mg-Ca</w:t>
      </w:r>
      <w:r>
        <w:rPr>
          <w:rFonts w:hint="eastAsia"/>
        </w:rPr>
        <w:t>型水，各监测点地下水各项指标均满足《地下水质量标准》（</w:t>
      </w:r>
      <w:r>
        <w:t>GB/T14848-2017</w:t>
      </w:r>
      <w:r>
        <w:rPr>
          <w:rFonts w:hint="eastAsia"/>
        </w:rPr>
        <w:t>）中</w:t>
      </w:r>
      <w:r>
        <w:t>Ⅲ</w:t>
      </w:r>
      <w:r>
        <w:rPr>
          <w:rFonts w:hint="eastAsia"/>
        </w:rPr>
        <w:t>类标准要求，总体来说，项目评价区内地下水水质较好。</w:t>
      </w:r>
    </w:p>
    <w:p>
      <w:pPr>
        <w:pStyle w:val="112"/>
        <w:ind w:firstLine="482"/>
        <w:rPr>
          <w:b/>
          <w:bCs/>
          <w:color w:val="FF0000"/>
        </w:rPr>
      </w:pPr>
      <w:r>
        <w:rPr>
          <w:rFonts w:hint="eastAsia"/>
          <w:b/>
          <w:bCs/>
          <w:color w:val="FF0000"/>
        </w:rPr>
        <w:t>3</w:t>
      </w:r>
      <w:r>
        <w:rPr>
          <w:b/>
          <w:bCs/>
          <w:color w:val="FF0000"/>
        </w:rPr>
        <w:t>、</w:t>
      </w:r>
      <w:r>
        <w:rPr>
          <w:rFonts w:hint="eastAsia"/>
          <w:b/>
          <w:bCs/>
          <w:color w:val="FF0000"/>
        </w:rPr>
        <w:t>地下水环境影响预测与分析</w:t>
      </w:r>
    </w:p>
    <w:p>
      <w:pPr>
        <w:pStyle w:val="112"/>
        <w:ind w:firstLine="480"/>
        <w:rPr>
          <w:highlight w:val="yellow"/>
        </w:rPr>
      </w:pPr>
      <w:r>
        <w:rPr>
          <w:rFonts w:hint="eastAsia"/>
          <w:color w:val="FF0000"/>
        </w:rPr>
        <w:t>根据</w:t>
      </w:r>
      <w:r>
        <w:rPr>
          <w:color w:val="FF0000"/>
        </w:rPr>
        <w:t>《环境影响评价技术导则 地下水环境》（HJ610-2016）</w:t>
      </w:r>
      <w:r>
        <w:rPr>
          <w:rFonts w:hint="eastAsia"/>
          <w:color w:val="FF0000"/>
        </w:rPr>
        <w:t>，</w:t>
      </w:r>
      <w:r>
        <w:rPr>
          <w:color w:val="FF0000"/>
        </w:rPr>
        <w:t>本项目地下水环境影响评价等级为二级</w:t>
      </w:r>
      <w:r>
        <w:rPr>
          <w:rFonts w:hint="eastAsia"/>
          <w:color w:val="FF0000"/>
        </w:rPr>
        <w:t>，</w:t>
      </w:r>
      <w:r>
        <w:rPr>
          <w:rFonts w:hint="eastAsia"/>
        </w:rPr>
        <w:t>根据</w:t>
      </w:r>
      <w:r>
        <w:t>《环境影响评价技术导则 地下水环境》（HJ610-2016）</w:t>
      </w:r>
      <w:r>
        <w:rPr>
          <w:rFonts w:hint="eastAsia"/>
        </w:rPr>
        <w:t>7</w:t>
      </w:r>
      <w:r>
        <w:t>.4.3</w:t>
      </w:r>
      <w:r>
        <w:rPr>
          <w:rFonts w:hint="eastAsia"/>
        </w:rPr>
        <w:t>“二级评价要求”“采用数值法或解析法进行地下水影响分析与评价”，主要针对</w:t>
      </w:r>
      <w:r>
        <w:t>P107集气站污水缓冲罐对地下水环境影响进行预测和分析</w:t>
      </w:r>
      <w:r>
        <w:rPr>
          <w:rFonts w:hint="eastAsia"/>
        </w:rPr>
        <w:t>。</w:t>
      </w:r>
    </w:p>
    <w:p>
      <w:pPr>
        <w:pStyle w:val="112"/>
        <w:ind w:firstLine="482"/>
        <w:rPr>
          <w:b/>
          <w:bCs/>
        </w:rPr>
      </w:pPr>
      <w:r>
        <w:rPr>
          <w:rFonts w:hint="eastAsia"/>
          <w:b/>
          <w:bCs/>
        </w:rPr>
        <w:t>（1）预测时段</w:t>
      </w:r>
    </w:p>
    <w:p>
      <w:pPr>
        <w:pStyle w:val="112"/>
        <w:ind w:firstLine="480"/>
      </w:pPr>
      <w:r>
        <w:rPr>
          <w:rFonts w:hint="eastAsia"/>
        </w:rPr>
        <w:t>根据《建设项目环境影响评价技术导则地下水环境》（</w:t>
      </w:r>
      <w:r>
        <w:t>HJ610-2016</w:t>
      </w:r>
      <w:r>
        <w:rPr>
          <w:rFonts w:hint="eastAsia"/>
        </w:rPr>
        <w:t>），结合本项目特点，将生产运营期地下水环境影响预测时段限定为</w:t>
      </w:r>
      <w:r>
        <w:t>100</w:t>
      </w:r>
      <w:r>
        <w:rPr>
          <w:rFonts w:hint="eastAsia"/>
        </w:rPr>
        <w:t>天、365天。</w:t>
      </w:r>
    </w:p>
    <w:p>
      <w:pPr>
        <w:pStyle w:val="112"/>
        <w:ind w:firstLine="482"/>
        <w:rPr>
          <w:b/>
          <w:bCs/>
        </w:rPr>
      </w:pPr>
      <w:r>
        <w:rPr>
          <w:rFonts w:hint="eastAsia"/>
          <w:b/>
          <w:bCs/>
        </w:rPr>
        <w:t>（</w:t>
      </w:r>
      <w:r>
        <w:rPr>
          <w:b/>
          <w:bCs/>
        </w:rPr>
        <w:t>2</w:t>
      </w:r>
      <w:r>
        <w:rPr>
          <w:rFonts w:hint="eastAsia"/>
          <w:b/>
          <w:bCs/>
        </w:rPr>
        <w:t>）情景设置</w:t>
      </w:r>
    </w:p>
    <w:p>
      <w:pPr>
        <w:pStyle w:val="112"/>
        <w:ind w:firstLine="480"/>
      </w:pPr>
      <w:r>
        <w:rPr>
          <w:rFonts w:hint="eastAsia"/>
        </w:rPr>
        <w:t>按照《环境影响评价技术导则地下水环境》（</w:t>
      </w:r>
      <w:r>
        <w:t>HJ610-2016</w:t>
      </w:r>
      <w:r>
        <w:rPr>
          <w:rFonts w:hint="eastAsia"/>
        </w:rPr>
        <w:t>）要求，根据分析，项目地下水污染源主要是指</w:t>
      </w:r>
      <w:r>
        <w:rPr>
          <w:rFonts w:hint="eastAsia" w:ascii="宋体" w:cs="宋体"/>
        </w:rPr>
        <w:t>污水缓冲罐</w:t>
      </w:r>
      <w:r>
        <w:rPr>
          <w:rFonts w:hint="eastAsia"/>
        </w:rPr>
        <w:t>泄漏且防渗设施失效，而主要预测点为</w:t>
      </w:r>
      <w:r>
        <w:rPr>
          <w:rFonts w:hint="eastAsia" w:ascii="宋体" w:cs="宋体"/>
        </w:rPr>
        <w:t>污水缓冲罐</w:t>
      </w:r>
      <w:r>
        <w:rPr>
          <w:rFonts w:hint="eastAsia"/>
        </w:rPr>
        <w:t>，本次预测忽略正常工况对周边地下水的影响，主要分析在非正常状况下</w:t>
      </w:r>
      <w:r>
        <w:rPr>
          <w:rFonts w:hint="eastAsia" w:ascii="宋体" w:cs="宋体"/>
        </w:rPr>
        <w:t>污水缓冲罐</w:t>
      </w:r>
      <w:r>
        <w:rPr>
          <w:rFonts w:hint="eastAsia"/>
        </w:rPr>
        <w:t>破损且防渗设施失效，而导致泄漏</w:t>
      </w:r>
      <w:r>
        <w:rPr>
          <w:rFonts w:hint="eastAsia" w:hAnsi="宋体"/>
          <w:kern w:val="2"/>
        </w:rPr>
        <w:t>气田水</w:t>
      </w:r>
      <w:r>
        <w:rPr>
          <w:rFonts w:hint="eastAsia"/>
        </w:rPr>
        <w:t>直接进入潜水含水层。考虑最不利情况，考虑</w:t>
      </w:r>
      <w:r>
        <w:rPr>
          <w:rFonts w:hint="eastAsia" w:hAnsi="宋体"/>
          <w:kern w:val="2"/>
        </w:rPr>
        <w:t>气田水</w:t>
      </w:r>
      <w:r>
        <w:rPr>
          <w:rFonts w:hint="eastAsia"/>
        </w:rPr>
        <w:t>全部泄漏。结合本项目各阶段工程分析，并结合地下水环境现状调查评价，选取合适的评价方法，确定评价范围、识别预测时段和选取预测因子，从而对周边地下水环境影响的范围及程度，对本项目进行地下水水质影响预测。</w:t>
      </w:r>
    </w:p>
    <w:p>
      <w:pPr>
        <w:pStyle w:val="112"/>
        <w:ind w:firstLine="482"/>
        <w:rPr>
          <w:b/>
          <w:bCs/>
        </w:rPr>
      </w:pPr>
      <w:r>
        <w:rPr>
          <w:rFonts w:hint="eastAsia"/>
          <w:b/>
          <w:bCs/>
        </w:rPr>
        <w:t>（</w:t>
      </w:r>
      <w:r>
        <w:rPr>
          <w:b/>
          <w:bCs/>
        </w:rPr>
        <w:t>3</w:t>
      </w:r>
      <w:r>
        <w:rPr>
          <w:rFonts w:hint="eastAsia"/>
          <w:b/>
          <w:bCs/>
        </w:rPr>
        <w:t>）预测因子</w:t>
      </w:r>
    </w:p>
    <w:p>
      <w:pPr>
        <w:pStyle w:val="112"/>
        <w:ind w:firstLine="480"/>
      </w:pPr>
      <w:r>
        <w:rPr>
          <w:rFonts w:hint="eastAsia"/>
        </w:rPr>
        <w:t>根据导则要求，并结合项目特点，预测因子选择应在导则要求的基础上，充分考虑选取与其排放的污染物有关的特征因子。根据废水排放中污染物排放量和排放浓度，预测因子为建设项目排放的污染物有关的特征因子。本次选取对地下水环境质量影响负荷较大的石油类进行影响预测与评估。</w:t>
      </w:r>
    </w:p>
    <w:p>
      <w:pPr>
        <w:pStyle w:val="112"/>
        <w:ind w:firstLine="480"/>
      </w:pPr>
      <w:r>
        <w:rPr>
          <w:rFonts w:hint="eastAsia" w:ascii="宋体" w:cs="宋体"/>
        </w:rPr>
        <w:t>由于《地下水质量标准》（</w:t>
      </w:r>
      <w:r>
        <w:t>GB/T14848-2017</w:t>
      </w:r>
      <w:r>
        <w:rPr>
          <w:rFonts w:hint="eastAsia" w:ascii="宋体" w:cs="宋体"/>
        </w:rPr>
        <w:t>）中没有石油类相关指标，因此参照执行《地表水质量标准》（</w:t>
      </w:r>
      <w:r>
        <w:t>GB3838-2002</w:t>
      </w:r>
      <w:r>
        <w:rPr>
          <w:rFonts w:hint="eastAsia" w:ascii="宋体" w:cs="宋体"/>
        </w:rPr>
        <w:t>）中</w:t>
      </w:r>
      <w:r>
        <w:t>Ⅲ</w:t>
      </w:r>
      <w:r>
        <w:rPr>
          <w:rFonts w:hint="eastAsia" w:ascii="宋体" w:cs="宋体"/>
        </w:rPr>
        <w:t>类标准（</w:t>
      </w:r>
      <w:r>
        <w:t>500μg/L</w:t>
      </w:r>
      <w:r>
        <w:rPr>
          <w:rFonts w:hint="eastAsia" w:ascii="宋体" w:cs="宋体"/>
        </w:rPr>
        <w:t>）超过《地下水质量标准》（</w:t>
      </w:r>
      <w:r>
        <w:t>GB/T14848-2017</w:t>
      </w:r>
      <w:r>
        <w:rPr>
          <w:rFonts w:hint="eastAsia" w:ascii="宋体" w:cs="宋体"/>
        </w:rPr>
        <w:t>）的</w:t>
      </w:r>
      <w:r>
        <w:t>Ⅲ</w:t>
      </w:r>
      <w:r>
        <w:rPr>
          <w:rFonts w:hint="eastAsia" w:ascii="宋体" w:cs="宋体"/>
        </w:rPr>
        <w:t>类标准（</w:t>
      </w:r>
      <w:r>
        <w:t>0.05mg/L</w:t>
      </w:r>
      <w:r>
        <w:rPr>
          <w:rFonts w:hint="eastAsia" w:ascii="宋体" w:cs="宋体"/>
        </w:rPr>
        <w:t>），并对超过该标准的范围进行定量描述，影响范围以检测方法检出限（</w:t>
      </w:r>
      <w:r>
        <w:t>0.01mg/L</w:t>
      </w:r>
      <w:r>
        <w:rPr>
          <w:rFonts w:hint="eastAsia" w:ascii="宋体" w:cs="宋体"/>
        </w:rPr>
        <w:t>）作为影响限值。</w:t>
      </w:r>
    </w:p>
    <w:p>
      <w:pPr>
        <w:pStyle w:val="112"/>
        <w:ind w:firstLine="482"/>
        <w:rPr>
          <w:b/>
          <w:bCs/>
        </w:rPr>
      </w:pPr>
      <w:r>
        <w:rPr>
          <w:rFonts w:hint="eastAsia"/>
          <w:b/>
          <w:bCs/>
        </w:rPr>
        <w:t>（</w:t>
      </w:r>
      <w:r>
        <w:rPr>
          <w:b/>
          <w:bCs/>
        </w:rPr>
        <w:t>4</w:t>
      </w:r>
      <w:r>
        <w:rPr>
          <w:rFonts w:hint="eastAsia"/>
          <w:b/>
          <w:bCs/>
        </w:rPr>
        <w:t>）预测源强</w:t>
      </w:r>
    </w:p>
    <w:p>
      <w:pPr>
        <w:pStyle w:val="112"/>
        <w:ind w:firstLine="480"/>
      </w:pPr>
      <w:r>
        <w:rPr>
          <w:rFonts w:hint="eastAsia"/>
        </w:rPr>
        <w:t>本项目</w:t>
      </w:r>
      <w:r>
        <w:rPr>
          <w:rFonts w:hint="eastAsia" w:ascii="宋体" w:cs="宋体"/>
        </w:rPr>
        <w:t>污水缓冲罐</w:t>
      </w:r>
      <w:r>
        <w:rPr>
          <w:rFonts w:hint="eastAsia"/>
        </w:rPr>
        <w:t>容积约50</w:t>
      </w:r>
      <w:r>
        <w:t>m</w:t>
      </w:r>
      <w:r>
        <w:rPr>
          <w:vertAlign w:val="superscript"/>
        </w:rPr>
        <w:t>3</w:t>
      </w:r>
      <w:r>
        <w:rPr>
          <w:rFonts w:hint="eastAsia"/>
        </w:rPr>
        <w:t>，气田水最大</w:t>
      </w:r>
      <w:r>
        <w:rPr>
          <w:rFonts w:hint="eastAsia" w:ascii="宋体" w:cs="宋体"/>
        </w:rPr>
        <w:t>储存量</w:t>
      </w:r>
      <w:r>
        <w:rPr>
          <w:rFonts w:hint="eastAsia"/>
        </w:rPr>
        <w:t>按50</w:t>
      </w:r>
      <w:r>
        <w:t>m</w:t>
      </w:r>
      <w:r>
        <w:rPr>
          <w:vertAlign w:val="superscript"/>
        </w:rPr>
        <w:t>3</w:t>
      </w:r>
      <w:r>
        <w:rPr>
          <w:rFonts w:hint="eastAsia"/>
        </w:rPr>
        <w:t>计，假定</w:t>
      </w:r>
      <w:r>
        <w:rPr>
          <w:rFonts w:hint="eastAsia" w:ascii="宋体" w:cs="宋体"/>
        </w:rPr>
        <w:t>污水缓冲罐</w:t>
      </w:r>
      <w:r>
        <w:rPr>
          <w:rFonts w:hint="eastAsia"/>
        </w:rPr>
        <w:t>发生泄漏，</w:t>
      </w:r>
      <w:r>
        <w:rPr>
          <w:rFonts w:hint="eastAsia" w:ascii="宋体" w:cs="宋体"/>
        </w:rPr>
        <w:t>污水缓冲罐</w:t>
      </w:r>
      <w:r>
        <w:rPr>
          <w:rFonts w:hint="eastAsia"/>
        </w:rPr>
        <w:t>储存的</w:t>
      </w:r>
      <w:r>
        <w:rPr>
          <w:rFonts w:hint="eastAsia" w:hAnsi="宋体"/>
          <w:kern w:val="2"/>
        </w:rPr>
        <w:t>气田水</w:t>
      </w:r>
      <w:r>
        <w:rPr>
          <w:rFonts w:hint="eastAsia"/>
        </w:rPr>
        <w:t>全部渗漏到地下水含水层中，对地下水水质造成污染。则泄漏量为50</w:t>
      </w:r>
      <w:r>
        <w:t>m</w:t>
      </w:r>
      <w:r>
        <w:rPr>
          <w:vertAlign w:val="superscript"/>
        </w:rPr>
        <w:t>3</w:t>
      </w:r>
      <w:r>
        <w:rPr>
          <w:rFonts w:hint="eastAsia"/>
        </w:rPr>
        <w:t>。根据气田水水质，主要超标污染物为石油类，事故污染物预测强度见表6</w:t>
      </w:r>
      <w:r>
        <w:t>.2-</w:t>
      </w:r>
      <w:r>
        <w:rPr>
          <w:rFonts w:hint="eastAsia"/>
        </w:rPr>
        <w:t>8。</w:t>
      </w:r>
    </w:p>
    <w:p>
      <w:pPr>
        <w:pStyle w:val="18"/>
        <w:spacing w:before="120"/>
        <w:ind w:firstLine="422"/>
        <w:jc w:val="center"/>
        <w:rPr>
          <w:rFonts w:ascii="Times New Roman" w:hAnsi="Times New Roman" w:eastAsia="宋体"/>
          <w:sz w:val="21"/>
          <w:szCs w:val="21"/>
        </w:rPr>
      </w:pPr>
      <w:bookmarkStart w:id="499" w:name="_Ref474413801"/>
      <w:r>
        <w:rPr>
          <w:rFonts w:ascii="Times New Roman" w:hAnsi="Times New Roman" w:eastAsia="宋体"/>
          <w:b/>
          <w:sz w:val="21"/>
          <w:szCs w:val="21"/>
        </w:rPr>
        <w:t>表</w:t>
      </w:r>
      <w:bookmarkEnd w:id="499"/>
      <w:r>
        <w:rPr>
          <w:rFonts w:hint="eastAsia" w:ascii="Times New Roman" w:hAnsi="Times New Roman" w:eastAsia="宋体"/>
          <w:b/>
          <w:sz w:val="21"/>
          <w:szCs w:val="21"/>
        </w:rPr>
        <w:t>6</w:t>
      </w:r>
      <w:r>
        <w:rPr>
          <w:rFonts w:ascii="Times New Roman" w:hAnsi="Times New Roman" w:eastAsia="宋体"/>
          <w:b/>
          <w:sz w:val="21"/>
          <w:szCs w:val="21"/>
        </w:rPr>
        <w:t>.2-</w:t>
      </w:r>
      <w:r>
        <w:rPr>
          <w:rFonts w:hint="eastAsia" w:ascii="Times New Roman" w:hAnsi="Times New Roman" w:eastAsia="宋体"/>
          <w:b/>
          <w:sz w:val="21"/>
          <w:szCs w:val="21"/>
        </w:rPr>
        <w:t>8</w:t>
      </w:r>
      <w:r>
        <w:rPr>
          <w:rFonts w:ascii="Times New Roman" w:hAnsi="Times New Roman" w:eastAsia="宋体"/>
          <w:b/>
          <w:sz w:val="21"/>
          <w:szCs w:val="21"/>
        </w:rPr>
        <w:t xml:space="preserve">  事故情况下污染物预测源强</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2288"/>
        <w:gridCol w:w="1488"/>
        <w:gridCol w:w="1676"/>
        <w:gridCol w:w="16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583" w:type="dxa"/>
            <w:vAlign w:val="center"/>
          </w:tcPr>
          <w:p>
            <w:pPr>
              <w:pStyle w:val="555"/>
              <w:rPr>
                <w:rFonts w:ascii="Times New Roman" w:hAnsi="Times New Roman"/>
                <w:b/>
              </w:rPr>
            </w:pPr>
            <w:r>
              <w:rPr>
                <w:rFonts w:hint="eastAsia" w:cs="宋体"/>
                <w:b/>
              </w:rPr>
              <w:t>泄漏位置</w:t>
            </w:r>
          </w:p>
        </w:tc>
        <w:tc>
          <w:tcPr>
            <w:tcW w:w="2502" w:type="dxa"/>
            <w:vAlign w:val="center"/>
          </w:tcPr>
          <w:p>
            <w:pPr>
              <w:pStyle w:val="555"/>
              <w:rPr>
                <w:rFonts w:ascii="Times New Roman" w:hAnsi="Times New Roman"/>
                <w:b/>
              </w:rPr>
            </w:pPr>
            <w:r>
              <w:rPr>
                <w:rFonts w:hint="eastAsia" w:cs="宋体"/>
                <w:b/>
              </w:rPr>
              <w:t>渗漏废水或压裂液量</w:t>
            </w:r>
          </w:p>
          <w:p>
            <w:pPr>
              <w:pStyle w:val="555"/>
              <w:rPr>
                <w:rFonts w:ascii="Times New Roman" w:hAnsi="Times New Roman"/>
                <w:b/>
              </w:rPr>
            </w:pPr>
            <w:r>
              <w:rPr>
                <w:rFonts w:hint="eastAsia" w:cs="宋体"/>
                <w:b/>
              </w:rPr>
              <w:t>（</w:t>
            </w:r>
            <w:r>
              <w:rPr>
                <w:rFonts w:ascii="Times New Roman" w:hAnsi="Times New Roman"/>
                <w:b/>
              </w:rPr>
              <w:t>m</w:t>
            </w:r>
            <w:r>
              <w:rPr>
                <w:rFonts w:ascii="Times New Roman" w:hAnsi="Times New Roman"/>
                <w:b/>
                <w:vertAlign w:val="superscript"/>
              </w:rPr>
              <w:t>3</w:t>
            </w:r>
            <w:r>
              <w:rPr>
                <w:rFonts w:hint="eastAsia" w:cs="宋体"/>
                <w:b/>
              </w:rPr>
              <w:t>）</w:t>
            </w:r>
          </w:p>
        </w:tc>
        <w:tc>
          <w:tcPr>
            <w:tcW w:w="1618" w:type="dxa"/>
            <w:vAlign w:val="center"/>
          </w:tcPr>
          <w:p>
            <w:pPr>
              <w:pStyle w:val="555"/>
              <w:rPr>
                <w:rFonts w:ascii="Times New Roman" w:hAnsi="Times New Roman"/>
                <w:b/>
              </w:rPr>
            </w:pPr>
            <w:r>
              <w:rPr>
                <w:rFonts w:hint="eastAsia" w:cs="宋体"/>
                <w:b/>
              </w:rPr>
              <w:t>污染物</w:t>
            </w:r>
          </w:p>
        </w:tc>
        <w:tc>
          <w:tcPr>
            <w:tcW w:w="1826" w:type="dxa"/>
            <w:vAlign w:val="center"/>
          </w:tcPr>
          <w:p>
            <w:pPr>
              <w:pStyle w:val="555"/>
              <w:rPr>
                <w:rFonts w:ascii="Times New Roman" w:hAnsi="Times New Roman"/>
                <w:b/>
              </w:rPr>
            </w:pPr>
            <w:r>
              <w:rPr>
                <w:rFonts w:hint="eastAsia" w:cs="宋体"/>
                <w:b/>
              </w:rPr>
              <w:t>污染物浓度（</w:t>
            </w:r>
            <w:r>
              <w:rPr>
                <w:rFonts w:ascii="Times New Roman" w:hAnsi="Times New Roman"/>
                <w:b/>
              </w:rPr>
              <w:t>mg/L</w:t>
            </w:r>
            <w:r>
              <w:rPr>
                <w:rFonts w:hint="eastAsia" w:cs="宋体"/>
                <w:b/>
              </w:rPr>
              <w:t>）</w:t>
            </w:r>
          </w:p>
        </w:tc>
        <w:tc>
          <w:tcPr>
            <w:tcW w:w="1757" w:type="dxa"/>
            <w:vAlign w:val="center"/>
          </w:tcPr>
          <w:p>
            <w:pPr>
              <w:pStyle w:val="555"/>
              <w:rPr>
                <w:rFonts w:ascii="Times New Roman" w:hAnsi="Times New Roman"/>
                <w:b/>
              </w:rPr>
            </w:pPr>
            <w:r>
              <w:rPr>
                <w:rFonts w:hint="eastAsia" w:cs="宋体"/>
                <w:b/>
              </w:rPr>
              <w:t>污染物渗漏量（</w:t>
            </w:r>
            <w:r>
              <w:rPr>
                <w:rFonts w:ascii="Times New Roman" w:hAnsi="Times New Roman"/>
                <w:b/>
              </w:rPr>
              <w:t>kg</w:t>
            </w:r>
            <w:r>
              <w:rPr>
                <w:rFonts w:hint="eastAsia" w:cs="宋体"/>
                <w:b/>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583" w:type="dxa"/>
            <w:vAlign w:val="center"/>
          </w:tcPr>
          <w:p>
            <w:pPr>
              <w:pStyle w:val="555"/>
              <w:rPr>
                <w:rFonts w:ascii="Times New Roman" w:hAnsi="Times New Roman"/>
              </w:rPr>
            </w:pPr>
            <w:r>
              <w:rPr>
                <w:rFonts w:hint="eastAsia" w:cs="宋体"/>
              </w:rPr>
              <w:t>污水缓冲罐</w:t>
            </w:r>
          </w:p>
        </w:tc>
        <w:tc>
          <w:tcPr>
            <w:tcW w:w="2502" w:type="dxa"/>
            <w:vAlign w:val="center"/>
          </w:tcPr>
          <w:p>
            <w:pPr>
              <w:pStyle w:val="555"/>
              <w:rPr>
                <w:rFonts w:ascii="Times New Roman" w:hAnsi="Times New Roman"/>
              </w:rPr>
            </w:pPr>
            <w:r>
              <w:rPr>
                <w:rFonts w:hint="eastAsia" w:ascii="Times New Roman" w:hAnsi="Times New Roman"/>
              </w:rPr>
              <w:t>50</w:t>
            </w:r>
          </w:p>
        </w:tc>
        <w:tc>
          <w:tcPr>
            <w:tcW w:w="1618" w:type="dxa"/>
            <w:vAlign w:val="center"/>
          </w:tcPr>
          <w:p>
            <w:pPr>
              <w:pStyle w:val="555"/>
              <w:rPr>
                <w:rFonts w:ascii="Times New Roman" w:hAnsi="Times New Roman"/>
              </w:rPr>
            </w:pPr>
            <w:r>
              <w:rPr>
                <w:rFonts w:hint="eastAsia" w:cs="宋体"/>
              </w:rPr>
              <w:t>石油类</w:t>
            </w:r>
          </w:p>
        </w:tc>
        <w:tc>
          <w:tcPr>
            <w:tcW w:w="1826" w:type="dxa"/>
            <w:vAlign w:val="center"/>
          </w:tcPr>
          <w:p>
            <w:pPr>
              <w:pStyle w:val="555"/>
              <w:rPr>
                <w:rFonts w:ascii="Times New Roman" w:hAnsi="Times New Roman"/>
              </w:rPr>
            </w:pPr>
            <w:r>
              <w:rPr>
                <w:rFonts w:hint="eastAsia" w:ascii="Times New Roman" w:hAnsi="Times New Roman"/>
              </w:rPr>
              <w:t>2</w:t>
            </w:r>
            <w:r>
              <w:rPr>
                <w:rFonts w:ascii="Times New Roman" w:hAnsi="Times New Roman"/>
              </w:rPr>
              <w:t>00</w:t>
            </w:r>
          </w:p>
        </w:tc>
        <w:tc>
          <w:tcPr>
            <w:tcW w:w="1757" w:type="dxa"/>
            <w:vAlign w:val="center"/>
          </w:tcPr>
          <w:p>
            <w:pPr>
              <w:pStyle w:val="555"/>
              <w:rPr>
                <w:rFonts w:ascii="Times New Roman" w:hAnsi="Times New Roman"/>
              </w:rPr>
            </w:pPr>
            <w:r>
              <w:rPr>
                <w:rFonts w:hint="eastAsia" w:ascii="Times New Roman" w:hAnsi="Times New Roman"/>
              </w:rPr>
              <w:t>10</w:t>
            </w:r>
          </w:p>
        </w:tc>
      </w:tr>
    </w:tbl>
    <w:p>
      <w:pPr>
        <w:pStyle w:val="112"/>
        <w:ind w:firstLine="482"/>
        <w:rPr>
          <w:b/>
          <w:bCs/>
        </w:rPr>
      </w:pPr>
      <w:r>
        <w:rPr>
          <w:rFonts w:hint="eastAsia"/>
          <w:b/>
          <w:bCs/>
        </w:rPr>
        <w:t>（</w:t>
      </w:r>
      <w:r>
        <w:rPr>
          <w:b/>
          <w:bCs/>
        </w:rPr>
        <w:t>5</w:t>
      </w:r>
      <w:r>
        <w:rPr>
          <w:rFonts w:hint="eastAsia"/>
          <w:b/>
          <w:bCs/>
        </w:rPr>
        <w:t>）预测模型概化</w:t>
      </w:r>
    </w:p>
    <w:p>
      <w:pPr>
        <w:pStyle w:val="112"/>
        <w:ind w:firstLine="480"/>
      </w:pPr>
      <w:r>
        <w:rPr>
          <w:rFonts w:hint="eastAsia"/>
        </w:rPr>
        <w:t>当</w:t>
      </w:r>
      <w:r>
        <w:rPr>
          <w:rFonts w:hint="eastAsia" w:ascii="宋体" w:cs="宋体"/>
        </w:rPr>
        <w:t>污水缓冲罐</w:t>
      </w:r>
      <w:r>
        <w:rPr>
          <w:rFonts w:hint="eastAsia"/>
        </w:rPr>
        <w:t>发生泄漏后，首先在包气带中垂直向下迁移，并进入到含水层中。污染物进入地下水后，以对流和弥散作用为主。另外，污染物在含水层的迁移行为还包括吸附解析、挥发和生物降解。</w:t>
      </w:r>
    </w:p>
    <w:p>
      <w:pPr>
        <w:pStyle w:val="112"/>
        <w:ind w:firstLine="480"/>
      </w:pPr>
      <w:r>
        <w:rPr>
          <w:rFonts w:hint="eastAsia"/>
        </w:rPr>
        <w:t>a.预测模型</w:t>
      </w:r>
    </w:p>
    <w:p>
      <w:pPr>
        <w:pStyle w:val="112"/>
        <w:ind w:firstLine="480"/>
      </w:pPr>
      <w:r>
        <w:rPr>
          <w:rFonts w:hint="eastAsia"/>
        </w:rPr>
        <w:t>根据本项目污染物的理化特征，出于保守性考虑，本次地下水污染模拟过程中未考虑污染物在含水层中的挥发、吸附解析和生物化学反应。建设项目地下水流向呈一维流动，地下水位动态稳定，因此污染物在含水层中的迁移，可概化为瞬时注入示踪剂（平面瞬时点源）的一维稳定流动二维水动力弥散问题，本次评价选用《环境影响评价技术导则地下水环境》（</w:t>
      </w:r>
      <w:r>
        <w:t>HJ610-2016</w:t>
      </w:r>
      <w:r>
        <w:rPr>
          <w:rFonts w:hint="eastAsia"/>
        </w:rPr>
        <w:t>）附录</w:t>
      </w:r>
      <w:r>
        <w:t>D.1.2.2.1</w:t>
      </w:r>
      <w:r>
        <w:rPr>
          <w:rFonts w:hint="eastAsia"/>
        </w:rPr>
        <w:t>推荐的常用地下水评价预测模型中污染物瞬时源浓度的解析解预测模型，解析解模型如下所示：</w:t>
      </w:r>
    </w:p>
    <w:p>
      <w:pPr>
        <w:pStyle w:val="112"/>
        <w:ind w:firstLine="480"/>
      </w:pPr>
      <w:r>
        <w:rPr>
          <w:rFonts w:hint="eastAsia"/>
        </w:rPr>
        <w:t>附录</w:t>
      </w:r>
      <w:r>
        <w:t xml:space="preserve">D.1.2.2.1 </w:t>
      </w:r>
      <w:r>
        <w:rPr>
          <w:rFonts w:hint="eastAsia"/>
        </w:rPr>
        <w:t>瞬时注入示踪剂</w:t>
      </w:r>
      <w:r>
        <w:t>—</w:t>
      </w:r>
      <w:r>
        <w:rPr>
          <w:rFonts w:hint="eastAsia"/>
        </w:rPr>
        <w:t>平面瞬时点源</w:t>
      </w:r>
    </w:p>
    <w:p>
      <w:pPr>
        <w:pStyle w:val="112"/>
        <w:ind w:firstLine="480"/>
      </w:pPr>
      <w:r>
        <w:object>
          <v:shape id="_x0000_i1029" o:spt="75" type="#_x0000_t75" style="height:47.25pt;width:204.75pt;" o:ole="t" filled="f" o:preferrelative="t" stroked="f" coordsize="21600,21600">
            <v:path/>
            <v:fill on="f" focussize="0,0"/>
            <v:stroke on="f" joinstyle="miter"/>
            <v:imagedata r:id="rId84" o:title=""/>
            <o:lock v:ext="edit" aspectratio="t"/>
            <w10:wrap type="none"/>
            <w10:anchorlock/>
          </v:shape>
          <o:OLEObject Type="Embed" ProgID="Equation.DSMT4" ShapeID="_x0000_i1029" DrawAspect="Content" ObjectID="_1468075729" r:id="rId83">
            <o:LockedField>false</o:LockedField>
          </o:OLEObject>
        </w:object>
      </w:r>
    </w:p>
    <w:p>
      <w:pPr>
        <w:pStyle w:val="112"/>
        <w:ind w:firstLine="480"/>
      </w:pPr>
    </w:p>
    <w:p>
      <w:pPr>
        <w:pStyle w:val="112"/>
        <w:ind w:firstLine="480"/>
      </w:pPr>
      <w:r>
        <w:rPr>
          <w:rFonts w:hint="eastAsia"/>
        </w:rPr>
        <w:t>式中：</w:t>
      </w:r>
      <w:r>
        <w:object>
          <v:shape id="_x0000_i1030" o:spt="75" type="#_x0000_t75" style="height:11.25pt;width:19.8pt;" o:ole="t" filled="f" o:preferrelative="t" stroked="f" coordsize="21600,21600">
            <v:path/>
            <v:fill on="f" focussize="0,0"/>
            <v:stroke on="f" joinstyle="miter"/>
            <v:imagedata r:id="rId86" o:title=""/>
            <o:lock v:ext="edit" aspectratio="t"/>
            <w10:wrap type="none"/>
            <w10:anchorlock/>
          </v:shape>
          <o:OLEObject Type="Embed" ProgID="Equation.DSMT4" ShapeID="_x0000_i1030" DrawAspect="Content" ObjectID="_1468075730" r:id="rId85">
            <o:LockedField>false</o:LockedField>
          </o:OLEObject>
        </w:object>
      </w:r>
      <w:r>
        <w:t>—</w:t>
      </w:r>
      <w:r>
        <w:rPr>
          <w:rFonts w:hint="eastAsia"/>
        </w:rPr>
        <w:t>计算点处的位置坐标；</w:t>
      </w:r>
    </w:p>
    <w:p>
      <w:pPr>
        <w:pStyle w:val="112"/>
        <w:ind w:firstLine="480"/>
      </w:pPr>
      <w:r>
        <w:t>t—</w:t>
      </w:r>
      <w:r>
        <w:rPr>
          <w:rFonts w:hint="eastAsia"/>
        </w:rPr>
        <w:t>时间，</w:t>
      </w:r>
      <w:r>
        <w:t>d</w:t>
      </w:r>
      <w:r>
        <w:rPr>
          <w:rFonts w:hint="eastAsia"/>
        </w:rPr>
        <w:t>；</w:t>
      </w:r>
    </w:p>
    <w:p>
      <w:pPr>
        <w:pStyle w:val="112"/>
        <w:ind w:firstLine="480"/>
      </w:pPr>
      <w:r>
        <w:object>
          <v:shape id="_x0000_i1031" o:spt="75" type="#_x0000_t75" style="height:18.5pt;width:47.25pt;" o:ole="t" filled="f" o:preferrelative="t" stroked="f" coordsize="21600,21600">
            <v:path/>
            <v:fill on="f" focussize="0,0"/>
            <v:stroke on="f" joinstyle="miter"/>
            <v:imagedata r:id="rId88" o:title=""/>
            <o:lock v:ext="edit" aspectratio="t"/>
            <w10:wrap type="none"/>
            <w10:anchorlock/>
          </v:shape>
          <o:OLEObject Type="Embed" ProgID="Equation.DSMT4" ShapeID="_x0000_i1031" DrawAspect="Content" ObjectID="_1468075731" r:id="rId87">
            <o:LockedField>false</o:LockedField>
          </o:OLEObject>
        </w:object>
      </w:r>
      <w:r>
        <w:t>—t</w:t>
      </w:r>
      <w:r>
        <w:rPr>
          <w:rFonts w:hint="eastAsia"/>
        </w:rPr>
        <w:t>时刻点</w:t>
      </w:r>
      <w:r>
        <w:t>x</w:t>
      </w:r>
      <w:r>
        <w:rPr>
          <w:rFonts w:hint="eastAsia"/>
        </w:rPr>
        <w:t>，</w:t>
      </w:r>
      <w:r>
        <w:t>y</w:t>
      </w:r>
      <w:r>
        <w:rPr>
          <w:rFonts w:hint="eastAsia"/>
        </w:rPr>
        <w:t>处的示踪剂质量浓度，</w:t>
      </w:r>
      <w:r>
        <w:t>mg/L</w:t>
      </w:r>
      <w:r>
        <w:rPr>
          <w:rFonts w:hint="eastAsia"/>
        </w:rPr>
        <w:t>；</w:t>
      </w:r>
    </w:p>
    <w:p>
      <w:pPr>
        <w:pStyle w:val="112"/>
        <w:ind w:firstLine="480"/>
      </w:pPr>
      <w:r>
        <w:object>
          <v:shape id="_x0000_i1032" o:spt="75" type="#_x0000_t75" style="height:18.5pt;width:18.5pt;" o:ole="t" filled="f" o:preferrelative="t" stroked="f" coordsize="21600,21600">
            <v:path/>
            <v:fill on="f" focussize="0,0"/>
            <v:stroke on="f" joinstyle="miter"/>
            <v:imagedata r:id="rId90" o:title=""/>
            <o:lock v:ext="edit" aspectratio="t"/>
            <w10:wrap type="none"/>
            <w10:anchorlock/>
          </v:shape>
          <o:OLEObject Type="Embed" ProgID="Equation.DSMT4" ShapeID="_x0000_i1032" DrawAspect="Content" ObjectID="_1468075732" r:id="rId89">
            <o:LockedField>false</o:LockedField>
          </o:OLEObject>
        </w:object>
      </w:r>
      <w:r>
        <w:t>—</w:t>
      </w:r>
      <w:r>
        <w:rPr>
          <w:rFonts w:hint="eastAsia"/>
        </w:rPr>
        <w:t>长度为</w:t>
      </w:r>
      <w:r>
        <w:t>M</w:t>
      </w:r>
      <w:r>
        <w:rPr>
          <w:rFonts w:hint="eastAsia"/>
        </w:rPr>
        <w:t>的线源瞬时注入的示踪剂质量，</w:t>
      </w:r>
      <w:r>
        <w:t>kg</w:t>
      </w:r>
      <w:r>
        <w:rPr>
          <w:rFonts w:hint="eastAsia"/>
        </w:rPr>
        <w:t>；</w:t>
      </w:r>
    </w:p>
    <w:p>
      <w:pPr>
        <w:pStyle w:val="112"/>
        <w:ind w:firstLine="480"/>
      </w:pPr>
      <w:r>
        <w:t>M—</w:t>
      </w:r>
      <w:r>
        <w:rPr>
          <w:rFonts w:hint="eastAsia"/>
        </w:rPr>
        <w:t>含水层厚度，</w:t>
      </w:r>
      <w:r>
        <w:t>m</w:t>
      </w:r>
      <w:r>
        <w:rPr>
          <w:rFonts w:hint="eastAsia"/>
        </w:rPr>
        <w:t>；</w:t>
      </w:r>
    </w:p>
    <w:p>
      <w:pPr>
        <w:pStyle w:val="112"/>
        <w:ind w:firstLine="480"/>
      </w:pPr>
      <w:r>
        <w:object>
          <v:shape id="_x0000_i1033" o:spt="75" type="#_x0000_t75" style="height:11.25pt;width:11.25pt;" o:ole="t" filled="f" o:preferrelative="t" stroked="f" coordsize="21600,21600">
            <v:path/>
            <v:fill on="f" focussize="0,0"/>
            <v:stroke on="f" joinstyle="miter"/>
            <v:imagedata r:id="rId92" o:title=""/>
            <o:lock v:ext="edit" aspectratio="t"/>
            <w10:wrap type="none"/>
            <w10:anchorlock/>
          </v:shape>
          <o:OLEObject Type="Embed" ProgID="Equation.DSMT4" ShapeID="_x0000_i1033" DrawAspect="Content" ObjectID="_1468075733" r:id="rId91">
            <o:LockedField>false</o:LockedField>
          </o:OLEObject>
        </w:object>
      </w:r>
      <w:r>
        <w:t>—</w:t>
      </w:r>
      <w:r>
        <w:rPr>
          <w:rFonts w:hint="eastAsia"/>
        </w:rPr>
        <w:t>水流速度，</w:t>
      </w:r>
      <w:r>
        <w:t>m/d</w:t>
      </w:r>
      <w:r>
        <w:rPr>
          <w:rFonts w:hint="eastAsia"/>
        </w:rPr>
        <w:t>；</w:t>
      </w:r>
    </w:p>
    <w:p>
      <w:pPr>
        <w:pStyle w:val="112"/>
        <w:ind w:firstLine="480"/>
      </w:pPr>
      <w:r>
        <w:object>
          <v:shape id="_x0000_i1034" o:spt="75" type="#_x0000_t75" style="height:11.25pt;width:11.25pt;" o:ole="t" filled="f" o:preferrelative="t" stroked="f" coordsize="21600,21600">
            <v:path/>
            <v:fill on="f" focussize="0,0"/>
            <v:stroke on="f" joinstyle="miter"/>
            <v:imagedata r:id="rId94" o:title=""/>
            <o:lock v:ext="edit" aspectratio="t"/>
            <w10:wrap type="none"/>
            <w10:anchorlock/>
          </v:shape>
          <o:OLEObject Type="Embed" ProgID="Equation.DSMT4" ShapeID="_x0000_i1034" DrawAspect="Content" ObjectID="_1468075734" r:id="rId93">
            <o:LockedField>false</o:LockedField>
          </o:OLEObject>
        </w:object>
      </w:r>
      <w:r>
        <w:t>—</w:t>
      </w:r>
      <w:r>
        <w:rPr>
          <w:rFonts w:hint="eastAsia"/>
        </w:rPr>
        <w:t>有效孔隙度；</w:t>
      </w:r>
    </w:p>
    <w:p>
      <w:pPr>
        <w:pStyle w:val="112"/>
        <w:ind w:firstLine="480"/>
      </w:pPr>
      <w:r>
        <w:object>
          <v:shape id="_x0000_i1035" o:spt="75" type="#_x0000_t75" style="height:18.5pt;width:18.85pt;" o:ole="t" filled="f" o:preferrelative="t" stroked="f" coordsize="21600,21600">
            <v:path/>
            <v:fill on="f" focussize="0,0"/>
            <v:stroke on="f" joinstyle="miter"/>
            <v:imagedata r:id="rId96" o:title=""/>
            <o:lock v:ext="edit" aspectratio="t"/>
            <w10:wrap type="none"/>
            <w10:anchorlock/>
          </v:shape>
          <o:OLEObject Type="Embed" ProgID="Equation.DSMT4" ShapeID="_x0000_i1035" DrawAspect="Content" ObjectID="_1468075735" r:id="rId95">
            <o:LockedField>false</o:LockedField>
          </o:OLEObject>
        </w:object>
      </w:r>
      <w:r>
        <w:t>—</w:t>
      </w:r>
      <w:r>
        <w:rPr>
          <w:rFonts w:hint="eastAsia"/>
        </w:rPr>
        <w:t>纵向弥散系数，</w:t>
      </w:r>
      <w:r>
        <w:t>m</w:t>
      </w:r>
      <w:r>
        <w:rPr>
          <w:vertAlign w:val="superscript"/>
        </w:rPr>
        <w:t>2</w:t>
      </w:r>
      <w:r>
        <w:t>/d</w:t>
      </w:r>
      <w:r>
        <w:rPr>
          <w:rFonts w:hint="eastAsia"/>
        </w:rPr>
        <w:t>；</w:t>
      </w:r>
    </w:p>
    <w:p>
      <w:pPr>
        <w:pStyle w:val="112"/>
        <w:ind w:firstLine="1200" w:firstLineChars="500"/>
      </w:pPr>
      <w:r>
        <w:object>
          <v:shape id="_x0000_i1036" o:spt="75" type="#_x0000_t75" style="height:18.5pt;width:18.85pt;" o:ole="t" filled="f" o:preferrelative="t" stroked="f" coordsize="21600,21600">
            <v:path/>
            <v:fill on="f" focussize="0,0"/>
            <v:stroke on="f" joinstyle="miter"/>
            <v:imagedata r:id="rId98" o:title=""/>
            <o:lock v:ext="edit" aspectratio="t"/>
            <w10:wrap type="none"/>
            <w10:anchorlock/>
          </v:shape>
          <o:OLEObject Type="Embed" ProgID="Equation.DSMT4" ShapeID="_x0000_i1036" DrawAspect="Content" ObjectID="_1468075736" r:id="rId97">
            <o:LockedField>false</o:LockedField>
          </o:OLEObject>
        </w:object>
      </w:r>
      <w:r>
        <w:t>—</w:t>
      </w:r>
      <w:r>
        <w:rPr>
          <w:rFonts w:hint="eastAsia"/>
        </w:rPr>
        <w:t>纵向弥散系数，</w:t>
      </w:r>
      <w:r>
        <w:t>m</w:t>
      </w:r>
      <w:r>
        <w:rPr>
          <w:vertAlign w:val="superscript"/>
        </w:rPr>
        <w:t>2</w:t>
      </w:r>
      <w:r>
        <w:t>/d。</w:t>
      </w:r>
    </w:p>
    <w:p>
      <w:pPr>
        <w:pStyle w:val="112"/>
        <w:ind w:firstLine="480"/>
      </w:pPr>
      <w:r>
        <w:rPr>
          <w:rFonts w:hint="eastAsia" w:hAnsi="Calibri"/>
        </w:rPr>
        <w:t>b</w:t>
      </w:r>
      <w:r>
        <w:rPr>
          <w:rFonts w:hAnsi="Calibri"/>
        </w:rPr>
        <w:t>.</w:t>
      </w:r>
      <w:r>
        <w:rPr>
          <w:rFonts w:hint="eastAsia"/>
        </w:rPr>
        <w:t>水文地质参数</w:t>
      </w:r>
    </w:p>
    <w:p>
      <w:pPr>
        <w:pStyle w:val="112"/>
        <w:ind w:firstLine="480"/>
      </w:pPr>
      <w:r>
        <w:t>a）含水层厚度M：含水层主要为基岩裂隙水。根据水文地质资料，本地区含水层厚度约为</w:t>
      </w:r>
      <w:r>
        <w:rPr>
          <w:rFonts w:hint="eastAsia"/>
        </w:rPr>
        <w:t>4</w:t>
      </w:r>
      <w:r>
        <w:t>m。</w:t>
      </w:r>
    </w:p>
    <w:p>
      <w:pPr>
        <w:pStyle w:val="112"/>
        <w:ind w:firstLine="480"/>
      </w:pPr>
      <w:r>
        <w:t>b）瞬时注入的示踪剂质量</w:t>
      </w:r>
      <w:r>
        <w:object>
          <v:shape id="_x0000_i1037" o:spt="75" type="#_x0000_t75" style="height:18.5pt;width:18.5pt;" o:ole="t" filled="f" o:preferrelative="t" stroked="f" coordsize="21600,21600">
            <v:path/>
            <v:fill on="f" focussize="0,0"/>
            <v:stroke on="f" joinstyle="miter"/>
            <v:imagedata r:id="rId90" o:title=""/>
            <o:lock v:ext="edit" aspectratio="t"/>
            <w10:wrap type="none"/>
            <w10:anchorlock/>
          </v:shape>
          <o:OLEObject Type="Embed" ProgID="Equation.DSMT4" ShapeID="_x0000_i1037" DrawAspect="Content" ObjectID="_1468075737" r:id="rId99">
            <o:LockedField>false</o:LockedField>
          </o:OLEObject>
        </w:object>
      </w:r>
      <w:r>
        <w:t>：进入地下水的污染物质量见</w:t>
      </w:r>
      <w:r>
        <w:rPr>
          <w:rFonts w:hint="eastAsia"/>
        </w:rPr>
        <w:t>表6</w:t>
      </w:r>
      <w:r>
        <w:t>.2-</w:t>
      </w:r>
      <w:r>
        <w:rPr>
          <w:rFonts w:hint="eastAsia"/>
        </w:rPr>
        <w:t>10</w:t>
      </w:r>
      <w:r>
        <w:t>。</w:t>
      </w:r>
    </w:p>
    <w:p>
      <w:pPr>
        <w:pStyle w:val="112"/>
        <w:ind w:firstLine="480"/>
      </w:pPr>
      <w:r>
        <w:t>c）含水层的平均有效孔隙度</w:t>
      </w:r>
      <w:r>
        <w:object>
          <v:shape id="_x0000_i1038" o:spt="75" type="#_x0000_t75" style="height:11.25pt;width:11.25pt;" o:ole="t" filled="f" o:preferrelative="t" stroked="f" coordsize="21600,21600">
            <v:path/>
            <v:fill on="f" focussize="0,0"/>
            <v:stroke on="f" joinstyle="miter"/>
            <v:imagedata r:id="rId94" o:title=""/>
            <o:lock v:ext="edit" aspectratio="t"/>
            <w10:wrap type="none"/>
            <w10:anchorlock/>
          </v:shape>
          <o:OLEObject Type="Embed" ProgID="Equation.DSMT4" ShapeID="_x0000_i1038" DrawAspect="Content" ObjectID="_1468075738" r:id="rId100">
            <o:LockedField>false</o:LockedField>
          </o:OLEObject>
        </w:object>
      </w:r>
      <w:r>
        <w:t>：根据含水层岩性，参照《水文地质手册（第二版）》（中国地质调查局，2002年）经验数值，有效孔隙度取值0.042。</w:t>
      </w:r>
    </w:p>
    <w:p>
      <w:pPr>
        <w:pStyle w:val="112"/>
        <w:ind w:firstLine="480"/>
      </w:pPr>
      <w:r>
        <w:t>d）水流速度</w:t>
      </w:r>
      <w:r>
        <w:object>
          <v:shape id="_x0000_i1039" o:spt="75" type="#_x0000_t75" style="height:11.25pt;width:11.25pt;" o:ole="t" filled="f" o:preferrelative="t" stroked="f" coordsize="21600,21600">
            <v:path/>
            <v:fill on="f" focussize="0,0"/>
            <v:stroke on="f" joinstyle="miter"/>
            <v:imagedata r:id="rId92" o:title=""/>
            <o:lock v:ext="edit" aspectratio="t"/>
            <w10:wrap type="none"/>
            <w10:anchorlock/>
          </v:shape>
          <o:OLEObject Type="Embed" ProgID="Equation.DSMT4" ShapeID="_x0000_i1039" DrawAspect="Content" ObjectID="_1468075739" r:id="rId101">
            <o:LockedField>false</o:LockedField>
          </o:OLEObject>
        </w:object>
      </w:r>
      <w:r>
        <w:t>：</w:t>
      </w:r>
      <w:r>
        <w:rPr>
          <w:i/>
        </w:rPr>
        <w:t>u=KI/n</w:t>
      </w:r>
      <w:r>
        <w:t>式中</w:t>
      </w:r>
      <w:r>
        <w:rPr>
          <w:i/>
        </w:rPr>
        <w:t>I</w:t>
      </w:r>
      <w:r>
        <w:t>为地下水水力梯度，根据地勘报告计算为1.14%；</w:t>
      </w:r>
    </w:p>
    <w:p>
      <w:pPr>
        <w:pStyle w:val="112"/>
        <w:ind w:firstLine="480"/>
      </w:pPr>
      <w:r>
        <w:t>含水层主要为基岩风化带裂隙水，渗透系数取经验值0.2m/d，因此地下水渗流速度</w:t>
      </w:r>
      <w:r>
        <w:rPr>
          <w:i/>
        </w:rPr>
        <w:t>u=</w:t>
      </w:r>
      <w:r>
        <w:t>0.02m/d。</w:t>
      </w:r>
    </w:p>
    <w:p>
      <w:pPr>
        <w:pStyle w:val="112"/>
        <w:ind w:firstLine="480"/>
      </w:pPr>
      <w:r>
        <w:t>纵向弥散系数DL：</w:t>
      </w:r>
      <w:r>
        <w:object>
          <v:shape id="_x0000_i1040" o:spt="75" type="#_x0000_t75" style="height:18.5pt;width:47.25pt;" o:ole="t" filled="f" o:preferrelative="t" stroked="f" coordsize="21600,21600">
            <v:path/>
            <v:fill on="f" focussize="0,0"/>
            <v:stroke on="f" joinstyle="miter"/>
            <v:imagedata r:id="rId103" o:title=""/>
            <o:lock v:ext="edit" aspectratio="t"/>
            <w10:wrap type="none"/>
            <w10:anchorlock/>
          </v:shape>
          <o:OLEObject Type="Embed" ProgID="Equation.DSMT4" ShapeID="_x0000_i1040" DrawAspect="Content" ObjectID="_1468075740" r:id="rId102">
            <o:LockedField>false</o:LockedField>
          </o:OLEObject>
        </w:object>
      </w:r>
      <w:r>
        <w:t>，</w:t>
      </w:r>
      <w:r>
        <w:object>
          <v:shape id="_x0000_i1041" o:spt="75" type="#_x0000_t75" style="height:18.5pt;width:13.2pt;" o:ole="t" filled="f" o:preferrelative="t" stroked="f" coordsize="21600,21600">
            <v:path/>
            <v:fill on="f" focussize="0,0"/>
            <v:stroke on="f" joinstyle="miter"/>
            <v:imagedata r:id="rId105" o:title=""/>
            <o:lock v:ext="edit" aspectratio="t"/>
            <w10:wrap type="none"/>
            <w10:anchorlock/>
          </v:shape>
          <o:OLEObject Type="Embed" ProgID="Equation.DSMT4" ShapeID="_x0000_i1041" DrawAspect="Content" ObjectID="_1468075741" r:id="rId104">
            <o:LockedField>false</o:LockedField>
          </o:OLEObject>
        </w:object>
      </w:r>
      <w:r>
        <w:t>取经验系数6.9m。</w:t>
      </w:r>
    </w:p>
    <w:p>
      <w:pPr>
        <w:pStyle w:val="112"/>
        <w:ind w:firstLine="480"/>
      </w:pPr>
      <w:r>
        <w:t>横向弥散系数DT：</w:t>
      </w:r>
      <w:r>
        <w:object>
          <v:shape id="_x0000_i1042" o:spt="75" type="#_x0000_t75" style="height:18.5pt;width:47.25pt;" o:ole="t" filled="f" o:preferrelative="t" stroked="f" coordsize="21600,21600">
            <v:path/>
            <v:fill on="f" focussize="0,0"/>
            <v:stroke on="f" joinstyle="miter"/>
            <v:imagedata r:id="rId107" o:title=""/>
            <o:lock v:ext="edit" aspectratio="t"/>
            <w10:wrap type="none"/>
            <w10:anchorlock/>
          </v:shape>
          <o:OLEObject Type="Embed" ProgID="Equation.DSMT4" ShapeID="_x0000_i1042" DrawAspect="Content" ObjectID="_1468075742" r:id="rId106">
            <o:LockedField>false</o:LockedField>
          </o:OLEObject>
        </w:object>
      </w:r>
      <w:r>
        <w:t>，横/纵向弥散度</w:t>
      </w:r>
      <w:r>
        <w:object>
          <v:shape id="_x0000_i1043" o:spt="75" type="#_x0000_t75" style="height:18.5pt;width:33.05pt;" o:ole="t" filled="f" o:preferrelative="t" stroked="f" coordsize="21600,21600">
            <v:path/>
            <v:fill on="f" focussize="0,0"/>
            <v:stroke on="f" joinstyle="miter"/>
            <v:imagedata r:id="rId109" o:title=""/>
            <o:lock v:ext="edit" aspectratio="t"/>
            <w10:wrap type="none"/>
            <w10:anchorlock/>
          </v:shape>
          <o:OLEObject Type="Embed" ProgID="Equation.DSMT4" ShapeID="_x0000_i1043" DrawAspect="Content" ObjectID="_1468075743" r:id="rId108">
            <o:LockedField>false</o:LockedField>
          </o:OLEObject>
        </w:object>
      </w:r>
      <w:r>
        <w:t>比一般为0.06。</w:t>
      </w:r>
    </w:p>
    <w:p>
      <w:pPr>
        <w:pStyle w:val="112"/>
        <w:ind w:firstLine="480"/>
        <w:rPr>
          <w:rFonts w:cs="宋体"/>
        </w:rPr>
      </w:pPr>
      <w:r>
        <w:rPr>
          <w:rFonts w:hint="eastAsia"/>
        </w:rPr>
        <w:t>井场区所在场地的水文地质参数取值表6</w:t>
      </w:r>
      <w:r>
        <w:t>.2-</w:t>
      </w:r>
      <w:r>
        <w:rPr>
          <w:rFonts w:hint="eastAsia"/>
        </w:rPr>
        <w:t>9</w:t>
      </w:r>
      <w:r>
        <w:rPr>
          <w:rFonts w:hint="eastAsia" w:cs="宋体"/>
        </w:rPr>
        <w:t>。</w:t>
      </w:r>
    </w:p>
    <w:p>
      <w:pPr>
        <w:pStyle w:val="37"/>
      </w:pPr>
      <w:r>
        <w:rPr>
          <w:rFonts w:hint="eastAsia"/>
        </w:rPr>
        <w:t>表</w:t>
      </w:r>
      <w:r>
        <w:rPr>
          <w:rFonts w:cs="Times New Roman"/>
          <w:bCs/>
        </w:rPr>
        <w:t>6.2</w:t>
      </w:r>
      <w:r>
        <w:rPr>
          <w:rFonts w:hint="eastAsia" w:cs="Times New Roman"/>
          <w:bCs/>
        </w:rPr>
        <w:t>-9</w:t>
      </w:r>
      <w:r>
        <w:rPr>
          <w:rFonts w:cs="Times New Roman"/>
          <w:bCs/>
        </w:rPr>
        <w:t xml:space="preserve">  </w:t>
      </w:r>
      <w:r>
        <w:rPr>
          <w:rFonts w:hint="eastAsia"/>
        </w:rPr>
        <w:t>本项目所在地水文地质参数</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49"/>
        <w:gridCol w:w="896"/>
        <w:gridCol w:w="866"/>
        <w:gridCol w:w="903"/>
        <w:gridCol w:w="1182"/>
        <w:gridCol w:w="1316"/>
        <w:gridCol w:w="1446"/>
        <w:gridCol w:w="86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15" w:type="dxa"/>
            <w:vAlign w:val="center"/>
          </w:tcPr>
          <w:p>
            <w:pPr>
              <w:topLinePunct w:val="0"/>
              <w:snapToGrid w:val="0"/>
              <w:spacing w:line="240" w:lineRule="auto"/>
              <w:ind w:firstLine="0" w:firstLineChars="0"/>
              <w:jc w:val="center"/>
              <w:textAlignment w:val="center"/>
              <w:rPr>
                <w:rFonts w:ascii="Times New Roman" w:eastAsia="Times New Roman" w:cs="Times New Roman"/>
                <w:kern w:val="2"/>
                <w:sz w:val="21"/>
                <w:szCs w:val="21"/>
              </w:rPr>
            </w:pPr>
            <w:r>
              <w:rPr>
                <w:rFonts w:hint="eastAsia" w:hAnsi="宋体"/>
                <w:kern w:val="2"/>
                <w:sz w:val="21"/>
                <w:szCs w:val="21"/>
              </w:rPr>
              <w:t>泄漏事故</w:t>
            </w:r>
          </w:p>
        </w:tc>
        <w:tc>
          <w:tcPr>
            <w:tcW w:w="1866" w:type="dxa"/>
            <w:gridSpan w:val="2"/>
            <w:vAlign w:val="center"/>
          </w:tcPr>
          <w:p>
            <w:pPr>
              <w:topLinePunct w:val="0"/>
              <w:snapToGrid w:val="0"/>
              <w:spacing w:line="240" w:lineRule="auto"/>
              <w:ind w:firstLine="0" w:firstLineChars="0"/>
              <w:jc w:val="center"/>
              <w:textAlignment w:val="center"/>
              <w:rPr>
                <w:rFonts w:ascii="Times New Roman" w:eastAsia="Times New Roman" w:cs="Times New Roman"/>
                <w:kern w:val="2"/>
                <w:sz w:val="21"/>
                <w:szCs w:val="21"/>
              </w:rPr>
            </w:pPr>
            <w:r>
              <w:rPr>
                <w:rFonts w:hint="eastAsia" w:hAnsi="宋体"/>
                <w:kern w:val="2"/>
                <w:sz w:val="21"/>
                <w:szCs w:val="21"/>
              </w:rPr>
              <w:t>外泄污染物质量（</w:t>
            </w:r>
            <w:r>
              <w:rPr>
                <w:rFonts w:ascii="Times New Roman" w:eastAsia="Times New Roman" w:cs="Times New Roman"/>
                <w:kern w:val="2"/>
                <w:sz w:val="21"/>
                <w:szCs w:val="21"/>
              </w:rPr>
              <w:t>kg</w:t>
            </w:r>
            <w:r>
              <w:rPr>
                <w:rFonts w:hint="eastAsia" w:hAnsi="宋体"/>
                <w:kern w:val="2"/>
                <w:sz w:val="21"/>
                <w:szCs w:val="21"/>
              </w:rPr>
              <w:t>）</w:t>
            </w:r>
          </w:p>
        </w:tc>
        <w:tc>
          <w:tcPr>
            <w:tcW w:w="957" w:type="dxa"/>
            <w:vAlign w:val="center"/>
          </w:tcPr>
          <w:p>
            <w:pPr>
              <w:topLinePunct w:val="0"/>
              <w:snapToGrid w:val="0"/>
              <w:spacing w:line="240" w:lineRule="auto"/>
              <w:ind w:firstLine="0" w:firstLineChars="0"/>
              <w:jc w:val="center"/>
              <w:textAlignment w:val="center"/>
              <w:rPr>
                <w:rFonts w:ascii="Times New Roman" w:eastAsia="Times New Roman" w:cs="Times New Roman"/>
                <w:kern w:val="2"/>
                <w:sz w:val="21"/>
                <w:szCs w:val="21"/>
              </w:rPr>
            </w:pPr>
            <w:r>
              <w:rPr>
                <w:rFonts w:hint="eastAsia" w:hAnsi="宋体"/>
                <w:kern w:val="2"/>
                <w:sz w:val="21"/>
                <w:szCs w:val="21"/>
              </w:rPr>
              <w:t>含水层厚度</w:t>
            </w:r>
            <w:r>
              <w:rPr>
                <w:rFonts w:ascii="Times New Roman" w:eastAsia="Times New Roman" w:cs="Times New Roman"/>
                <w:kern w:val="2"/>
                <w:sz w:val="21"/>
                <w:szCs w:val="21"/>
              </w:rPr>
              <w:t>M</w:t>
            </w:r>
            <w:r>
              <w:rPr>
                <w:rFonts w:hint="eastAsia" w:hAnsi="宋体"/>
                <w:kern w:val="2"/>
                <w:sz w:val="21"/>
                <w:szCs w:val="21"/>
              </w:rPr>
              <w:t>（</w:t>
            </w:r>
            <w:r>
              <w:rPr>
                <w:rFonts w:ascii="Times New Roman" w:eastAsia="Times New Roman" w:cs="Times New Roman"/>
                <w:kern w:val="2"/>
                <w:sz w:val="21"/>
                <w:szCs w:val="21"/>
              </w:rPr>
              <w:t>m</w:t>
            </w:r>
            <w:r>
              <w:rPr>
                <w:rFonts w:hint="eastAsia" w:hAnsi="宋体"/>
                <w:kern w:val="2"/>
                <w:sz w:val="21"/>
                <w:szCs w:val="21"/>
              </w:rPr>
              <w:t>）</w:t>
            </w:r>
          </w:p>
        </w:tc>
        <w:tc>
          <w:tcPr>
            <w:tcW w:w="1259" w:type="dxa"/>
            <w:vAlign w:val="center"/>
          </w:tcPr>
          <w:p>
            <w:pPr>
              <w:topLinePunct w:val="0"/>
              <w:snapToGrid w:val="0"/>
              <w:spacing w:line="240" w:lineRule="auto"/>
              <w:ind w:firstLine="0" w:firstLineChars="0"/>
              <w:jc w:val="center"/>
              <w:textAlignment w:val="center"/>
              <w:rPr>
                <w:rFonts w:ascii="Times New Roman" w:eastAsia="Times New Roman" w:cs="Times New Roman"/>
                <w:kern w:val="2"/>
                <w:sz w:val="21"/>
                <w:szCs w:val="21"/>
              </w:rPr>
            </w:pPr>
            <w:r>
              <w:rPr>
                <w:rFonts w:hint="eastAsia" w:hAnsi="宋体"/>
                <w:kern w:val="2"/>
                <w:sz w:val="21"/>
                <w:szCs w:val="21"/>
              </w:rPr>
              <w:t>地下水流速</w:t>
            </w:r>
            <w:r>
              <w:rPr>
                <w:rFonts w:ascii="Times New Roman" w:eastAsia="Times New Roman" w:cs="Times New Roman"/>
                <w:kern w:val="2"/>
                <w:sz w:val="21"/>
                <w:szCs w:val="21"/>
              </w:rPr>
              <w:t>u</w:t>
            </w:r>
            <w:r>
              <w:rPr>
                <w:rFonts w:hint="eastAsia" w:hAnsi="宋体"/>
                <w:kern w:val="2"/>
                <w:sz w:val="21"/>
                <w:szCs w:val="21"/>
              </w:rPr>
              <w:t>（</w:t>
            </w:r>
            <w:r>
              <w:rPr>
                <w:rFonts w:ascii="Times New Roman" w:eastAsia="Times New Roman" w:cs="Times New Roman"/>
                <w:kern w:val="2"/>
                <w:sz w:val="21"/>
                <w:szCs w:val="21"/>
              </w:rPr>
              <w:t>m/d</w:t>
            </w:r>
            <w:r>
              <w:rPr>
                <w:rFonts w:hint="eastAsia" w:hAnsi="宋体"/>
                <w:kern w:val="2"/>
                <w:sz w:val="21"/>
                <w:szCs w:val="21"/>
              </w:rPr>
              <w:t>）</w:t>
            </w:r>
          </w:p>
        </w:tc>
        <w:tc>
          <w:tcPr>
            <w:tcW w:w="1404" w:type="dxa"/>
            <w:vAlign w:val="center"/>
          </w:tcPr>
          <w:p>
            <w:pPr>
              <w:topLinePunct w:val="0"/>
              <w:snapToGrid w:val="0"/>
              <w:spacing w:line="240" w:lineRule="auto"/>
              <w:ind w:firstLine="0" w:firstLineChars="0"/>
              <w:jc w:val="center"/>
              <w:textAlignment w:val="center"/>
              <w:rPr>
                <w:rFonts w:ascii="Times New Roman" w:eastAsia="Times New Roman" w:cs="Times New Roman"/>
                <w:kern w:val="2"/>
                <w:sz w:val="21"/>
                <w:szCs w:val="21"/>
              </w:rPr>
            </w:pPr>
            <w:r>
              <w:rPr>
                <w:rFonts w:hint="eastAsia" w:hAnsi="宋体"/>
                <w:kern w:val="2"/>
                <w:sz w:val="21"/>
                <w:szCs w:val="21"/>
              </w:rPr>
              <w:t>纵向弥散系数</w:t>
            </w:r>
            <w:r>
              <w:rPr>
                <w:rFonts w:ascii="Times New Roman" w:eastAsia="Times New Roman" w:cs="Times New Roman"/>
                <w:kern w:val="2"/>
                <w:sz w:val="21"/>
                <w:szCs w:val="21"/>
              </w:rPr>
              <w:t>DL</w:t>
            </w:r>
            <w:r>
              <w:rPr>
                <w:rFonts w:hint="eastAsia" w:hAnsi="宋体"/>
                <w:kern w:val="2"/>
                <w:sz w:val="21"/>
                <w:szCs w:val="21"/>
              </w:rPr>
              <w:t>（</w:t>
            </w:r>
            <w:r>
              <w:rPr>
                <w:rFonts w:ascii="Times New Roman" w:eastAsia="Times New Roman" w:cs="Times New Roman"/>
                <w:kern w:val="2"/>
                <w:sz w:val="21"/>
                <w:szCs w:val="21"/>
              </w:rPr>
              <w:t>m</w:t>
            </w:r>
            <w:r>
              <w:rPr>
                <w:rFonts w:ascii="Times New Roman" w:eastAsia="Times New Roman" w:cs="Times New Roman"/>
                <w:kern w:val="2"/>
                <w:sz w:val="21"/>
                <w:szCs w:val="21"/>
                <w:vertAlign w:val="superscript"/>
              </w:rPr>
              <w:t>2</w:t>
            </w:r>
            <w:r>
              <w:rPr>
                <w:rFonts w:ascii="Times New Roman" w:eastAsia="Times New Roman" w:cs="Times New Roman"/>
                <w:kern w:val="2"/>
                <w:sz w:val="21"/>
                <w:szCs w:val="21"/>
              </w:rPr>
              <w:t>/d</w:t>
            </w:r>
            <w:r>
              <w:rPr>
                <w:rFonts w:hint="eastAsia" w:hAnsi="宋体"/>
                <w:kern w:val="2"/>
                <w:sz w:val="21"/>
                <w:szCs w:val="21"/>
              </w:rPr>
              <w:t>）</w:t>
            </w:r>
          </w:p>
        </w:tc>
        <w:tc>
          <w:tcPr>
            <w:tcW w:w="1544" w:type="dxa"/>
            <w:vAlign w:val="center"/>
          </w:tcPr>
          <w:p>
            <w:pPr>
              <w:topLinePunct w:val="0"/>
              <w:snapToGrid w:val="0"/>
              <w:spacing w:line="240" w:lineRule="auto"/>
              <w:ind w:firstLine="0" w:firstLineChars="0"/>
              <w:jc w:val="center"/>
              <w:textAlignment w:val="center"/>
              <w:rPr>
                <w:rFonts w:ascii="Times New Roman" w:eastAsia="Times New Roman" w:cs="Times New Roman"/>
                <w:kern w:val="2"/>
                <w:sz w:val="21"/>
                <w:szCs w:val="21"/>
              </w:rPr>
            </w:pPr>
            <w:r>
              <w:rPr>
                <w:rFonts w:hint="eastAsia" w:hAnsi="宋体"/>
                <w:kern w:val="2"/>
                <w:sz w:val="21"/>
                <w:szCs w:val="21"/>
              </w:rPr>
              <w:t>横向弥散系数</w:t>
            </w:r>
            <w:r>
              <w:rPr>
                <w:rFonts w:ascii="Times New Roman" w:eastAsia="Times New Roman" w:cs="Times New Roman"/>
                <w:kern w:val="2"/>
                <w:sz w:val="21"/>
                <w:szCs w:val="21"/>
              </w:rPr>
              <w:t>DT</w:t>
            </w:r>
            <w:r>
              <w:rPr>
                <w:rFonts w:hint="eastAsia" w:hAnsi="宋体"/>
                <w:kern w:val="2"/>
                <w:sz w:val="21"/>
                <w:szCs w:val="21"/>
              </w:rPr>
              <w:t>（</w:t>
            </w:r>
            <w:r>
              <w:rPr>
                <w:rFonts w:ascii="Times New Roman" w:eastAsia="Times New Roman" w:cs="Times New Roman"/>
                <w:kern w:val="2"/>
                <w:sz w:val="21"/>
                <w:szCs w:val="21"/>
              </w:rPr>
              <w:t>m</w:t>
            </w:r>
            <w:r>
              <w:rPr>
                <w:rFonts w:ascii="Times New Roman" w:eastAsia="Times New Roman" w:cs="Times New Roman"/>
                <w:kern w:val="2"/>
                <w:sz w:val="21"/>
                <w:szCs w:val="21"/>
                <w:vertAlign w:val="superscript"/>
              </w:rPr>
              <w:t>2</w:t>
            </w:r>
            <w:r>
              <w:rPr>
                <w:rFonts w:ascii="Times New Roman" w:eastAsia="Times New Roman" w:cs="Times New Roman"/>
                <w:kern w:val="2"/>
                <w:sz w:val="21"/>
                <w:szCs w:val="21"/>
              </w:rPr>
              <w:t>/d</w:t>
            </w:r>
            <w:r>
              <w:rPr>
                <w:rFonts w:hint="eastAsia" w:hAnsi="宋体"/>
                <w:kern w:val="2"/>
                <w:sz w:val="21"/>
                <w:szCs w:val="21"/>
              </w:rPr>
              <w:t>）</w:t>
            </w:r>
          </w:p>
        </w:tc>
        <w:tc>
          <w:tcPr>
            <w:tcW w:w="915" w:type="dxa"/>
            <w:vAlign w:val="center"/>
          </w:tcPr>
          <w:p>
            <w:pPr>
              <w:topLinePunct w:val="0"/>
              <w:snapToGrid w:val="0"/>
              <w:spacing w:line="240" w:lineRule="auto"/>
              <w:ind w:firstLine="0" w:firstLineChars="0"/>
              <w:jc w:val="center"/>
              <w:textAlignment w:val="center"/>
              <w:rPr>
                <w:rFonts w:ascii="Times New Roman" w:eastAsia="Times New Roman" w:cs="Times New Roman"/>
                <w:kern w:val="2"/>
                <w:sz w:val="21"/>
                <w:szCs w:val="21"/>
              </w:rPr>
            </w:pPr>
            <w:r>
              <w:rPr>
                <w:rFonts w:hint="eastAsia" w:hAnsi="宋体"/>
                <w:kern w:val="2"/>
                <w:sz w:val="21"/>
                <w:szCs w:val="21"/>
              </w:rPr>
              <w:t>有效孔隙度</w:t>
            </w:r>
            <w:r>
              <w:rPr>
                <w:rFonts w:ascii="Times New Roman" w:eastAsia="Times New Roman" w:cs="Times New Roman"/>
                <w:kern w:val="2"/>
                <w:sz w:val="21"/>
                <w:szCs w:val="21"/>
              </w:rPr>
              <w:t>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5" w:type="dxa"/>
            <w:vAlign w:val="center"/>
          </w:tcPr>
          <w:p>
            <w:pPr>
              <w:topLinePunct w:val="0"/>
              <w:snapToGrid w:val="0"/>
              <w:spacing w:line="240" w:lineRule="auto"/>
              <w:ind w:firstLine="0" w:firstLineChars="0"/>
              <w:jc w:val="center"/>
              <w:textAlignment w:val="center"/>
              <w:rPr>
                <w:rFonts w:ascii="Times New Roman" w:eastAsia="Times New Roman" w:cs="Times New Roman"/>
                <w:kern w:val="2"/>
                <w:sz w:val="21"/>
                <w:szCs w:val="21"/>
              </w:rPr>
            </w:pPr>
            <w:r>
              <w:rPr>
                <w:rFonts w:hint="eastAsia" w:hAnsi="宋体"/>
                <w:kern w:val="2"/>
                <w:sz w:val="21"/>
                <w:szCs w:val="21"/>
              </w:rPr>
              <w:t>污水泄漏</w:t>
            </w:r>
          </w:p>
        </w:tc>
        <w:tc>
          <w:tcPr>
            <w:tcW w:w="949" w:type="dxa"/>
            <w:vAlign w:val="center"/>
          </w:tcPr>
          <w:p>
            <w:pPr>
              <w:topLinePunct w:val="0"/>
              <w:snapToGrid w:val="0"/>
              <w:spacing w:line="240" w:lineRule="auto"/>
              <w:ind w:firstLine="0" w:firstLineChars="0"/>
              <w:jc w:val="center"/>
              <w:textAlignment w:val="center"/>
              <w:rPr>
                <w:rFonts w:ascii="Times New Roman" w:eastAsia="Times New Roman" w:cs="Times New Roman"/>
                <w:kern w:val="2"/>
                <w:sz w:val="21"/>
                <w:szCs w:val="21"/>
              </w:rPr>
            </w:pPr>
            <w:r>
              <w:rPr>
                <w:rFonts w:hint="eastAsia" w:hAnsi="宋体"/>
                <w:kern w:val="2"/>
                <w:sz w:val="21"/>
                <w:szCs w:val="21"/>
              </w:rPr>
              <w:t>石油类</w:t>
            </w:r>
          </w:p>
        </w:tc>
        <w:tc>
          <w:tcPr>
            <w:tcW w:w="917"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hint="eastAsia" w:ascii="Times New Roman" w:cs="Times New Roman"/>
                <w:kern w:val="2"/>
                <w:sz w:val="21"/>
                <w:szCs w:val="21"/>
              </w:rPr>
              <w:t>10</w:t>
            </w:r>
          </w:p>
        </w:tc>
        <w:tc>
          <w:tcPr>
            <w:tcW w:w="957" w:type="dxa"/>
            <w:vAlign w:val="center"/>
          </w:tcPr>
          <w:p>
            <w:pPr>
              <w:topLinePunct w:val="0"/>
              <w:snapToGrid w:val="0"/>
              <w:spacing w:line="240" w:lineRule="auto"/>
              <w:ind w:firstLine="0" w:firstLineChars="0"/>
              <w:jc w:val="center"/>
              <w:textAlignment w:val="center"/>
              <w:rPr>
                <w:rFonts w:ascii="Times New Roman" w:cs="Times New Roman"/>
                <w:kern w:val="2"/>
                <w:sz w:val="21"/>
                <w:szCs w:val="21"/>
              </w:rPr>
            </w:pPr>
            <w:r>
              <w:rPr>
                <w:rFonts w:hint="eastAsia" w:ascii="Times New Roman" w:cs="Times New Roman"/>
                <w:kern w:val="2"/>
                <w:sz w:val="21"/>
                <w:szCs w:val="21"/>
              </w:rPr>
              <w:t>4</w:t>
            </w:r>
          </w:p>
        </w:tc>
        <w:tc>
          <w:tcPr>
            <w:tcW w:w="1259" w:type="dxa"/>
            <w:vAlign w:val="center"/>
          </w:tcPr>
          <w:p>
            <w:pPr>
              <w:topLinePunct w:val="0"/>
              <w:snapToGrid w:val="0"/>
              <w:spacing w:line="240" w:lineRule="auto"/>
              <w:ind w:firstLine="0" w:firstLineChars="0"/>
              <w:jc w:val="center"/>
              <w:textAlignment w:val="center"/>
              <w:rPr>
                <w:rFonts w:ascii="Times New Roman" w:eastAsia="Times New Roman" w:cs="Times New Roman"/>
                <w:kern w:val="2"/>
                <w:sz w:val="21"/>
                <w:szCs w:val="21"/>
              </w:rPr>
            </w:pPr>
            <w:r>
              <w:rPr>
                <w:rFonts w:ascii="Times New Roman" w:eastAsia="Times New Roman" w:cs="Times New Roman"/>
                <w:kern w:val="2"/>
                <w:sz w:val="21"/>
                <w:szCs w:val="21"/>
              </w:rPr>
              <w:t>0.02</w:t>
            </w:r>
          </w:p>
        </w:tc>
        <w:tc>
          <w:tcPr>
            <w:tcW w:w="1404" w:type="dxa"/>
            <w:vAlign w:val="center"/>
          </w:tcPr>
          <w:p>
            <w:pPr>
              <w:topLinePunct w:val="0"/>
              <w:snapToGrid w:val="0"/>
              <w:spacing w:line="240" w:lineRule="auto"/>
              <w:ind w:firstLine="0" w:firstLineChars="0"/>
              <w:jc w:val="center"/>
              <w:textAlignment w:val="center"/>
              <w:rPr>
                <w:rFonts w:ascii="Times New Roman" w:eastAsia="Times New Roman" w:cs="Times New Roman"/>
                <w:kern w:val="2"/>
                <w:sz w:val="21"/>
                <w:szCs w:val="21"/>
              </w:rPr>
            </w:pPr>
            <w:r>
              <w:rPr>
                <w:rFonts w:ascii="Times New Roman" w:eastAsia="Times New Roman" w:cs="Times New Roman"/>
                <w:kern w:val="2"/>
                <w:sz w:val="21"/>
                <w:szCs w:val="21"/>
              </w:rPr>
              <w:t>0.38</w:t>
            </w:r>
          </w:p>
        </w:tc>
        <w:tc>
          <w:tcPr>
            <w:tcW w:w="1544" w:type="dxa"/>
            <w:vAlign w:val="center"/>
          </w:tcPr>
          <w:p>
            <w:pPr>
              <w:topLinePunct w:val="0"/>
              <w:snapToGrid w:val="0"/>
              <w:spacing w:line="240" w:lineRule="auto"/>
              <w:ind w:firstLine="0" w:firstLineChars="0"/>
              <w:jc w:val="center"/>
              <w:textAlignment w:val="center"/>
              <w:rPr>
                <w:rFonts w:ascii="Times New Roman" w:eastAsia="Times New Roman" w:cs="Times New Roman"/>
                <w:kern w:val="2"/>
                <w:sz w:val="21"/>
                <w:szCs w:val="21"/>
              </w:rPr>
            </w:pPr>
            <w:r>
              <w:rPr>
                <w:rFonts w:ascii="Times New Roman" w:eastAsia="Times New Roman" w:cs="Times New Roman"/>
                <w:kern w:val="2"/>
                <w:sz w:val="21"/>
                <w:szCs w:val="21"/>
              </w:rPr>
              <w:t>0.022</w:t>
            </w:r>
          </w:p>
        </w:tc>
        <w:tc>
          <w:tcPr>
            <w:tcW w:w="915" w:type="dxa"/>
            <w:vAlign w:val="center"/>
          </w:tcPr>
          <w:p>
            <w:pPr>
              <w:topLinePunct w:val="0"/>
              <w:snapToGrid w:val="0"/>
              <w:spacing w:line="240" w:lineRule="auto"/>
              <w:ind w:firstLine="0" w:firstLineChars="0"/>
              <w:jc w:val="center"/>
              <w:textAlignment w:val="center"/>
              <w:rPr>
                <w:rFonts w:ascii="Times New Roman" w:eastAsia="Times New Roman" w:cs="Times New Roman"/>
                <w:kern w:val="2"/>
                <w:sz w:val="21"/>
                <w:szCs w:val="21"/>
              </w:rPr>
            </w:pPr>
            <w:r>
              <w:rPr>
                <w:rFonts w:ascii="Times New Roman" w:eastAsia="Times New Roman" w:cs="Times New Roman"/>
                <w:kern w:val="2"/>
                <w:sz w:val="21"/>
                <w:szCs w:val="21"/>
              </w:rPr>
              <w:t>0.042</w:t>
            </w:r>
          </w:p>
        </w:tc>
      </w:tr>
    </w:tbl>
    <w:p>
      <w:pPr>
        <w:pStyle w:val="112"/>
        <w:ind w:firstLine="482"/>
        <w:rPr>
          <w:b/>
          <w:bCs/>
        </w:rPr>
      </w:pPr>
      <w:r>
        <w:rPr>
          <w:rFonts w:hint="eastAsia"/>
          <w:b/>
          <w:bCs/>
        </w:rPr>
        <w:t>（</w:t>
      </w:r>
      <w:r>
        <w:rPr>
          <w:b/>
          <w:bCs/>
        </w:rPr>
        <w:t>6</w:t>
      </w:r>
      <w:r>
        <w:rPr>
          <w:rFonts w:hint="eastAsia"/>
          <w:b/>
          <w:bCs/>
        </w:rPr>
        <w:t>）预测结果</w:t>
      </w:r>
    </w:p>
    <w:p>
      <w:pPr>
        <w:pStyle w:val="112"/>
        <w:ind w:firstLine="480"/>
      </w:pPr>
      <w:r>
        <w:rPr>
          <w:rFonts w:hint="eastAsia"/>
        </w:rPr>
        <w:t>根据前文分析，将水文地质参数及污染源的源强，代入相应公式进行模型计算，对污染物石油类在地下水环境中的分布、程度进行分析，从而对污染事故对地下水的影响进行定量的评估，给出石油类的影响范围和程度。将石油类带入公式进行计算，得出预测结果，本次模型计算分别对</w:t>
      </w:r>
      <w:r>
        <w:t>100d</w:t>
      </w:r>
      <w:r>
        <w:rPr>
          <w:rFonts w:hint="eastAsia"/>
        </w:rPr>
        <w:t>、365</w:t>
      </w:r>
      <w:r>
        <w:t>d</w:t>
      </w:r>
      <w:r>
        <w:rPr>
          <w:rFonts w:hint="eastAsia"/>
        </w:rPr>
        <w:t>进行计算，主要成果见表6</w:t>
      </w:r>
      <w:r>
        <w:t>.2-1</w:t>
      </w:r>
      <w:r>
        <w:rPr>
          <w:rFonts w:hint="eastAsia"/>
        </w:rPr>
        <w:t>0。</w:t>
      </w:r>
    </w:p>
    <w:p>
      <w:pPr>
        <w:pStyle w:val="37"/>
        <w:ind w:firstLine="480"/>
      </w:pPr>
      <w:r>
        <w:rPr>
          <w:rFonts w:hint="eastAsia"/>
        </w:rPr>
        <w:t>表</w:t>
      </w:r>
      <w:r>
        <w:rPr>
          <w:rFonts w:cs="Times New Roman"/>
          <w:bCs/>
        </w:rPr>
        <w:t>6.2</w:t>
      </w:r>
      <w:r>
        <w:rPr>
          <w:rFonts w:hint="eastAsia" w:cs="Times New Roman"/>
          <w:bCs/>
        </w:rPr>
        <w:t>-</w:t>
      </w:r>
      <w:r>
        <w:rPr>
          <w:rFonts w:cs="Times New Roman"/>
          <w:bCs/>
        </w:rPr>
        <w:t>1</w:t>
      </w:r>
      <w:r>
        <w:rPr>
          <w:rFonts w:hint="eastAsia" w:cs="Times New Roman"/>
          <w:bCs/>
        </w:rPr>
        <w:t>0</w:t>
      </w:r>
      <w:r>
        <w:rPr>
          <w:rFonts w:cs="Times New Roman"/>
          <w:bCs/>
        </w:rPr>
        <w:t xml:space="preserve">  </w:t>
      </w:r>
      <w:r>
        <w:rPr>
          <w:rFonts w:hint="eastAsia"/>
        </w:rPr>
        <w:t>石油类非正常状况下含水层中运移情况结果汇总表</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093"/>
        <w:gridCol w:w="961"/>
        <w:gridCol w:w="1613"/>
        <w:gridCol w:w="1174"/>
        <w:gridCol w:w="1227"/>
        <w:gridCol w:w="1094"/>
        <w:gridCol w:w="11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1194" w:type="dxa"/>
            <w:vAlign w:val="center"/>
          </w:tcPr>
          <w:p>
            <w:pPr>
              <w:pStyle w:val="555"/>
              <w:jc w:val="both"/>
              <w:rPr>
                <w:rFonts w:ascii="Times New Roman" w:hAnsi="Times New Roman"/>
                <w:b/>
              </w:rPr>
            </w:pPr>
            <w:r>
              <w:rPr>
                <w:rFonts w:hint="eastAsia" w:cs="宋体"/>
                <w:b/>
              </w:rPr>
              <w:t>污染物种类</w:t>
            </w:r>
          </w:p>
        </w:tc>
        <w:tc>
          <w:tcPr>
            <w:tcW w:w="1048" w:type="dxa"/>
            <w:vAlign w:val="center"/>
          </w:tcPr>
          <w:p>
            <w:pPr>
              <w:pStyle w:val="555"/>
              <w:rPr>
                <w:rFonts w:ascii="Times New Roman" w:hAnsi="Times New Roman"/>
                <w:b/>
              </w:rPr>
            </w:pPr>
            <w:r>
              <w:rPr>
                <w:rFonts w:hint="eastAsia" w:cs="宋体"/>
                <w:b/>
              </w:rPr>
              <w:t>时间（</w:t>
            </w:r>
            <w:r>
              <w:rPr>
                <w:rFonts w:ascii="Times New Roman" w:hAnsi="Times New Roman"/>
                <w:b/>
              </w:rPr>
              <w:t>d</w:t>
            </w:r>
            <w:r>
              <w:rPr>
                <w:rFonts w:hint="eastAsia" w:cs="宋体"/>
                <w:b/>
              </w:rPr>
              <w:t>）</w:t>
            </w:r>
          </w:p>
        </w:tc>
        <w:tc>
          <w:tcPr>
            <w:tcW w:w="1762" w:type="dxa"/>
            <w:vAlign w:val="center"/>
          </w:tcPr>
          <w:p>
            <w:pPr>
              <w:pStyle w:val="555"/>
              <w:rPr>
                <w:rFonts w:ascii="Times New Roman" w:hAnsi="Times New Roman"/>
                <w:b/>
              </w:rPr>
            </w:pPr>
            <w:r>
              <w:rPr>
                <w:rFonts w:hint="eastAsia" w:cs="宋体"/>
                <w:b/>
              </w:rPr>
              <w:t>下游最大值（</w:t>
            </w:r>
            <w:r>
              <w:rPr>
                <w:rFonts w:ascii="Times New Roman" w:hAnsi="Times New Roman"/>
                <w:b/>
              </w:rPr>
              <w:t>mg/L</w:t>
            </w:r>
            <w:r>
              <w:rPr>
                <w:rFonts w:hint="eastAsia" w:cs="宋体"/>
                <w:b/>
              </w:rPr>
              <w:t>）</w:t>
            </w:r>
          </w:p>
        </w:tc>
        <w:tc>
          <w:tcPr>
            <w:tcW w:w="1281" w:type="dxa"/>
            <w:vAlign w:val="center"/>
          </w:tcPr>
          <w:p>
            <w:pPr>
              <w:pStyle w:val="555"/>
              <w:rPr>
                <w:rFonts w:ascii="Times New Roman" w:hAnsi="Times New Roman"/>
                <w:b/>
              </w:rPr>
            </w:pPr>
            <w:r>
              <w:rPr>
                <w:rFonts w:hint="eastAsia" w:cs="宋体"/>
                <w:b/>
              </w:rPr>
              <w:t>超标距离（</w:t>
            </w:r>
            <w:r>
              <w:rPr>
                <w:rFonts w:ascii="Times New Roman" w:hAnsi="Times New Roman"/>
                <w:b/>
              </w:rPr>
              <w:t>m</w:t>
            </w:r>
            <w:r>
              <w:rPr>
                <w:rFonts w:hint="eastAsia" w:cs="宋体"/>
                <w:b/>
              </w:rPr>
              <w:t>）</w:t>
            </w:r>
          </w:p>
        </w:tc>
        <w:tc>
          <w:tcPr>
            <w:tcW w:w="1340" w:type="dxa"/>
            <w:vAlign w:val="center"/>
          </w:tcPr>
          <w:p>
            <w:pPr>
              <w:pStyle w:val="555"/>
              <w:rPr>
                <w:rFonts w:ascii="Times New Roman" w:hAnsi="Times New Roman"/>
                <w:b/>
              </w:rPr>
            </w:pPr>
            <w:r>
              <w:rPr>
                <w:rFonts w:hint="eastAsia" w:cs="宋体"/>
                <w:b/>
              </w:rPr>
              <w:t>超标面积（</w:t>
            </w:r>
            <w:r>
              <w:rPr>
                <w:rFonts w:ascii="Times New Roman" w:hAnsi="Times New Roman"/>
                <w:b/>
              </w:rPr>
              <w:t>m</w:t>
            </w:r>
            <w:r>
              <w:rPr>
                <w:rFonts w:ascii="Times New Roman" w:hAnsi="Times New Roman"/>
                <w:b/>
                <w:vertAlign w:val="superscript"/>
              </w:rPr>
              <w:t>2</w:t>
            </w:r>
            <w:r>
              <w:rPr>
                <w:rFonts w:hint="eastAsia" w:cs="宋体"/>
                <w:b/>
              </w:rPr>
              <w:t>）</w:t>
            </w:r>
          </w:p>
        </w:tc>
        <w:tc>
          <w:tcPr>
            <w:tcW w:w="1194" w:type="dxa"/>
            <w:vAlign w:val="center"/>
          </w:tcPr>
          <w:p>
            <w:pPr>
              <w:pStyle w:val="555"/>
              <w:rPr>
                <w:rFonts w:ascii="Times New Roman" w:hAnsi="Times New Roman"/>
                <w:b/>
              </w:rPr>
            </w:pPr>
            <w:r>
              <w:rPr>
                <w:rFonts w:hint="eastAsia" w:cs="宋体"/>
                <w:b/>
              </w:rPr>
              <w:t>影响距离（</w:t>
            </w:r>
            <w:r>
              <w:rPr>
                <w:rFonts w:ascii="Times New Roman" w:hAnsi="Times New Roman"/>
                <w:b/>
              </w:rPr>
              <w:t>m</w:t>
            </w:r>
            <w:r>
              <w:rPr>
                <w:rFonts w:hint="eastAsia" w:cs="宋体"/>
                <w:b/>
              </w:rPr>
              <w:t>）</w:t>
            </w:r>
          </w:p>
        </w:tc>
        <w:tc>
          <w:tcPr>
            <w:tcW w:w="1281" w:type="dxa"/>
            <w:vAlign w:val="center"/>
          </w:tcPr>
          <w:p>
            <w:pPr>
              <w:pStyle w:val="555"/>
              <w:rPr>
                <w:rFonts w:ascii="Times New Roman" w:hAnsi="Times New Roman"/>
                <w:b/>
              </w:rPr>
            </w:pPr>
            <w:r>
              <w:rPr>
                <w:rFonts w:hint="eastAsia" w:cs="宋体"/>
                <w:b/>
              </w:rPr>
              <w:t>影响面积（</w:t>
            </w:r>
            <w:r>
              <w:rPr>
                <w:rFonts w:ascii="Times New Roman" w:hAnsi="Times New Roman"/>
                <w:b/>
              </w:rPr>
              <w:t>m</w:t>
            </w:r>
            <w:r>
              <w:rPr>
                <w:rFonts w:ascii="Times New Roman" w:hAnsi="Times New Roman"/>
                <w:b/>
                <w:vertAlign w:val="superscript"/>
              </w:rPr>
              <w:t>2</w:t>
            </w:r>
            <w:r>
              <w:rPr>
                <w:rFonts w:hint="eastAsia" w:cs="宋体"/>
                <w:b/>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194" w:type="dxa"/>
            <w:vMerge w:val="restart"/>
            <w:vAlign w:val="center"/>
          </w:tcPr>
          <w:p>
            <w:pPr>
              <w:pStyle w:val="555"/>
              <w:rPr>
                <w:rFonts w:ascii="Times New Roman" w:hAnsi="Times New Roman"/>
              </w:rPr>
            </w:pPr>
            <w:r>
              <w:rPr>
                <w:rFonts w:hint="eastAsia" w:cs="宋体"/>
              </w:rPr>
              <w:t>石油类</w:t>
            </w:r>
          </w:p>
        </w:tc>
        <w:tc>
          <w:tcPr>
            <w:tcW w:w="1048" w:type="dxa"/>
            <w:vAlign w:val="center"/>
          </w:tcPr>
          <w:p>
            <w:pPr>
              <w:pStyle w:val="555"/>
              <w:rPr>
                <w:rFonts w:ascii="Times New Roman" w:hAnsi="Times New Roman"/>
              </w:rPr>
            </w:pPr>
            <w:r>
              <w:rPr>
                <w:rFonts w:ascii="Times New Roman" w:hAnsi="Times New Roman"/>
              </w:rPr>
              <w:t>100</w:t>
            </w:r>
          </w:p>
        </w:tc>
        <w:tc>
          <w:tcPr>
            <w:tcW w:w="1762" w:type="dxa"/>
            <w:vAlign w:val="center"/>
          </w:tcPr>
          <w:p>
            <w:pPr>
              <w:pStyle w:val="555"/>
              <w:rPr>
                <w:rFonts w:ascii="Times New Roman" w:hAnsi="Times New Roman"/>
              </w:rPr>
            </w:pPr>
            <w:r>
              <w:rPr>
                <w:rFonts w:hint="eastAsia" w:ascii="Times New Roman" w:hAnsi="Times New Roman"/>
              </w:rPr>
              <w:t>3.69</w:t>
            </w:r>
          </w:p>
        </w:tc>
        <w:tc>
          <w:tcPr>
            <w:tcW w:w="1281" w:type="dxa"/>
            <w:vAlign w:val="center"/>
          </w:tcPr>
          <w:p>
            <w:pPr>
              <w:pStyle w:val="555"/>
              <w:rPr>
                <w:rFonts w:ascii="Times New Roman" w:hAnsi="Times New Roman"/>
              </w:rPr>
            </w:pPr>
            <w:r>
              <w:rPr>
                <w:rFonts w:hint="eastAsia" w:ascii="Times New Roman" w:hAnsi="Times New Roman"/>
              </w:rPr>
              <w:t>4.32</w:t>
            </w:r>
          </w:p>
        </w:tc>
        <w:tc>
          <w:tcPr>
            <w:tcW w:w="1340" w:type="dxa"/>
            <w:vAlign w:val="center"/>
          </w:tcPr>
          <w:p>
            <w:pPr>
              <w:pStyle w:val="555"/>
              <w:rPr>
                <w:rFonts w:ascii="Times New Roman" w:hAnsi="Times New Roman"/>
              </w:rPr>
            </w:pPr>
            <w:r>
              <w:rPr>
                <w:rFonts w:hint="eastAsia" w:ascii="Times New Roman" w:hAnsi="Times New Roman"/>
              </w:rPr>
              <w:t>95</w:t>
            </w:r>
          </w:p>
        </w:tc>
        <w:tc>
          <w:tcPr>
            <w:tcW w:w="1194" w:type="dxa"/>
            <w:vAlign w:val="center"/>
          </w:tcPr>
          <w:p>
            <w:pPr>
              <w:pStyle w:val="555"/>
              <w:rPr>
                <w:rFonts w:ascii="Times New Roman" w:hAnsi="Times New Roman"/>
              </w:rPr>
            </w:pPr>
            <w:r>
              <w:rPr>
                <w:rFonts w:hint="eastAsia" w:ascii="Times New Roman" w:hAnsi="Times New Roman"/>
              </w:rPr>
              <w:t>15.67</w:t>
            </w:r>
          </w:p>
        </w:tc>
        <w:tc>
          <w:tcPr>
            <w:tcW w:w="1281" w:type="dxa"/>
            <w:vAlign w:val="center"/>
          </w:tcPr>
          <w:p>
            <w:pPr>
              <w:pStyle w:val="555"/>
              <w:rPr>
                <w:rFonts w:ascii="Times New Roman" w:hAnsi="Times New Roman"/>
              </w:rPr>
            </w:pPr>
            <w:r>
              <w:rPr>
                <w:rFonts w:hint="eastAsia" w:ascii="Times New Roman" w:hAnsi="Times New Roman"/>
              </w:rPr>
              <w:t>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1194" w:type="dxa"/>
            <w:vMerge w:val="continue"/>
            <w:vAlign w:val="center"/>
          </w:tcPr>
          <w:p>
            <w:pPr>
              <w:pStyle w:val="555"/>
              <w:rPr>
                <w:rFonts w:ascii="Times New Roman" w:hAnsi="Times New Roman"/>
              </w:rPr>
            </w:pPr>
          </w:p>
        </w:tc>
        <w:tc>
          <w:tcPr>
            <w:tcW w:w="1048" w:type="dxa"/>
            <w:vAlign w:val="center"/>
          </w:tcPr>
          <w:p>
            <w:pPr>
              <w:pStyle w:val="555"/>
              <w:rPr>
                <w:rFonts w:ascii="Times New Roman" w:hAnsi="Times New Roman"/>
              </w:rPr>
            </w:pPr>
            <w:r>
              <w:rPr>
                <w:rFonts w:ascii="Times New Roman" w:hAnsi="Times New Roman"/>
              </w:rPr>
              <w:t>365</w:t>
            </w:r>
          </w:p>
        </w:tc>
        <w:tc>
          <w:tcPr>
            <w:tcW w:w="1762" w:type="dxa"/>
            <w:vAlign w:val="center"/>
          </w:tcPr>
          <w:p>
            <w:pPr>
              <w:pStyle w:val="555"/>
              <w:rPr>
                <w:rFonts w:ascii="Times New Roman" w:hAnsi="Times New Roman"/>
              </w:rPr>
            </w:pPr>
            <w:r>
              <w:rPr>
                <w:rFonts w:hint="eastAsia" w:ascii="Times New Roman" w:hAnsi="Times New Roman"/>
              </w:rPr>
              <w:t>0.93</w:t>
            </w:r>
          </w:p>
        </w:tc>
        <w:tc>
          <w:tcPr>
            <w:tcW w:w="1281" w:type="dxa"/>
            <w:vAlign w:val="center"/>
          </w:tcPr>
          <w:p>
            <w:pPr>
              <w:pStyle w:val="555"/>
              <w:rPr>
                <w:rFonts w:ascii="Times New Roman" w:hAnsi="Times New Roman"/>
              </w:rPr>
            </w:pPr>
            <w:r>
              <w:rPr>
                <w:rFonts w:hint="eastAsia" w:ascii="Times New Roman" w:hAnsi="Times New Roman"/>
              </w:rPr>
              <w:t>7.64</w:t>
            </w:r>
          </w:p>
        </w:tc>
        <w:tc>
          <w:tcPr>
            <w:tcW w:w="1340" w:type="dxa"/>
            <w:vAlign w:val="center"/>
          </w:tcPr>
          <w:p>
            <w:pPr>
              <w:pStyle w:val="555"/>
              <w:rPr>
                <w:rFonts w:ascii="Times New Roman" w:hAnsi="Times New Roman"/>
              </w:rPr>
            </w:pPr>
            <w:r>
              <w:rPr>
                <w:rFonts w:hint="eastAsia" w:ascii="Times New Roman" w:hAnsi="Times New Roman"/>
              </w:rPr>
              <w:t>163</w:t>
            </w:r>
          </w:p>
        </w:tc>
        <w:tc>
          <w:tcPr>
            <w:tcW w:w="1194" w:type="dxa"/>
            <w:vAlign w:val="center"/>
          </w:tcPr>
          <w:p>
            <w:pPr>
              <w:pStyle w:val="555"/>
              <w:rPr>
                <w:rFonts w:ascii="Times New Roman" w:hAnsi="Times New Roman"/>
              </w:rPr>
            </w:pPr>
            <w:r>
              <w:rPr>
                <w:rFonts w:hint="eastAsia" w:ascii="Times New Roman" w:hAnsi="Times New Roman"/>
              </w:rPr>
              <w:t>32.15</w:t>
            </w:r>
          </w:p>
        </w:tc>
        <w:tc>
          <w:tcPr>
            <w:tcW w:w="1281" w:type="dxa"/>
            <w:vAlign w:val="center"/>
          </w:tcPr>
          <w:p>
            <w:pPr>
              <w:pStyle w:val="555"/>
              <w:rPr>
                <w:rFonts w:ascii="Times New Roman" w:hAnsi="Times New Roman"/>
              </w:rPr>
            </w:pPr>
            <w:r>
              <w:rPr>
                <w:rFonts w:hint="eastAsia" w:ascii="Times New Roman" w:hAnsi="Times New Roman"/>
              </w:rPr>
              <w:t>178</w:t>
            </w:r>
          </w:p>
        </w:tc>
      </w:tr>
    </w:tbl>
    <w:p>
      <w:pPr>
        <w:pStyle w:val="112"/>
        <w:ind w:firstLine="0" w:firstLineChars="0"/>
        <w:jc w:val="center"/>
        <w:rPr>
          <w:color w:val="FF0000"/>
        </w:rPr>
      </w:pPr>
      <w:r>
        <w:rPr>
          <w:color w:val="FF0000"/>
        </w:rPr>
        <w:drawing>
          <wp:inline distT="0" distB="0" distL="114300" distR="114300">
            <wp:extent cx="5271770" cy="2976245"/>
            <wp:effectExtent l="0" t="0" r="5080" b="14605"/>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110" cstate="print"/>
                    <a:stretch>
                      <a:fillRect/>
                    </a:stretch>
                  </pic:blipFill>
                  <pic:spPr>
                    <a:xfrm>
                      <a:off x="0" y="0"/>
                      <a:ext cx="5271770" cy="2976245"/>
                    </a:xfrm>
                    <a:prstGeom prst="rect">
                      <a:avLst/>
                    </a:prstGeom>
                    <a:noFill/>
                    <a:ln>
                      <a:noFill/>
                    </a:ln>
                  </pic:spPr>
                </pic:pic>
              </a:graphicData>
            </a:graphic>
          </wp:inline>
        </w:drawing>
      </w:r>
    </w:p>
    <w:p>
      <w:pPr>
        <w:pStyle w:val="112"/>
        <w:ind w:firstLine="0" w:firstLineChars="0"/>
        <w:jc w:val="center"/>
      </w:pPr>
      <w:r>
        <w:rPr>
          <w:rFonts w:hint="eastAsia"/>
        </w:rPr>
        <w:t>图6.2-1  污水缓冲罐泄漏100d水流下游轴向石油类浓度变化趋势图</w:t>
      </w:r>
    </w:p>
    <w:p>
      <w:pPr>
        <w:pStyle w:val="112"/>
        <w:ind w:firstLine="0" w:firstLineChars="0"/>
        <w:jc w:val="center"/>
        <w:rPr>
          <w:color w:val="FF0000"/>
        </w:rPr>
      </w:pPr>
      <w:r>
        <w:rPr>
          <w:color w:val="FF0000"/>
        </w:rPr>
        <w:drawing>
          <wp:inline distT="0" distB="0" distL="114300" distR="114300">
            <wp:extent cx="5271770" cy="3031490"/>
            <wp:effectExtent l="0" t="0" r="5080" b="16510"/>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111" cstate="print"/>
                    <a:stretch>
                      <a:fillRect/>
                    </a:stretch>
                  </pic:blipFill>
                  <pic:spPr>
                    <a:xfrm>
                      <a:off x="0" y="0"/>
                      <a:ext cx="5271770" cy="3031490"/>
                    </a:xfrm>
                    <a:prstGeom prst="rect">
                      <a:avLst/>
                    </a:prstGeom>
                    <a:noFill/>
                    <a:ln>
                      <a:noFill/>
                    </a:ln>
                  </pic:spPr>
                </pic:pic>
              </a:graphicData>
            </a:graphic>
          </wp:inline>
        </w:drawing>
      </w:r>
    </w:p>
    <w:p>
      <w:pPr>
        <w:pStyle w:val="112"/>
        <w:ind w:firstLine="0" w:firstLineChars="0"/>
        <w:jc w:val="center"/>
      </w:pPr>
      <w:r>
        <w:t>图6.</w:t>
      </w:r>
      <w:r>
        <w:rPr>
          <w:rFonts w:hint="eastAsia"/>
        </w:rPr>
        <w:t>2</w:t>
      </w:r>
      <w:r>
        <w:t>-</w:t>
      </w:r>
      <w:r>
        <w:rPr>
          <w:rFonts w:hint="eastAsia"/>
        </w:rPr>
        <w:t>2</w:t>
      </w:r>
      <w:r>
        <w:t xml:space="preserve">  </w:t>
      </w:r>
      <w:r>
        <w:rPr>
          <w:rFonts w:hint="eastAsia"/>
        </w:rPr>
        <w:t>污水缓冲罐</w:t>
      </w:r>
      <w:r>
        <w:t>泄漏100d水流下游轴向</w:t>
      </w:r>
      <w:r>
        <w:rPr>
          <w:rFonts w:hint="eastAsia"/>
        </w:rPr>
        <w:t>石油类</w:t>
      </w:r>
      <w:r>
        <w:t>浓度变化趋势图</w:t>
      </w:r>
    </w:p>
    <w:p>
      <w:pPr>
        <w:pStyle w:val="112"/>
        <w:ind w:firstLine="480"/>
      </w:pPr>
      <w:r>
        <w:rPr>
          <w:rFonts w:hint="eastAsia"/>
        </w:rPr>
        <w:t>由上述分析可知，在非正常工况下，不考虑污染物在含水层的吸附、挥发、生物化学反应等情况，气田水泄漏情况下地下水石油类预测结果：泄漏</w:t>
      </w:r>
      <w:r>
        <w:t>100</w:t>
      </w:r>
      <w:r>
        <w:rPr>
          <w:rFonts w:hint="eastAsia"/>
        </w:rPr>
        <w:t>天后，石油类在下游最大浓度为3.69</w:t>
      </w:r>
      <w:r>
        <w:t>mg/L</w:t>
      </w:r>
      <w:r>
        <w:rPr>
          <w:rFonts w:hint="eastAsia"/>
        </w:rPr>
        <w:t>，超标距离最远为4.32</w:t>
      </w:r>
      <w:r>
        <w:t>m</w:t>
      </w:r>
      <w:r>
        <w:rPr>
          <w:rFonts w:hint="eastAsia"/>
        </w:rPr>
        <w:t>，超标面积95</w:t>
      </w:r>
      <w:r>
        <w:t>m</w:t>
      </w:r>
      <w:r>
        <w:rPr>
          <w:vertAlign w:val="superscript"/>
        </w:rPr>
        <w:t>2</w:t>
      </w:r>
      <w:r>
        <w:rPr>
          <w:rFonts w:hint="eastAsia"/>
        </w:rPr>
        <w:t>，影响距离最远为下游15.67</w:t>
      </w:r>
      <w:r>
        <w:t>m</w:t>
      </w:r>
      <w:r>
        <w:rPr>
          <w:rFonts w:hint="eastAsia"/>
        </w:rPr>
        <w:t>，影响面积为92</w:t>
      </w:r>
      <w:r>
        <w:t>m</w:t>
      </w:r>
      <w:r>
        <w:rPr>
          <w:vertAlign w:val="superscript"/>
        </w:rPr>
        <w:t>2</w:t>
      </w:r>
      <w:r>
        <w:rPr>
          <w:rFonts w:hint="eastAsia"/>
        </w:rPr>
        <w:t>。泄漏</w:t>
      </w:r>
      <w:r>
        <w:t>365</w:t>
      </w:r>
      <w:r>
        <w:rPr>
          <w:rFonts w:hint="eastAsia"/>
        </w:rPr>
        <w:t>天后，下游最大浓度为0.93</w:t>
      </w:r>
      <w:r>
        <w:t>mg/L</w:t>
      </w:r>
      <w:r>
        <w:rPr>
          <w:rFonts w:hint="eastAsia"/>
        </w:rPr>
        <w:t>，超标距离最远为7.64</w:t>
      </w:r>
      <w:r>
        <w:t>m</w:t>
      </w:r>
      <w:r>
        <w:rPr>
          <w:rFonts w:hint="eastAsia"/>
        </w:rPr>
        <w:t>，超标面积163</w:t>
      </w:r>
      <w:r>
        <w:t>m</w:t>
      </w:r>
      <w:r>
        <w:rPr>
          <w:vertAlign w:val="superscript"/>
        </w:rPr>
        <w:t>2</w:t>
      </w:r>
      <w:r>
        <w:rPr>
          <w:rFonts w:hint="eastAsia"/>
        </w:rPr>
        <w:t>，影响距离最远为下游32.15</w:t>
      </w:r>
      <w:r>
        <w:t>m</w:t>
      </w:r>
      <w:r>
        <w:rPr>
          <w:rFonts w:hint="eastAsia"/>
        </w:rPr>
        <w:t>，影响面积为178</w:t>
      </w:r>
      <w:r>
        <w:t>m</w:t>
      </w:r>
      <w:r>
        <w:rPr>
          <w:vertAlign w:val="superscript"/>
        </w:rPr>
        <w:t>2</w:t>
      </w:r>
      <w:r>
        <w:rPr>
          <w:rFonts w:hint="eastAsia"/>
        </w:rPr>
        <w:t>。普陆4集气平台周边最近地下水敏感点为西南侧900m，因此污染物扩散影响范围内不涉及地下水环境敏感点。</w:t>
      </w:r>
    </w:p>
    <w:p>
      <w:pPr>
        <w:pStyle w:val="112"/>
        <w:ind w:firstLine="482"/>
        <w:rPr>
          <w:b/>
          <w:bCs/>
        </w:rPr>
      </w:pPr>
      <w:r>
        <w:rPr>
          <w:b/>
          <w:bCs/>
        </w:rPr>
        <w:t>5、</w:t>
      </w:r>
      <w:r>
        <w:rPr>
          <w:rFonts w:hint="eastAsia"/>
          <w:b/>
          <w:bCs/>
        </w:rPr>
        <w:t>地下水环境保护措施与对策</w:t>
      </w:r>
    </w:p>
    <w:p>
      <w:pPr>
        <w:pStyle w:val="112"/>
        <w:ind w:firstLine="480"/>
      </w:pPr>
      <w:r>
        <w:rPr>
          <w:rFonts w:hint="eastAsia"/>
        </w:rPr>
        <w:t>根据本工程建设对地下水环境影响的特点，建议本项目地下水环境保护措施按照</w:t>
      </w:r>
      <w:r>
        <w:t>“</w:t>
      </w:r>
      <w:r>
        <w:rPr>
          <w:rFonts w:hint="eastAsia"/>
        </w:rPr>
        <w:t>源头控制、分区防控、污染监控、应急响应</w:t>
      </w:r>
      <w:r>
        <w:t>”</w:t>
      </w:r>
      <w:r>
        <w:rPr>
          <w:rFonts w:hint="eastAsia"/>
        </w:rPr>
        <w:t>相结合的原则，从污染物的产生、入渗、扩散、应急响应等方面进行控制。</w:t>
      </w:r>
    </w:p>
    <w:p>
      <w:pPr>
        <w:pStyle w:val="112"/>
        <w:ind w:firstLine="480"/>
      </w:pPr>
      <w:r>
        <w:t>（</w:t>
      </w:r>
      <w:r>
        <w:rPr>
          <w:rFonts w:hint="eastAsia"/>
        </w:rPr>
        <w:t>1</w:t>
      </w:r>
      <w:r>
        <w:t>）</w:t>
      </w:r>
      <w:r>
        <w:rPr>
          <w:rFonts w:hint="eastAsia"/>
        </w:rPr>
        <w:t>源头控制措施</w:t>
      </w:r>
    </w:p>
    <w:p>
      <w:pPr>
        <w:pStyle w:val="112"/>
        <w:ind w:firstLine="480"/>
      </w:pPr>
      <w:r>
        <w:rPr>
          <w:rFonts w:hint="eastAsia"/>
        </w:rPr>
        <w:t>源头控制主要包括实施清洁生产及各类废物循环利用，减少污染物的排放量；在工艺、管道、设备、污水储存及处理构筑物采取相应措施，防止和降低污染物跑、冒、滴、漏，将污染物泄漏的环境风险事故降到最低限度。项目采用质量合格的</w:t>
      </w:r>
      <w:r>
        <w:rPr>
          <w:rFonts w:hint="eastAsia" w:ascii="宋体" w:cs="宋体"/>
        </w:rPr>
        <w:t>污水缓冲罐</w:t>
      </w:r>
      <w:r>
        <w:rPr>
          <w:rFonts w:hint="eastAsia"/>
        </w:rPr>
        <w:t>，加强对储罐的检修维护，防止和降低气田水的跑、冒、滴、漏。</w:t>
      </w:r>
    </w:p>
    <w:p>
      <w:pPr>
        <w:pStyle w:val="112"/>
        <w:ind w:firstLine="480"/>
      </w:pPr>
      <w:r>
        <w:rPr>
          <w:rFonts w:hint="eastAsia"/>
        </w:rPr>
        <w:t>（2）分区防渗措施</w:t>
      </w:r>
    </w:p>
    <w:p>
      <w:pPr>
        <w:pStyle w:val="112"/>
        <w:ind w:firstLine="480"/>
      </w:pPr>
      <w:r>
        <w:rPr>
          <w:rFonts w:hint="eastAsia"/>
        </w:rPr>
        <w:t>对本项目可能泄漏污染物的地面进行防渗处理，可有效防治污染物渗入地下，并及时地将泄漏、渗漏的污染物收集并进行集中处理。本项目通过将加强井场防渗等级，避免污染物入渗，采取了分区防渗措施。根据工程各功能单元可能产生污染的地区，划分为重点污染防治区、一般污染防治区。重点防渗区为对地下水环境有污染的物料或污染物泄漏后，不能及时发现和处理的区域或部位：包括井口区、污水缓冲罐区等区域，防渗等效黏土防渗层</w:t>
      </w:r>
      <w:r>
        <w:t>Mb</w:t>
      </w:r>
      <w:r>
        <w:rPr>
          <w:rFonts w:hint="eastAsia"/>
        </w:rPr>
        <w:t>≧</w:t>
      </w:r>
      <w:r>
        <w:t>6.0m</w:t>
      </w:r>
      <w:r>
        <w:rPr>
          <w:rFonts w:hint="eastAsia"/>
        </w:rPr>
        <w:t>，</w:t>
      </w:r>
      <w:r>
        <w:t>K≤1×10</w:t>
      </w:r>
      <w:r>
        <w:rPr>
          <w:vertAlign w:val="superscript"/>
        </w:rPr>
        <w:t>-7</w:t>
      </w:r>
      <w:r>
        <w:t>cm/s</w:t>
      </w:r>
      <w:r>
        <w:rPr>
          <w:rFonts w:hint="eastAsia"/>
        </w:rPr>
        <w:t>。一般防渗区为水套炉区域、工艺装置区等区域，防渗应满足等效黏土防渗层</w:t>
      </w:r>
      <w:r>
        <w:t>Mb</w:t>
      </w:r>
      <w:r>
        <w:rPr>
          <w:rFonts w:hint="eastAsia"/>
        </w:rPr>
        <w:t>≧</w:t>
      </w:r>
      <w:r>
        <w:t>1.5m</w:t>
      </w:r>
      <w:r>
        <w:rPr>
          <w:rFonts w:hint="eastAsia"/>
        </w:rPr>
        <w:t>，</w:t>
      </w:r>
      <w:r>
        <w:t>K≤1×10</w:t>
      </w:r>
      <w:r>
        <w:rPr>
          <w:vertAlign w:val="superscript"/>
        </w:rPr>
        <w:t>-7</w:t>
      </w:r>
      <w:r>
        <w:t>cm/s</w:t>
      </w:r>
      <w:r>
        <w:rPr>
          <w:rFonts w:hint="eastAsia"/>
        </w:rPr>
        <w:t>；其他区域为非防渗区。</w:t>
      </w:r>
    </w:p>
    <w:p>
      <w:pPr>
        <w:pStyle w:val="112"/>
        <w:ind w:firstLine="480"/>
      </w:pPr>
      <w:r>
        <w:rPr>
          <w:rFonts w:hint="eastAsia"/>
        </w:rPr>
        <w:t>以上防渗措施均按相关要求和规定执行。</w:t>
      </w:r>
      <w:r>
        <w:rPr>
          <w:rFonts w:hint="eastAsia" w:ascii="宋体" w:cs="宋体"/>
        </w:rPr>
        <w:t>污水缓冲罐区</w:t>
      </w:r>
      <w:r>
        <w:rPr>
          <w:rFonts w:hint="eastAsia"/>
        </w:rPr>
        <w:t>围堰建设完毕后，用清水进行试漏，在无渗漏的前提下方可投入使用。工程采取以上措施后，在一定程度上可以切断地下水的污染途径，措施有效可行。</w:t>
      </w:r>
    </w:p>
    <w:p>
      <w:pPr>
        <w:pStyle w:val="112"/>
        <w:ind w:firstLine="480"/>
      </w:pPr>
      <w:r>
        <w:rPr>
          <w:rFonts w:hint="eastAsia"/>
        </w:rPr>
        <w:t>（3）地下水环境管理与监测措施</w:t>
      </w:r>
    </w:p>
    <w:p>
      <w:pPr>
        <w:pStyle w:val="112"/>
        <w:ind w:firstLine="480"/>
      </w:pPr>
      <w:r>
        <w:rPr>
          <w:rFonts w:hint="eastAsia"/>
        </w:rPr>
        <w:t>1）地下水环境管理</w:t>
      </w:r>
    </w:p>
    <w:p>
      <w:pPr>
        <w:pStyle w:val="112"/>
        <w:ind w:firstLine="480"/>
      </w:pPr>
      <w:r>
        <w:rPr>
          <w:rFonts w:hint="eastAsia"/>
        </w:rPr>
        <w:t>①污水缓冲罐四周设置围堰，并进行防渗处理，避免泄漏物料进入环境。</w:t>
      </w:r>
    </w:p>
    <w:p>
      <w:pPr>
        <w:pStyle w:val="112"/>
        <w:ind w:firstLine="480"/>
      </w:pPr>
      <w:r>
        <w:rPr>
          <w:rFonts w:hint="eastAsia"/>
        </w:rPr>
        <w:t>②做好日常安全检查，定期检测罐体的完好情况，避免气田水泄漏导致环境风险事故。定期检查污水缓冲罐安全保护系统（如截断阀、安全阀等），使管道在超压时能够得到安全处理。</w:t>
      </w:r>
    </w:p>
    <w:p>
      <w:pPr>
        <w:pStyle w:val="112"/>
        <w:ind w:firstLine="480"/>
      </w:pPr>
      <w:r>
        <w:rPr>
          <w:rFonts w:hint="eastAsia"/>
        </w:rPr>
        <w:t>③站场内按要求储备灭火毯、干沙等消防用品，可用作泄漏时吸收之用。</w:t>
      </w:r>
    </w:p>
    <w:p>
      <w:pPr>
        <w:pStyle w:val="112"/>
        <w:ind w:firstLine="480"/>
      </w:pPr>
      <w:r>
        <w:rPr>
          <w:rFonts w:hint="eastAsia"/>
        </w:rPr>
        <w:t>④在发现污水管道泄漏时立即进行截断，减小对地下水和土壤环境影响。</w:t>
      </w:r>
    </w:p>
    <w:p>
      <w:pPr>
        <w:pStyle w:val="112"/>
        <w:ind w:firstLine="480"/>
      </w:pPr>
      <w:r>
        <w:rPr>
          <w:rFonts w:hint="eastAsia"/>
        </w:rPr>
        <w:t>2）地下水跟踪监测</w:t>
      </w:r>
    </w:p>
    <w:p>
      <w:pPr>
        <w:pStyle w:val="112"/>
        <w:ind w:firstLine="480"/>
      </w:pPr>
      <w:r>
        <w:rPr>
          <w:rFonts w:hint="eastAsia"/>
        </w:rPr>
        <w:t>为能及时了解、掌握区内地下水可能被污染的情况，建议对工程区定期进行地下水监测，以及时了解该区地下水状况，一旦发生污染，及时采取应急、补救措施，避免造成大范围的污染以至于达到无法补救的程度。</w:t>
      </w:r>
    </w:p>
    <w:p>
      <w:pPr>
        <w:pStyle w:val="112"/>
        <w:ind w:firstLine="480"/>
        <w:rPr>
          <w:rFonts w:ascii="宋体" w:cs="宋体"/>
        </w:rPr>
      </w:pPr>
      <w:r>
        <w:rPr>
          <w:rFonts w:hint="eastAsia" w:ascii="宋体" w:cs="宋体"/>
        </w:rPr>
        <w:t>按照《环境影响评价技术导则 地下水环境》（</w:t>
      </w:r>
      <w:r>
        <w:t>HJ 610-2016</w:t>
      </w:r>
      <w:r>
        <w:rPr>
          <w:rFonts w:hint="eastAsia" w:ascii="宋体" w:cs="宋体"/>
        </w:rPr>
        <w:t>）及《地下水环境监测技术规范》（</w:t>
      </w:r>
      <w:r>
        <w:t>HJ/T 164-2004</w:t>
      </w:r>
      <w:r>
        <w:rPr>
          <w:rFonts w:hint="eastAsia" w:ascii="宋体" w:cs="宋体"/>
        </w:rPr>
        <w:t>）的要求，本项目设置</w:t>
      </w:r>
      <w:r>
        <w:t>3</w:t>
      </w:r>
      <w:r>
        <w:rPr>
          <w:rFonts w:hint="eastAsia" w:ascii="宋体" w:cs="宋体"/>
        </w:rPr>
        <w:t>个地下水跟踪监测井，具体监测方案见下表。</w:t>
      </w:r>
    </w:p>
    <w:p>
      <w:pPr>
        <w:pStyle w:val="37"/>
        <w:rPr>
          <w:rFonts w:ascii="宋体"/>
        </w:rPr>
      </w:pPr>
      <w:r>
        <w:rPr>
          <w:rFonts w:hint="eastAsia"/>
        </w:rPr>
        <w:t>表</w:t>
      </w:r>
      <w:r>
        <w:rPr>
          <w:rFonts w:cs="Times New Roman"/>
          <w:bCs/>
        </w:rPr>
        <w:t>6.2-1</w:t>
      </w:r>
      <w:r>
        <w:rPr>
          <w:rFonts w:hint="eastAsia" w:cs="Times New Roman"/>
          <w:bCs/>
        </w:rPr>
        <w:t>1</w:t>
      </w:r>
      <w:r>
        <w:rPr>
          <w:rFonts w:cs="Times New Roman"/>
          <w:bCs/>
        </w:rPr>
        <w:t xml:space="preserve">  </w:t>
      </w:r>
      <w:r>
        <w:rPr>
          <w:rFonts w:hint="eastAsia"/>
        </w:rPr>
        <w:t>地下水跟踪监测计划</w:t>
      </w:r>
    </w:p>
    <w:tbl>
      <w:tblPr>
        <w:tblStyle w:val="57"/>
        <w:tblW w:w="885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34"/>
        <w:gridCol w:w="2826"/>
        <w:gridCol w:w="1134"/>
        <w:gridCol w:w="1417"/>
        <w:gridCol w:w="234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1134" w:type="dxa"/>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监测项目</w:t>
            </w:r>
          </w:p>
        </w:tc>
        <w:tc>
          <w:tcPr>
            <w:tcW w:w="2826" w:type="dxa"/>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监测点位</w:t>
            </w:r>
          </w:p>
        </w:tc>
        <w:tc>
          <w:tcPr>
            <w:tcW w:w="1134" w:type="dxa"/>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监测因子</w:t>
            </w:r>
          </w:p>
        </w:tc>
        <w:tc>
          <w:tcPr>
            <w:tcW w:w="1417" w:type="dxa"/>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监测频率</w:t>
            </w:r>
          </w:p>
        </w:tc>
        <w:tc>
          <w:tcPr>
            <w:tcW w:w="2342" w:type="dxa"/>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执行标准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1134"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地下水</w:t>
            </w:r>
          </w:p>
        </w:tc>
        <w:tc>
          <w:tcPr>
            <w:tcW w:w="2826" w:type="dxa"/>
            <w:vAlign w:val="center"/>
          </w:tcPr>
          <w:p>
            <w:pPr>
              <w:pStyle w:val="119"/>
              <w:jc w:val="center"/>
              <w:rPr>
                <w:rFonts w:ascii="Times New Roman" w:hAnsi="Times New Roman" w:cs="Times New Roman"/>
                <w:color w:val="auto"/>
                <w:sz w:val="21"/>
                <w:szCs w:val="21"/>
              </w:rPr>
            </w:pPr>
            <w:r>
              <w:rPr>
                <w:rFonts w:hint="eastAsia" w:ascii="Times New Roman" w:cs="Times New Roman"/>
                <w:color w:val="auto"/>
                <w:kern w:val="2"/>
                <w:sz w:val="21"/>
                <w:szCs w:val="21"/>
              </w:rPr>
              <w:t>普陆4集气平台上游</w:t>
            </w:r>
            <w:r>
              <w:rPr>
                <w:rFonts w:ascii="Times New Roman" w:cs="Times New Roman"/>
                <w:color w:val="auto"/>
                <w:kern w:val="2"/>
                <w:sz w:val="21"/>
                <w:szCs w:val="21"/>
              </w:rPr>
              <w:t>水井</w:t>
            </w:r>
            <w:r>
              <w:rPr>
                <w:rFonts w:hint="eastAsia" w:ascii="Times New Roman" w:cs="Times New Roman"/>
                <w:color w:val="auto"/>
                <w:kern w:val="2"/>
                <w:sz w:val="21"/>
                <w:szCs w:val="21"/>
              </w:rPr>
              <w:t>（E：</w:t>
            </w:r>
            <w:r>
              <w:rPr>
                <w:rFonts w:hint="eastAsia" w:ascii="Times New Roman" w:cs="Times New Roman"/>
                <w:color w:val="auto"/>
                <w:sz w:val="21"/>
                <w:szCs w:val="21"/>
              </w:rPr>
              <w:t>107.831025</w:t>
            </w:r>
            <w:r>
              <w:rPr>
                <w:rFonts w:hint="eastAsia" w:ascii="Times New Roman" w:cs="Times New Roman"/>
                <w:color w:val="auto"/>
                <w:kern w:val="2"/>
                <w:sz w:val="21"/>
                <w:szCs w:val="21"/>
              </w:rPr>
              <w:t>N：</w:t>
            </w:r>
            <w:r>
              <w:rPr>
                <w:rFonts w:hint="eastAsia" w:ascii="Times New Roman" w:cs="Times New Roman"/>
                <w:color w:val="auto"/>
                <w:sz w:val="21"/>
                <w:szCs w:val="21"/>
              </w:rPr>
              <w:t>31.554878</w:t>
            </w:r>
            <w:r>
              <w:rPr>
                <w:rFonts w:hint="eastAsia" w:ascii="Times New Roman" w:cs="Times New Roman"/>
                <w:color w:val="auto"/>
                <w:kern w:val="2"/>
                <w:sz w:val="21"/>
                <w:szCs w:val="21"/>
              </w:rPr>
              <w:t>）</w:t>
            </w:r>
            <w:r>
              <w:rPr>
                <w:rFonts w:ascii="Times New Roman" w:cs="Times New Roman"/>
                <w:color w:val="auto"/>
                <w:kern w:val="2"/>
                <w:sz w:val="21"/>
                <w:szCs w:val="21"/>
              </w:rPr>
              <w:t>、</w:t>
            </w:r>
            <w:r>
              <w:rPr>
                <w:rFonts w:hint="eastAsia" w:ascii="Times New Roman" w:cs="Times New Roman"/>
                <w:color w:val="auto"/>
                <w:kern w:val="2"/>
                <w:sz w:val="21"/>
                <w:szCs w:val="21"/>
              </w:rPr>
              <w:t>下游</w:t>
            </w:r>
            <w:r>
              <w:rPr>
                <w:rFonts w:ascii="Times New Roman" w:cs="Times New Roman"/>
                <w:color w:val="auto"/>
                <w:kern w:val="2"/>
                <w:sz w:val="21"/>
                <w:szCs w:val="21"/>
              </w:rPr>
              <w:t>水井</w:t>
            </w:r>
            <w:r>
              <w:rPr>
                <w:rFonts w:hint="eastAsia" w:ascii="Times New Roman" w:cs="Times New Roman"/>
                <w:color w:val="auto"/>
                <w:kern w:val="2"/>
                <w:sz w:val="21"/>
                <w:szCs w:val="21"/>
              </w:rPr>
              <w:t>（E：</w:t>
            </w:r>
            <w:r>
              <w:rPr>
                <w:rFonts w:hint="eastAsia" w:ascii="Times New Roman" w:cs="Times New Roman"/>
                <w:color w:val="auto"/>
                <w:sz w:val="21"/>
                <w:szCs w:val="21"/>
              </w:rPr>
              <w:t>107.815962</w:t>
            </w:r>
            <w:r>
              <w:rPr>
                <w:rFonts w:hint="eastAsia" w:ascii="Times New Roman" w:cs="Times New Roman"/>
                <w:color w:val="auto"/>
                <w:kern w:val="2"/>
                <w:sz w:val="21"/>
                <w:szCs w:val="21"/>
              </w:rPr>
              <w:t>N：</w:t>
            </w:r>
            <w:r>
              <w:rPr>
                <w:rFonts w:hint="eastAsia" w:ascii="Times New Roman" w:cs="Times New Roman"/>
                <w:color w:val="auto"/>
                <w:sz w:val="21"/>
                <w:szCs w:val="21"/>
              </w:rPr>
              <w:t>31.553488</w:t>
            </w:r>
            <w:r>
              <w:rPr>
                <w:rFonts w:hint="eastAsia" w:ascii="Times New Roman" w:cs="Times New Roman"/>
                <w:color w:val="auto"/>
                <w:kern w:val="2"/>
                <w:sz w:val="21"/>
                <w:szCs w:val="21"/>
              </w:rPr>
              <w:t>）</w:t>
            </w:r>
            <w:r>
              <w:rPr>
                <w:rFonts w:ascii="Times New Roman" w:cs="Times New Roman"/>
                <w:color w:val="auto"/>
                <w:kern w:val="2"/>
                <w:sz w:val="21"/>
                <w:szCs w:val="21"/>
              </w:rPr>
              <w:t>、下游水井</w:t>
            </w:r>
            <w:r>
              <w:rPr>
                <w:rFonts w:hint="eastAsia" w:ascii="Times New Roman" w:cs="Times New Roman"/>
                <w:color w:val="auto"/>
                <w:kern w:val="2"/>
                <w:sz w:val="21"/>
                <w:szCs w:val="21"/>
              </w:rPr>
              <w:t>（E：</w:t>
            </w:r>
            <w:r>
              <w:rPr>
                <w:rFonts w:hint="eastAsia" w:ascii="Times New Roman" w:cs="Times New Roman"/>
                <w:color w:val="auto"/>
                <w:sz w:val="21"/>
                <w:szCs w:val="21"/>
              </w:rPr>
              <w:t>107.801864</w:t>
            </w:r>
            <w:r>
              <w:rPr>
                <w:rFonts w:hint="eastAsia" w:ascii="Times New Roman" w:cs="Times New Roman"/>
                <w:color w:val="auto"/>
                <w:kern w:val="2"/>
                <w:sz w:val="21"/>
                <w:szCs w:val="21"/>
              </w:rPr>
              <w:t>N：</w:t>
            </w:r>
            <w:r>
              <w:rPr>
                <w:rFonts w:hint="eastAsia" w:ascii="Times New Roman" w:cs="Times New Roman"/>
                <w:color w:val="auto"/>
                <w:sz w:val="21"/>
                <w:szCs w:val="21"/>
              </w:rPr>
              <w:t>31.567823</w:t>
            </w:r>
            <w:r>
              <w:rPr>
                <w:rFonts w:hint="eastAsia" w:ascii="Times New Roman" w:cs="Times New Roman"/>
                <w:color w:val="auto"/>
                <w:kern w:val="2"/>
                <w:sz w:val="21"/>
                <w:szCs w:val="21"/>
              </w:rPr>
              <w:t>）</w:t>
            </w:r>
          </w:p>
        </w:tc>
        <w:tc>
          <w:tcPr>
            <w:tcW w:w="1134"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石油类</w:t>
            </w:r>
          </w:p>
        </w:tc>
        <w:tc>
          <w:tcPr>
            <w:tcW w:w="1417"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1次/年</w:t>
            </w:r>
          </w:p>
        </w:tc>
        <w:tc>
          <w:tcPr>
            <w:tcW w:w="2342"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《地下水质量标准》（GB/T14848-2017）中的Ⅲ类质量标准</w:t>
            </w:r>
          </w:p>
        </w:tc>
      </w:tr>
    </w:tbl>
    <w:p>
      <w:pPr>
        <w:pStyle w:val="112"/>
        <w:ind w:firstLine="482"/>
        <w:rPr>
          <w:b/>
          <w:bCs/>
        </w:rPr>
      </w:pPr>
      <w:r>
        <w:rPr>
          <w:b/>
          <w:bCs/>
        </w:rPr>
        <w:t>6、</w:t>
      </w:r>
      <w:r>
        <w:rPr>
          <w:rFonts w:hint="eastAsia"/>
          <w:b/>
          <w:bCs/>
        </w:rPr>
        <w:t>小结</w:t>
      </w:r>
    </w:p>
    <w:p>
      <w:pPr>
        <w:pStyle w:val="112"/>
        <w:ind w:firstLine="480"/>
        <w:rPr>
          <w:highlight w:val="yellow"/>
        </w:rPr>
      </w:pPr>
      <w:r>
        <w:rPr>
          <w:rFonts w:hint="eastAsia"/>
        </w:rPr>
        <w:t>污水缓冲罐四周设防渗围堰，并采取防渗措施，一旦储罐发生破损泄漏，可将废水收集在围堰内，再统一清理，不会对地下水造成影响。井站在采取相应防渗措施后，确保不对周边地下水造成污染。加强各项措施落实情况的监督和管理，防止造成地下水水质污染。项目运营期间不会对区域地下水环境造成影响。</w:t>
      </w:r>
    </w:p>
    <w:p>
      <w:pPr>
        <w:pStyle w:val="4"/>
        <w:rPr>
          <w:rFonts w:eastAsia="宋体"/>
        </w:rPr>
      </w:pPr>
      <w:r>
        <w:rPr>
          <w:rFonts w:eastAsia="宋体"/>
        </w:rPr>
        <w:t xml:space="preserve">6.2.5 </w:t>
      </w:r>
      <w:r>
        <w:rPr>
          <w:rFonts w:hint="eastAsia" w:eastAsia="宋体"/>
        </w:rPr>
        <w:t>声环境影响分析</w:t>
      </w:r>
    </w:p>
    <w:p>
      <w:pPr>
        <w:pStyle w:val="112"/>
        <w:ind w:firstLine="482"/>
        <w:rPr>
          <w:b/>
          <w:bCs/>
        </w:rPr>
      </w:pPr>
      <w:r>
        <w:rPr>
          <w:rFonts w:hint="eastAsia"/>
          <w:b/>
          <w:bCs/>
        </w:rPr>
        <w:t>1、站场正常生产噪声</w:t>
      </w:r>
    </w:p>
    <w:p>
      <w:pPr>
        <w:pStyle w:val="112"/>
        <w:ind w:firstLine="480"/>
      </w:pPr>
      <w:r>
        <w:rPr>
          <w:rFonts w:hint="eastAsia"/>
        </w:rPr>
        <w:t>本项目正常生产时站场内设备（分离器、水套加热炉、节流阀等）运行产生连续噪声，设备主要置于站场工艺装置区内，其噪声值约</w:t>
      </w:r>
      <w:r>
        <w:t>6</w:t>
      </w:r>
      <w:r>
        <w:rPr>
          <w:rFonts w:hint="eastAsia"/>
        </w:rPr>
        <w:t>2~68</w:t>
      </w:r>
      <w:r>
        <w:t>dB</w:t>
      </w:r>
      <w:r>
        <w:rPr>
          <w:rFonts w:hint="eastAsia"/>
        </w:rPr>
        <w:t>（</w:t>
      </w:r>
      <w:r>
        <w:t>A</w:t>
      </w:r>
      <w:r>
        <w:rPr>
          <w:rFonts w:hint="eastAsia"/>
        </w:rPr>
        <w:t>）；在工艺设计中考虑了减少工艺管线的弯头、三通等管件，并选用低噪声设备，经过隔声、吸声、减振措施后，其噪声值降至</w:t>
      </w:r>
      <w:r>
        <w:t>55dB</w:t>
      </w:r>
      <w:r>
        <w:rPr>
          <w:rFonts w:hint="eastAsia"/>
        </w:rPr>
        <w:t>（</w:t>
      </w:r>
      <w:r>
        <w:t>A</w:t>
      </w:r>
      <w:r>
        <w:rPr>
          <w:rFonts w:hint="eastAsia"/>
        </w:rPr>
        <w:t>）以下。在不考虑空气吸收、声波反射，而只考虑声能随距离衰减的情况下，其噪声衰减公式如下：</w:t>
      </w:r>
    </w:p>
    <w:p>
      <w:pPr>
        <w:pStyle w:val="112"/>
        <w:ind w:firstLine="480"/>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hint="eastAsia" w:ascii="Cambria Math" w:hAnsi="Cambria Math"/>
                </w:rPr>
                <m:t>m</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L</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−20</m:t>
          </m:r>
          <m:func>
            <m:funcPr>
              <m:ctrlPr>
                <w:rPr>
                  <w:rFonts w:ascii="Cambria Math" w:hAnsi="Cambria Math"/>
                </w:rPr>
              </m:ctrlPr>
            </m:funcPr>
            <m:fName>
              <m:r>
                <m:rPr>
                  <m:sty m:val="p"/>
                </m:rPr>
                <w:rPr>
                  <w:rFonts w:ascii="Cambria Math" w:hAnsi="Cambria Math"/>
                </w:rPr>
                <m:t>lg</m:t>
              </m:r>
              <m:ctrlPr>
                <w:rPr>
                  <w:rFonts w:ascii="Cambria Math" w:hAnsi="Cambria Math"/>
                </w:rPr>
              </m:ctrlPr>
            </m:fName>
            <m:e>
              <m:d>
                <m:dPr>
                  <m:ctrlPr>
                    <w:rPr>
                      <w:rFonts w:ascii="Cambria Math" w:hAnsi="Cambria Math"/>
                    </w:rPr>
                  </m:ctrlPr>
                </m:dPr>
                <m:e>
                  <m:f>
                    <m:fPr>
                      <m:type m:val="lin"/>
                      <m:ctrlPr>
                        <w:rPr>
                          <w:rFonts w:ascii="Cambria Math" w:hAnsi="Cambria Math"/>
                        </w:rPr>
                      </m:ctrlPr>
                    </m:fPr>
                    <m:num>
                      <m:r>
                        <m:rPr/>
                        <w:rPr>
                          <w:rFonts w:ascii="Cambria Math" w:hAnsi="Cambria Math"/>
                        </w:rPr>
                        <m:t>r</m:t>
                      </m:r>
                      <m:ctrlPr>
                        <w:rPr>
                          <w:rFonts w:ascii="Cambria Math" w:hAnsi="Cambria Math"/>
                        </w:rPr>
                      </m:ctrlPr>
                    </m:num>
                    <m:den>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ctrlPr>
                    <w:rPr>
                      <w:rFonts w:ascii="Cambria Math" w:hAnsi="Cambria Math"/>
                    </w:rPr>
                  </m:ctrlPr>
                </m:e>
              </m:d>
              <m:ctrlPr>
                <w:rPr>
                  <w:rFonts w:ascii="Cambria Math" w:hAnsi="Cambria Math"/>
                </w:rPr>
              </m:ctrlPr>
            </m:e>
          </m:func>
        </m:oMath>
      </m:oMathPara>
    </w:p>
    <w:p>
      <w:pPr>
        <w:pStyle w:val="112"/>
        <w:ind w:firstLine="480"/>
      </w:pPr>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hint="eastAsia" w:ascii="Cambria Math" w:hAnsi="Cambria Math"/>
              </w:rPr>
              <m:t>m</m:t>
            </m:r>
            <m:ctrlPr>
              <w:rPr>
                <w:rFonts w:ascii="Cambria Math" w:hAnsi="Cambria Math"/>
              </w:rPr>
            </m:ctrlPr>
          </m:sub>
        </m:sSub>
      </m:oMath>
      <w:r>
        <w:t>——</w:t>
      </w:r>
      <w:r>
        <w:rPr>
          <w:rFonts w:hint="eastAsia"/>
        </w:rPr>
        <w:t>距离声源为r米处预测受声点噪声预测值，</w:t>
      </w:r>
      <w:r>
        <w:t>dB</w:t>
      </w:r>
      <w:r>
        <w:rPr>
          <w:rFonts w:hint="eastAsia"/>
        </w:rPr>
        <w:t>（</w:t>
      </w:r>
      <w:r>
        <w:t>A</w:t>
      </w:r>
      <w:r>
        <w:rPr>
          <w:rFonts w:hint="eastAsia"/>
        </w:rPr>
        <w:t>）</w:t>
      </w:r>
      <w:r>
        <w:t>；</w:t>
      </w:r>
    </w:p>
    <w:p>
      <w:pPr>
        <w:pStyle w:val="112"/>
        <w:ind w:firstLine="480"/>
      </w:pPr>
      <m:oMath>
        <m:sSub>
          <m:sSubPr>
            <m:ctrlPr>
              <w:rPr>
                <w:rFonts w:ascii="Cambria Math" w:hAnsi="Cambria Math"/>
              </w:rPr>
            </m:ctrlPr>
          </m:sSubPr>
          <m:e>
            <m:r>
              <m:rPr/>
              <w:rPr>
                <w:rFonts w:ascii="Cambria Math" w:hAnsi="Cambria Math"/>
              </w:rPr>
              <m:t>L</m:t>
            </m:r>
            <m:ctrlPr>
              <w:rPr>
                <w:rFonts w:ascii="Cambria Math" w:hAnsi="Cambria Math"/>
              </w:rPr>
            </m:ctrlPr>
          </m:e>
          <m:sub>
            <m:r>
              <m:rPr>
                <m:sty m:val="p"/>
              </m:rPr>
              <w:rPr>
                <w:rFonts w:ascii="Cambria Math" w:hAnsi="Cambria Math"/>
              </w:rPr>
              <m:t>0</m:t>
            </m:r>
            <m:ctrlPr>
              <w:rPr>
                <w:rFonts w:ascii="Cambria Math" w:hAnsi="Cambria Math"/>
              </w:rPr>
            </m:ctrlPr>
          </m:sub>
        </m:sSub>
      </m:oMath>
      <w:r>
        <w:t>——</w:t>
      </w:r>
      <w:r>
        <w:rPr>
          <w:rFonts w:hint="eastAsia"/>
        </w:rPr>
        <w:t>距离声源为r</w:t>
      </w:r>
      <w:r>
        <w:rPr>
          <w:rFonts w:hint="eastAsia"/>
          <w:vertAlign w:val="subscript"/>
        </w:rPr>
        <w:t>0</w:t>
      </w:r>
      <w:r>
        <w:rPr>
          <w:rFonts w:hint="eastAsia"/>
        </w:rPr>
        <w:t>米处声源的总声级值，</w:t>
      </w:r>
      <w:r>
        <w:t>dB</w:t>
      </w:r>
      <w:r>
        <w:rPr>
          <w:rFonts w:hint="eastAsia"/>
        </w:rPr>
        <w:t>（</w:t>
      </w:r>
      <w:r>
        <w:t>A</w:t>
      </w:r>
      <w:r>
        <w:rPr>
          <w:rFonts w:hint="eastAsia"/>
        </w:rPr>
        <w:t>）；</w:t>
      </w:r>
    </w:p>
    <w:p>
      <w:pPr>
        <w:pStyle w:val="112"/>
        <w:ind w:firstLine="480"/>
      </w:pPr>
      <m:oMath>
        <m:r>
          <m:rPr/>
          <w:rPr>
            <w:rFonts w:ascii="Cambria Math" w:hAnsi="Cambria Math"/>
          </w:rPr>
          <m:t>r</m:t>
        </m:r>
      </m:oMath>
      <w:r>
        <w:t>——</w:t>
      </w:r>
      <w:r>
        <w:rPr>
          <w:rFonts w:hint="eastAsia"/>
        </w:rPr>
        <w:t>预测受声点距离声源的预测距离，</w:t>
      </w:r>
      <w:r>
        <w:t>m</w:t>
      </w:r>
      <w:r>
        <w:rPr>
          <w:rFonts w:hint="eastAsia"/>
        </w:rPr>
        <w:t>；</w:t>
      </w:r>
    </w:p>
    <w:p>
      <w:pPr>
        <w:pStyle w:val="112"/>
        <w:ind w:firstLine="480"/>
      </w:pPr>
      <m:oMath>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ascii="Cambria Math" w:hAnsi="Cambria Math"/>
              </w:rPr>
              <m:t>0</m:t>
            </m:r>
            <m:ctrlPr>
              <w:rPr>
                <w:rFonts w:ascii="Cambria Math" w:hAnsi="Cambria Math"/>
              </w:rPr>
            </m:ctrlPr>
          </m:sub>
        </m:sSub>
      </m:oMath>
      <w:r>
        <w:t>——</w:t>
      </w:r>
      <w:r>
        <w:rPr>
          <w:rFonts w:hint="eastAsia"/>
        </w:rPr>
        <w:t>噪声受点</w:t>
      </w:r>
      <w:r>
        <w:t>r</w:t>
      </w:r>
      <w:r>
        <w:rPr>
          <w:vertAlign w:val="subscript"/>
        </w:rPr>
        <w:t>0</w:t>
      </w:r>
      <w:r>
        <w:rPr>
          <w:rFonts w:hint="eastAsia"/>
        </w:rPr>
        <w:t>处与噪声源的距离，</w:t>
      </w:r>
      <w:r>
        <w:t>m</w:t>
      </w:r>
      <w:r>
        <w:rPr>
          <w:rFonts w:hint="eastAsia"/>
        </w:rPr>
        <w:t>。</w:t>
      </w:r>
    </w:p>
    <w:p>
      <w:pPr>
        <w:pStyle w:val="112"/>
        <w:ind w:firstLine="480"/>
      </w:pPr>
      <w:r>
        <w:rPr>
          <w:rFonts w:hint="eastAsia"/>
        </w:rPr>
        <w:t>本项目普陆4集气平台内设置有水套炉等产噪设备，源强如下：</w:t>
      </w:r>
    </w:p>
    <w:p>
      <w:pPr>
        <w:topLinePunct w:val="0"/>
        <w:snapToGrid w:val="0"/>
        <w:spacing w:beforeLines="50"/>
        <w:ind w:firstLine="480" w:firstLineChars="0"/>
        <w:jc w:val="center"/>
        <w:rPr>
          <w:rFonts w:ascii="Times New Roman" w:cs="Times New Roman"/>
          <w:b/>
          <w:color w:val="FF0000"/>
          <w:kern w:val="2"/>
          <w:sz w:val="21"/>
          <w:szCs w:val="20"/>
        </w:rPr>
      </w:pPr>
      <w:r>
        <w:rPr>
          <w:rFonts w:ascii="Times New Roman" w:cs="Times New Roman"/>
          <w:b/>
          <w:color w:val="FF0000"/>
          <w:kern w:val="2"/>
          <w:sz w:val="21"/>
          <w:szCs w:val="20"/>
        </w:rPr>
        <w:t>表6.</w:t>
      </w:r>
      <w:r>
        <w:rPr>
          <w:rFonts w:hint="eastAsia" w:ascii="Times New Roman" w:cs="Times New Roman"/>
          <w:b/>
          <w:color w:val="FF0000"/>
          <w:kern w:val="2"/>
          <w:sz w:val="21"/>
          <w:szCs w:val="20"/>
        </w:rPr>
        <w:t>2</w:t>
      </w:r>
      <w:r>
        <w:rPr>
          <w:rFonts w:ascii="Times New Roman" w:cs="Times New Roman"/>
          <w:b/>
          <w:color w:val="FF0000"/>
          <w:kern w:val="2"/>
          <w:sz w:val="21"/>
          <w:szCs w:val="20"/>
        </w:rPr>
        <w:t>-</w:t>
      </w:r>
      <w:r>
        <w:rPr>
          <w:rFonts w:hint="eastAsia" w:ascii="Times New Roman" w:cs="Times New Roman"/>
          <w:b/>
          <w:color w:val="FF0000"/>
          <w:kern w:val="2"/>
          <w:sz w:val="21"/>
          <w:szCs w:val="20"/>
        </w:rPr>
        <w:t>12</w:t>
      </w:r>
      <w:r>
        <w:rPr>
          <w:rFonts w:ascii="Times New Roman" w:cs="Times New Roman"/>
          <w:b/>
          <w:color w:val="FF0000"/>
          <w:kern w:val="2"/>
          <w:sz w:val="21"/>
          <w:szCs w:val="20"/>
        </w:rPr>
        <w:t xml:space="preserve">  </w:t>
      </w:r>
      <w:r>
        <w:rPr>
          <w:rFonts w:hint="eastAsia" w:ascii="Times New Roman" w:cs="Times New Roman"/>
          <w:b/>
          <w:color w:val="FF0000"/>
          <w:kern w:val="2"/>
          <w:sz w:val="21"/>
          <w:szCs w:val="20"/>
        </w:rPr>
        <w:t>站场内设备噪声</w:t>
      </w:r>
      <w:r>
        <w:rPr>
          <w:rFonts w:ascii="Times New Roman" w:cs="Times New Roman"/>
          <w:b/>
          <w:color w:val="FF0000"/>
          <w:kern w:val="2"/>
          <w:sz w:val="21"/>
          <w:szCs w:val="20"/>
        </w:rPr>
        <w:t>源强</w:t>
      </w:r>
    </w:p>
    <w:tbl>
      <w:tblPr>
        <w:tblStyle w:val="57"/>
        <w:tblW w:w="511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6" w:type="dxa"/>
          <w:bottom w:w="0" w:type="dxa"/>
          <w:right w:w="6" w:type="dxa"/>
        </w:tblCellMar>
      </w:tblPr>
      <w:tblGrid>
        <w:gridCol w:w="716"/>
        <w:gridCol w:w="1008"/>
        <w:gridCol w:w="719"/>
        <w:gridCol w:w="1438"/>
        <w:gridCol w:w="1152"/>
        <w:gridCol w:w="1571"/>
        <w:gridCol w:w="1907"/>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554" w:hRule="atLeast"/>
          <w:tblHeader/>
          <w:jc w:val="center"/>
        </w:trPr>
        <w:tc>
          <w:tcPr>
            <w:tcW w:w="716"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ascii="Times New Roman" w:hAnsi="宋体" w:cs="Times New Roman"/>
                <w:color w:val="FF0000"/>
                <w:kern w:val="2"/>
                <w:sz w:val="21"/>
                <w:szCs w:val="21"/>
              </w:rPr>
              <w:t>序号</w:t>
            </w:r>
          </w:p>
        </w:tc>
        <w:tc>
          <w:tcPr>
            <w:tcW w:w="1008"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ascii="Times New Roman" w:hAnsi="宋体" w:cs="Times New Roman"/>
                <w:color w:val="FF0000"/>
                <w:kern w:val="2"/>
                <w:sz w:val="21"/>
                <w:szCs w:val="21"/>
              </w:rPr>
              <w:t>声源名称</w:t>
            </w:r>
          </w:p>
        </w:tc>
        <w:tc>
          <w:tcPr>
            <w:tcW w:w="719"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ascii="Times New Roman" w:hAnsi="宋体" w:cs="Times New Roman"/>
                <w:color w:val="FF0000"/>
                <w:kern w:val="2"/>
                <w:sz w:val="21"/>
                <w:szCs w:val="21"/>
              </w:rPr>
              <w:t>数量（台）</w:t>
            </w:r>
          </w:p>
        </w:tc>
        <w:tc>
          <w:tcPr>
            <w:tcW w:w="1438"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ascii="Times New Roman" w:hAnsi="宋体" w:cs="Times New Roman"/>
                <w:color w:val="FF0000"/>
                <w:kern w:val="2"/>
                <w:sz w:val="21"/>
                <w:szCs w:val="21"/>
              </w:rPr>
              <w:t>降噪前声级</w:t>
            </w:r>
          </w:p>
          <w:p>
            <w:pPr>
              <w:widowControl/>
              <w:topLinePunct w:val="0"/>
              <w:snapToGrid w:val="0"/>
              <w:spacing w:line="240" w:lineRule="auto"/>
              <w:ind w:firstLine="0" w:firstLineChars="0"/>
              <w:jc w:val="center"/>
              <w:rPr>
                <w:rFonts w:ascii="Times New Roman" w:cs="Times New Roman"/>
                <w:color w:val="FF0000"/>
                <w:kern w:val="2"/>
                <w:sz w:val="21"/>
                <w:szCs w:val="21"/>
              </w:rPr>
            </w:pPr>
            <w:r>
              <w:rPr>
                <w:rFonts w:ascii="Times New Roman" w:hAnsi="宋体" w:cs="Times New Roman"/>
                <w:color w:val="FF0000"/>
                <w:kern w:val="2"/>
                <w:sz w:val="21"/>
                <w:szCs w:val="21"/>
              </w:rPr>
              <w:t>（</w:t>
            </w:r>
            <w:r>
              <w:rPr>
                <w:rFonts w:ascii="Times New Roman" w:cs="Times New Roman"/>
                <w:color w:val="FF0000"/>
                <w:kern w:val="2"/>
                <w:sz w:val="21"/>
                <w:szCs w:val="21"/>
              </w:rPr>
              <w:t>dB</w:t>
            </w:r>
            <w:r>
              <w:rPr>
                <w:rFonts w:ascii="Times New Roman" w:hAnsi="宋体" w:cs="Times New Roman"/>
                <w:color w:val="FF0000"/>
                <w:kern w:val="2"/>
                <w:sz w:val="21"/>
                <w:szCs w:val="21"/>
              </w:rPr>
              <w:t>（</w:t>
            </w:r>
            <w:r>
              <w:rPr>
                <w:rFonts w:ascii="Times New Roman" w:cs="Times New Roman"/>
                <w:color w:val="FF0000"/>
                <w:kern w:val="2"/>
                <w:sz w:val="21"/>
                <w:szCs w:val="21"/>
              </w:rPr>
              <w:t>A</w:t>
            </w:r>
            <w:r>
              <w:rPr>
                <w:rFonts w:ascii="Times New Roman" w:hAnsi="宋体" w:cs="Times New Roman"/>
                <w:color w:val="FF0000"/>
                <w:kern w:val="2"/>
                <w:sz w:val="21"/>
                <w:szCs w:val="21"/>
              </w:rPr>
              <w:t>））</w:t>
            </w:r>
          </w:p>
        </w:tc>
        <w:tc>
          <w:tcPr>
            <w:tcW w:w="1152"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ascii="Times New Roman" w:hAnsi="宋体" w:cs="Times New Roman"/>
                <w:color w:val="FF0000"/>
                <w:kern w:val="2"/>
                <w:sz w:val="21"/>
                <w:szCs w:val="21"/>
              </w:rPr>
              <w:t>声源高度（</w:t>
            </w:r>
            <w:r>
              <w:rPr>
                <w:rFonts w:ascii="Times New Roman" w:cs="Times New Roman"/>
                <w:color w:val="FF0000"/>
                <w:kern w:val="2"/>
                <w:sz w:val="21"/>
                <w:szCs w:val="21"/>
              </w:rPr>
              <w:t>m</w:t>
            </w:r>
            <w:r>
              <w:rPr>
                <w:rFonts w:ascii="Times New Roman" w:hAnsi="宋体" w:cs="Times New Roman"/>
                <w:color w:val="FF0000"/>
                <w:kern w:val="2"/>
                <w:sz w:val="21"/>
                <w:szCs w:val="21"/>
              </w:rPr>
              <w:t>）</w:t>
            </w:r>
          </w:p>
        </w:tc>
        <w:tc>
          <w:tcPr>
            <w:tcW w:w="1571"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ascii="Times New Roman" w:hAnsi="宋体" w:cs="Times New Roman"/>
                <w:color w:val="FF0000"/>
                <w:kern w:val="2"/>
                <w:sz w:val="21"/>
                <w:szCs w:val="21"/>
              </w:rPr>
              <w:t>降噪措施</w:t>
            </w:r>
          </w:p>
        </w:tc>
        <w:tc>
          <w:tcPr>
            <w:tcW w:w="1907"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ascii="Times New Roman" w:hAnsi="宋体" w:cs="Times New Roman"/>
                <w:color w:val="FF0000"/>
                <w:kern w:val="2"/>
                <w:sz w:val="21"/>
                <w:szCs w:val="21"/>
              </w:rPr>
              <w:t>降噪后声级</w:t>
            </w:r>
          </w:p>
          <w:p>
            <w:pPr>
              <w:widowControl/>
              <w:topLinePunct w:val="0"/>
              <w:snapToGrid w:val="0"/>
              <w:spacing w:line="240" w:lineRule="auto"/>
              <w:ind w:firstLine="0" w:firstLineChars="0"/>
              <w:jc w:val="center"/>
              <w:rPr>
                <w:rFonts w:ascii="Times New Roman" w:cs="Times New Roman"/>
                <w:color w:val="FF0000"/>
                <w:kern w:val="2"/>
                <w:sz w:val="21"/>
                <w:szCs w:val="21"/>
              </w:rPr>
            </w:pPr>
            <w:r>
              <w:rPr>
                <w:rFonts w:ascii="Times New Roman" w:hAnsi="宋体" w:cs="Times New Roman"/>
                <w:color w:val="FF0000"/>
                <w:kern w:val="2"/>
                <w:sz w:val="21"/>
                <w:szCs w:val="21"/>
              </w:rPr>
              <w:t>（</w:t>
            </w:r>
            <w:r>
              <w:rPr>
                <w:rFonts w:ascii="Times New Roman" w:cs="Times New Roman"/>
                <w:color w:val="FF0000"/>
                <w:kern w:val="2"/>
                <w:sz w:val="21"/>
                <w:szCs w:val="21"/>
              </w:rPr>
              <w:t>dB</w:t>
            </w:r>
            <w:r>
              <w:rPr>
                <w:rFonts w:ascii="Times New Roman" w:hAnsi="宋体" w:cs="Times New Roman"/>
                <w:color w:val="FF0000"/>
                <w:kern w:val="2"/>
                <w:sz w:val="21"/>
                <w:szCs w:val="21"/>
              </w:rPr>
              <w:t>（</w:t>
            </w:r>
            <w:r>
              <w:rPr>
                <w:rFonts w:ascii="Times New Roman" w:cs="Times New Roman"/>
                <w:color w:val="FF0000"/>
                <w:kern w:val="2"/>
                <w:sz w:val="21"/>
                <w:szCs w:val="21"/>
              </w:rPr>
              <w:t>A</w:t>
            </w:r>
            <w:r>
              <w:rPr>
                <w:rFonts w:ascii="Times New Roman" w:hAnsi="宋体" w:cs="Times New Roman"/>
                <w:color w:val="FF0000"/>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277" w:hRule="atLeast"/>
          <w:jc w:val="center"/>
        </w:trPr>
        <w:tc>
          <w:tcPr>
            <w:tcW w:w="716"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ascii="Times New Roman" w:cs="Times New Roman"/>
                <w:color w:val="FF0000"/>
                <w:kern w:val="2"/>
                <w:sz w:val="21"/>
                <w:szCs w:val="21"/>
              </w:rPr>
              <w:t>1</w:t>
            </w:r>
          </w:p>
        </w:tc>
        <w:tc>
          <w:tcPr>
            <w:tcW w:w="1008"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hint="eastAsia" w:ascii="Times New Roman" w:hAnsi="宋体" w:cs="Times New Roman"/>
                <w:color w:val="FF0000"/>
                <w:kern w:val="2"/>
                <w:sz w:val="21"/>
                <w:szCs w:val="21"/>
              </w:rPr>
              <w:t>分离器</w:t>
            </w:r>
          </w:p>
        </w:tc>
        <w:tc>
          <w:tcPr>
            <w:tcW w:w="719"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ascii="Times New Roman" w:cs="Times New Roman"/>
                <w:color w:val="FF0000"/>
                <w:kern w:val="2"/>
                <w:sz w:val="21"/>
                <w:szCs w:val="21"/>
              </w:rPr>
              <w:t>1</w:t>
            </w:r>
          </w:p>
        </w:tc>
        <w:tc>
          <w:tcPr>
            <w:tcW w:w="1438"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ascii="Times New Roman" w:hAnsi="宋体" w:cs="Times New Roman"/>
                <w:color w:val="FF0000"/>
                <w:kern w:val="2"/>
                <w:sz w:val="21"/>
                <w:szCs w:val="21"/>
              </w:rPr>
              <w:t>～</w:t>
            </w:r>
            <w:r>
              <w:rPr>
                <w:rFonts w:hint="eastAsia" w:ascii="Times New Roman" w:cs="Times New Roman"/>
                <w:color w:val="FF0000"/>
                <w:kern w:val="2"/>
                <w:sz w:val="21"/>
                <w:szCs w:val="21"/>
              </w:rPr>
              <w:t>62</w:t>
            </w:r>
          </w:p>
        </w:tc>
        <w:tc>
          <w:tcPr>
            <w:tcW w:w="1152"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ascii="Times New Roman" w:cs="Times New Roman"/>
                <w:color w:val="FF0000"/>
                <w:kern w:val="2"/>
                <w:sz w:val="21"/>
                <w:szCs w:val="21"/>
              </w:rPr>
              <w:t>3</w:t>
            </w:r>
          </w:p>
        </w:tc>
        <w:tc>
          <w:tcPr>
            <w:tcW w:w="1571"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hint="eastAsia" w:ascii="Times New Roman" w:hAnsi="宋体" w:cs="Times New Roman"/>
                <w:color w:val="FF0000"/>
                <w:kern w:val="2"/>
                <w:sz w:val="21"/>
                <w:szCs w:val="21"/>
              </w:rPr>
              <w:t>隔声、吸声、减振</w:t>
            </w:r>
          </w:p>
        </w:tc>
        <w:tc>
          <w:tcPr>
            <w:tcW w:w="1907"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ascii="Times New Roman" w:hAnsi="宋体" w:cs="Times New Roman"/>
                <w:color w:val="FF0000"/>
                <w:kern w:val="2"/>
                <w:sz w:val="21"/>
                <w:szCs w:val="21"/>
              </w:rPr>
              <w:t>～</w:t>
            </w:r>
            <w:r>
              <w:rPr>
                <w:rFonts w:hint="eastAsia" w:ascii="Times New Roman" w:cs="Times New Roman"/>
                <w:color w:val="FF0000"/>
                <w:kern w:val="2"/>
                <w:sz w:val="21"/>
                <w:szCs w:val="21"/>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277" w:hRule="atLeast"/>
          <w:jc w:val="center"/>
        </w:trPr>
        <w:tc>
          <w:tcPr>
            <w:tcW w:w="716"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ascii="Times New Roman" w:cs="Times New Roman"/>
                <w:color w:val="FF0000"/>
                <w:kern w:val="2"/>
                <w:sz w:val="21"/>
                <w:szCs w:val="21"/>
              </w:rPr>
              <w:t>2</w:t>
            </w:r>
          </w:p>
        </w:tc>
        <w:tc>
          <w:tcPr>
            <w:tcW w:w="1008"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hint="eastAsia" w:ascii="Times New Roman" w:hAnsi="宋体" w:cs="Times New Roman"/>
                <w:color w:val="FF0000"/>
                <w:kern w:val="2"/>
                <w:sz w:val="21"/>
                <w:szCs w:val="21"/>
              </w:rPr>
              <w:t>水套炉</w:t>
            </w:r>
          </w:p>
        </w:tc>
        <w:tc>
          <w:tcPr>
            <w:tcW w:w="719"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hint="eastAsia" w:ascii="Times New Roman" w:cs="Times New Roman"/>
                <w:color w:val="FF0000"/>
                <w:kern w:val="2"/>
                <w:sz w:val="21"/>
                <w:szCs w:val="21"/>
              </w:rPr>
              <w:t>1</w:t>
            </w:r>
          </w:p>
        </w:tc>
        <w:tc>
          <w:tcPr>
            <w:tcW w:w="1438"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ascii="Times New Roman" w:hAnsi="宋体" w:cs="Times New Roman"/>
                <w:color w:val="FF0000"/>
                <w:kern w:val="2"/>
                <w:sz w:val="21"/>
                <w:szCs w:val="21"/>
              </w:rPr>
              <w:t>～</w:t>
            </w:r>
            <w:r>
              <w:rPr>
                <w:rFonts w:hint="eastAsia" w:ascii="Times New Roman" w:cs="Times New Roman"/>
                <w:color w:val="FF0000"/>
                <w:kern w:val="2"/>
                <w:sz w:val="21"/>
                <w:szCs w:val="21"/>
              </w:rPr>
              <w:t>68</w:t>
            </w:r>
          </w:p>
        </w:tc>
        <w:tc>
          <w:tcPr>
            <w:tcW w:w="1152"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ascii="Times New Roman" w:cs="Times New Roman"/>
                <w:color w:val="FF0000"/>
                <w:kern w:val="2"/>
                <w:sz w:val="21"/>
                <w:szCs w:val="21"/>
              </w:rPr>
              <w:t>2</w:t>
            </w:r>
          </w:p>
        </w:tc>
        <w:tc>
          <w:tcPr>
            <w:tcW w:w="1571"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hint="eastAsia" w:ascii="Times New Roman" w:hAnsi="宋体" w:cs="Times New Roman"/>
                <w:color w:val="FF0000"/>
                <w:kern w:val="2"/>
                <w:sz w:val="21"/>
                <w:szCs w:val="21"/>
              </w:rPr>
              <w:t>隔声、吸声、减振</w:t>
            </w:r>
          </w:p>
        </w:tc>
        <w:tc>
          <w:tcPr>
            <w:tcW w:w="1907"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ascii="Times New Roman" w:hAnsi="宋体" w:cs="Times New Roman"/>
                <w:color w:val="FF0000"/>
                <w:kern w:val="2"/>
                <w:sz w:val="21"/>
                <w:szCs w:val="21"/>
              </w:rPr>
              <w:t>～</w:t>
            </w:r>
            <w:r>
              <w:rPr>
                <w:rFonts w:hint="eastAsia" w:ascii="Times New Roman" w:cs="Times New Roman"/>
                <w:color w:val="FF0000"/>
                <w:kern w:val="2"/>
                <w:sz w:val="21"/>
                <w:szCs w:val="21"/>
              </w:rPr>
              <w:t>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277" w:hRule="atLeast"/>
          <w:jc w:val="center"/>
        </w:trPr>
        <w:tc>
          <w:tcPr>
            <w:tcW w:w="716"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ascii="Times New Roman" w:cs="Times New Roman"/>
                <w:color w:val="FF0000"/>
                <w:kern w:val="2"/>
                <w:sz w:val="21"/>
                <w:szCs w:val="21"/>
              </w:rPr>
              <w:t>3</w:t>
            </w:r>
          </w:p>
        </w:tc>
        <w:tc>
          <w:tcPr>
            <w:tcW w:w="1008"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hint="eastAsia" w:ascii="Times New Roman" w:hAnsi="宋体" w:cs="Times New Roman"/>
                <w:color w:val="FF0000"/>
                <w:kern w:val="2"/>
                <w:sz w:val="21"/>
                <w:szCs w:val="21"/>
              </w:rPr>
              <w:t>节流阀</w:t>
            </w:r>
          </w:p>
        </w:tc>
        <w:tc>
          <w:tcPr>
            <w:tcW w:w="719"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hint="eastAsia" w:ascii="Times New Roman" w:cs="Times New Roman"/>
                <w:color w:val="FF0000"/>
                <w:kern w:val="2"/>
                <w:sz w:val="21"/>
                <w:szCs w:val="21"/>
              </w:rPr>
              <w:t>2</w:t>
            </w:r>
          </w:p>
        </w:tc>
        <w:tc>
          <w:tcPr>
            <w:tcW w:w="1438"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ascii="Times New Roman" w:hAnsi="宋体" w:cs="Times New Roman"/>
                <w:color w:val="FF0000"/>
                <w:kern w:val="2"/>
                <w:sz w:val="21"/>
                <w:szCs w:val="21"/>
              </w:rPr>
              <w:t>～</w:t>
            </w:r>
            <w:r>
              <w:rPr>
                <w:rFonts w:hint="eastAsia" w:ascii="Times New Roman" w:cs="Times New Roman"/>
                <w:color w:val="FF0000"/>
                <w:kern w:val="2"/>
                <w:sz w:val="21"/>
                <w:szCs w:val="21"/>
              </w:rPr>
              <w:t>65</w:t>
            </w:r>
          </w:p>
        </w:tc>
        <w:tc>
          <w:tcPr>
            <w:tcW w:w="1152"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ascii="Times New Roman" w:cs="Times New Roman"/>
                <w:color w:val="FF0000"/>
                <w:kern w:val="2"/>
                <w:sz w:val="21"/>
                <w:szCs w:val="21"/>
              </w:rPr>
              <w:t>2</w:t>
            </w:r>
          </w:p>
        </w:tc>
        <w:tc>
          <w:tcPr>
            <w:tcW w:w="1571"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hint="eastAsia" w:ascii="Times New Roman" w:hAnsi="宋体" w:cs="Times New Roman"/>
                <w:color w:val="FF0000"/>
                <w:kern w:val="2"/>
                <w:sz w:val="21"/>
                <w:szCs w:val="21"/>
              </w:rPr>
              <w:t>隔声、吸声、减振</w:t>
            </w:r>
          </w:p>
        </w:tc>
        <w:tc>
          <w:tcPr>
            <w:tcW w:w="1907" w:type="dxa"/>
            <w:vAlign w:val="center"/>
          </w:tcPr>
          <w:p>
            <w:pPr>
              <w:widowControl/>
              <w:topLinePunct w:val="0"/>
              <w:snapToGrid w:val="0"/>
              <w:spacing w:line="240" w:lineRule="auto"/>
              <w:ind w:firstLine="0" w:firstLineChars="0"/>
              <w:jc w:val="center"/>
              <w:rPr>
                <w:rFonts w:ascii="Times New Roman" w:cs="Times New Roman"/>
                <w:color w:val="FF0000"/>
                <w:kern w:val="2"/>
                <w:sz w:val="21"/>
                <w:szCs w:val="21"/>
              </w:rPr>
            </w:pPr>
            <w:r>
              <w:rPr>
                <w:rFonts w:ascii="Times New Roman" w:hAnsi="宋体" w:cs="Times New Roman"/>
                <w:color w:val="FF0000"/>
                <w:kern w:val="2"/>
                <w:sz w:val="21"/>
                <w:szCs w:val="21"/>
              </w:rPr>
              <w:t>～</w:t>
            </w:r>
            <w:r>
              <w:rPr>
                <w:rFonts w:hint="eastAsia" w:ascii="Times New Roman" w:cs="Times New Roman"/>
                <w:color w:val="FF0000"/>
                <w:kern w:val="2"/>
                <w:sz w:val="21"/>
                <w:szCs w:val="21"/>
              </w:rPr>
              <w:t>50</w:t>
            </w:r>
          </w:p>
        </w:tc>
      </w:tr>
    </w:tbl>
    <w:p>
      <w:pPr>
        <w:pStyle w:val="112"/>
        <w:ind w:firstLine="480"/>
      </w:pPr>
      <w:r>
        <w:rPr>
          <w:rFonts w:hint="eastAsia"/>
        </w:rPr>
        <w:t>本次评价对普陆4集气平台进行噪声预测，厂界噪声预测情况见表6.2-</w:t>
      </w:r>
      <w:r>
        <w:t>1</w:t>
      </w:r>
      <w:r>
        <w:rPr>
          <w:rFonts w:hint="eastAsia"/>
        </w:rPr>
        <w:t>3。</w:t>
      </w:r>
    </w:p>
    <w:p>
      <w:pPr>
        <w:pStyle w:val="37"/>
      </w:pPr>
      <w:r>
        <w:rPr>
          <w:rFonts w:hint="eastAsia"/>
        </w:rPr>
        <w:t>表</w:t>
      </w:r>
      <w:r>
        <w:t>6.2-1</w:t>
      </w:r>
      <w:r>
        <w:rPr>
          <w:rFonts w:hint="eastAsia"/>
        </w:rPr>
        <w:t>3</w:t>
      </w:r>
      <w:r>
        <w:t xml:space="preserve"> </w:t>
      </w:r>
      <w:r>
        <w:rPr>
          <w:rFonts w:hint="eastAsia"/>
        </w:rPr>
        <w:t xml:space="preserve">普陆4集气平台厂界噪声预测情况 </w:t>
      </w:r>
      <w:r>
        <w:t xml:space="preserve">  </w:t>
      </w:r>
      <w:r>
        <w:rPr>
          <w:rFonts w:hint="eastAsia"/>
        </w:rPr>
        <w:t>单位：</w:t>
      </w:r>
      <w:r>
        <w:t>dB</w:t>
      </w:r>
      <w:r>
        <w:rPr>
          <w:rFonts w:hint="eastAsia"/>
        </w:rPr>
        <w:t>（</w:t>
      </w:r>
      <w:r>
        <w:t>A</w:t>
      </w:r>
      <w:r>
        <w:rPr>
          <w:rFonts w:hint="eastAsia"/>
        </w:rPr>
        <w:t>）</w:t>
      </w:r>
    </w:p>
    <w:tbl>
      <w:tblPr>
        <w:tblStyle w:val="57"/>
        <w:tblW w:w="8777"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345"/>
        <w:gridCol w:w="900"/>
        <w:gridCol w:w="679"/>
        <w:gridCol w:w="975"/>
        <w:gridCol w:w="976"/>
        <w:gridCol w:w="975"/>
        <w:gridCol w:w="976"/>
        <w:gridCol w:w="975"/>
        <w:gridCol w:w="97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58" w:hRule="atLeast"/>
          <w:jc w:val="center"/>
        </w:trPr>
        <w:tc>
          <w:tcPr>
            <w:tcW w:w="1345" w:type="dxa"/>
            <w:vMerge w:val="restart"/>
            <w:vAlign w:val="center"/>
          </w:tcPr>
          <w:p>
            <w:pPr>
              <w:pStyle w:val="112"/>
              <w:spacing w:line="240" w:lineRule="auto"/>
              <w:ind w:firstLine="0" w:firstLineChars="0"/>
              <w:jc w:val="center"/>
              <w:rPr>
                <w:b/>
                <w:bCs/>
                <w:sz w:val="21"/>
                <w:szCs w:val="21"/>
              </w:rPr>
            </w:pPr>
            <w:r>
              <w:rPr>
                <w:rFonts w:hint="eastAsia"/>
                <w:b/>
                <w:bCs/>
                <w:sz w:val="21"/>
                <w:szCs w:val="21"/>
              </w:rPr>
              <w:t>预测点位</w:t>
            </w:r>
          </w:p>
        </w:tc>
        <w:tc>
          <w:tcPr>
            <w:tcW w:w="900" w:type="dxa"/>
            <w:vMerge w:val="restart"/>
            <w:vAlign w:val="center"/>
          </w:tcPr>
          <w:p>
            <w:pPr>
              <w:pStyle w:val="112"/>
              <w:spacing w:line="240" w:lineRule="auto"/>
              <w:ind w:firstLine="0" w:firstLineChars="0"/>
              <w:jc w:val="center"/>
              <w:rPr>
                <w:b/>
                <w:bCs/>
                <w:sz w:val="21"/>
                <w:szCs w:val="21"/>
              </w:rPr>
            </w:pPr>
            <w:r>
              <w:rPr>
                <w:rFonts w:hint="eastAsia"/>
                <w:b/>
                <w:bCs/>
                <w:sz w:val="21"/>
                <w:szCs w:val="21"/>
              </w:rPr>
              <w:t>距离（m）</w:t>
            </w:r>
          </w:p>
        </w:tc>
        <w:tc>
          <w:tcPr>
            <w:tcW w:w="679" w:type="dxa"/>
            <w:vMerge w:val="restart"/>
            <w:vAlign w:val="center"/>
          </w:tcPr>
          <w:p>
            <w:pPr>
              <w:pStyle w:val="112"/>
              <w:spacing w:line="240" w:lineRule="auto"/>
              <w:ind w:firstLine="0" w:firstLineChars="0"/>
              <w:jc w:val="center"/>
              <w:rPr>
                <w:b/>
                <w:bCs/>
                <w:sz w:val="21"/>
                <w:szCs w:val="21"/>
              </w:rPr>
            </w:pPr>
            <w:r>
              <w:rPr>
                <w:rFonts w:hint="eastAsia"/>
                <w:b/>
                <w:bCs/>
                <w:sz w:val="21"/>
                <w:szCs w:val="21"/>
              </w:rPr>
              <w:t>贡献值</w:t>
            </w:r>
          </w:p>
        </w:tc>
        <w:tc>
          <w:tcPr>
            <w:tcW w:w="1951" w:type="dxa"/>
            <w:gridSpan w:val="2"/>
            <w:vAlign w:val="center"/>
          </w:tcPr>
          <w:p>
            <w:pPr>
              <w:pStyle w:val="112"/>
              <w:spacing w:line="240" w:lineRule="auto"/>
              <w:ind w:firstLine="0" w:firstLineChars="0"/>
              <w:jc w:val="center"/>
              <w:rPr>
                <w:b/>
                <w:bCs/>
                <w:sz w:val="21"/>
                <w:szCs w:val="21"/>
              </w:rPr>
            </w:pPr>
            <w:r>
              <w:rPr>
                <w:rFonts w:hint="eastAsia"/>
                <w:b/>
                <w:bCs/>
                <w:sz w:val="21"/>
                <w:szCs w:val="21"/>
              </w:rPr>
              <w:t>背景值</w:t>
            </w:r>
          </w:p>
        </w:tc>
        <w:tc>
          <w:tcPr>
            <w:tcW w:w="1951" w:type="dxa"/>
            <w:gridSpan w:val="2"/>
            <w:vAlign w:val="center"/>
          </w:tcPr>
          <w:p>
            <w:pPr>
              <w:pStyle w:val="112"/>
              <w:spacing w:line="240" w:lineRule="auto"/>
              <w:ind w:firstLine="0" w:firstLineChars="0"/>
              <w:jc w:val="center"/>
              <w:rPr>
                <w:b/>
                <w:bCs/>
                <w:sz w:val="21"/>
                <w:szCs w:val="21"/>
              </w:rPr>
            </w:pPr>
            <w:r>
              <w:rPr>
                <w:rFonts w:hint="eastAsia"/>
                <w:b/>
                <w:bCs/>
                <w:sz w:val="21"/>
                <w:szCs w:val="21"/>
              </w:rPr>
              <w:t>预测值</w:t>
            </w:r>
          </w:p>
        </w:tc>
        <w:tc>
          <w:tcPr>
            <w:tcW w:w="1951" w:type="dxa"/>
            <w:gridSpan w:val="2"/>
            <w:vAlign w:val="center"/>
          </w:tcPr>
          <w:p>
            <w:pPr>
              <w:pStyle w:val="112"/>
              <w:spacing w:line="240" w:lineRule="auto"/>
              <w:ind w:firstLine="0" w:firstLineChars="0"/>
              <w:jc w:val="center"/>
              <w:rPr>
                <w:b/>
                <w:bCs/>
                <w:sz w:val="21"/>
                <w:szCs w:val="21"/>
              </w:rPr>
            </w:pPr>
            <w:r>
              <w:rPr>
                <w:rFonts w:hint="eastAsia"/>
                <w:b/>
                <w:bCs/>
                <w:sz w:val="21"/>
                <w:szCs w:val="21"/>
              </w:rPr>
              <w:t>评价结果</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68" w:hRule="atLeast"/>
          <w:jc w:val="center"/>
        </w:trPr>
        <w:tc>
          <w:tcPr>
            <w:tcW w:w="1345" w:type="dxa"/>
            <w:vMerge w:val="continue"/>
            <w:vAlign w:val="center"/>
          </w:tcPr>
          <w:p>
            <w:pPr>
              <w:pStyle w:val="112"/>
              <w:spacing w:line="240" w:lineRule="auto"/>
              <w:ind w:firstLine="0" w:firstLineChars="0"/>
              <w:jc w:val="center"/>
              <w:rPr>
                <w:b/>
                <w:bCs/>
                <w:sz w:val="21"/>
                <w:szCs w:val="21"/>
              </w:rPr>
            </w:pPr>
          </w:p>
        </w:tc>
        <w:tc>
          <w:tcPr>
            <w:tcW w:w="900" w:type="dxa"/>
            <w:vMerge w:val="continue"/>
            <w:vAlign w:val="center"/>
          </w:tcPr>
          <w:p>
            <w:pPr>
              <w:pStyle w:val="112"/>
              <w:spacing w:line="240" w:lineRule="auto"/>
              <w:ind w:firstLine="0" w:firstLineChars="0"/>
              <w:jc w:val="center"/>
              <w:rPr>
                <w:b/>
                <w:bCs/>
                <w:sz w:val="21"/>
                <w:szCs w:val="21"/>
              </w:rPr>
            </w:pPr>
          </w:p>
        </w:tc>
        <w:tc>
          <w:tcPr>
            <w:tcW w:w="679" w:type="dxa"/>
            <w:vMerge w:val="continue"/>
            <w:vAlign w:val="center"/>
          </w:tcPr>
          <w:p>
            <w:pPr>
              <w:pStyle w:val="112"/>
              <w:spacing w:line="240" w:lineRule="auto"/>
              <w:ind w:firstLine="0" w:firstLineChars="0"/>
              <w:jc w:val="center"/>
              <w:rPr>
                <w:b/>
                <w:bCs/>
                <w:sz w:val="21"/>
                <w:szCs w:val="21"/>
              </w:rPr>
            </w:pPr>
          </w:p>
        </w:tc>
        <w:tc>
          <w:tcPr>
            <w:tcW w:w="975" w:type="dxa"/>
            <w:vAlign w:val="center"/>
          </w:tcPr>
          <w:p>
            <w:pPr>
              <w:pStyle w:val="112"/>
              <w:spacing w:line="240" w:lineRule="auto"/>
              <w:ind w:firstLine="0" w:firstLineChars="0"/>
              <w:jc w:val="center"/>
              <w:rPr>
                <w:b/>
                <w:bCs/>
                <w:sz w:val="21"/>
                <w:szCs w:val="21"/>
              </w:rPr>
            </w:pPr>
            <w:r>
              <w:rPr>
                <w:rFonts w:hint="eastAsia"/>
                <w:b/>
                <w:bCs/>
                <w:sz w:val="21"/>
                <w:szCs w:val="21"/>
              </w:rPr>
              <w:t>昼间</w:t>
            </w:r>
          </w:p>
        </w:tc>
        <w:tc>
          <w:tcPr>
            <w:tcW w:w="976" w:type="dxa"/>
            <w:vAlign w:val="center"/>
          </w:tcPr>
          <w:p>
            <w:pPr>
              <w:pStyle w:val="112"/>
              <w:spacing w:line="240" w:lineRule="auto"/>
              <w:ind w:firstLine="0" w:firstLineChars="0"/>
              <w:jc w:val="center"/>
              <w:rPr>
                <w:b/>
                <w:bCs/>
                <w:sz w:val="21"/>
                <w:szCs w:val="21"/>
              </w:rPr>
            </w:pPr>
            <w:r>
              <w:rPr>
                <w:rFonts w:hint="eastAsia"/>
                <w:b/>
                <w:bCs/>
                <w:sz w:val="21"/>
                <w:szCs w:val="21"/>
              </w:rPr>
              <w:t>夜间</w:t>
            </w:r>
          </w:p>
        </w:tc>
        <w:tc>
          <w:tcPr>
            <w:tcW w:w="975" w:type="dxa"/>
            <w:vAlign w:val="center"/>
          </w:tcPr>
          <w:p>
            <w:pPr>
              <w:pStyle w:val="112"/>
              <w:spacing w:line="240" w:lineRule="auto"/>
              <w:ind w:firstLine="0" w:firstLineChars="0"/>
              <w:jc w:val="center"/>
              <w:rPr>
                <w:b/>
                <w:bCs/>
                <w:sz w:val="21"/>
                <w:szCs w:val="21"/>
              </w:rPr>
            </w:pPr>
            <w:r>
              <w:rPr>
                <w:rFonts w:hint="eastAsia"/>
                <w:b/>
                <w:bCs/>
                <w:sz w:val="21"/>
                <w:szCs w:val="21"/>
              </w:rPr>
              <w:t>昼间</w:t>
            </w:r>
          </w:p>
        </w:tc>
        <w:tc>
          <w:tcPr>
            <w:tcW w:w="976" w:type="dxa"/>
            <w:vAlign w:val="center"/>
          </w:tcPr>
          <w:p>
            <w:pPr>
              <w:pStyle w:val="112"/>
              <w:spacing w:line="240" w:lineRule="auto"/>
              <w:ind w:firstLine="0" w:firstLineChars="0"/>
              <w:jc w:val="center"/>
              <w:rPr>
                <w:b/>
                <w:bCs/>
                <w:sz w:val="21"/>
                <w:szCs w:val="21"/>
              </w:rPr>
            </w:pPr>
            <w:r>
              <w:rPr>
                <w:rFonts w:hint="eastAsia"/>
                <w:b/>
                <w:bCs/>
                <w:sz w:val="21"/>
                <w:szCs w:val="21"/>
              </w:rPr>
              <w:t>夜间</w:t>
            </w:r>
          </w:p>
        </w:tc>
        <w:tc>
          <w:tcPr>
            <w:tcW w:w="975" w:type="dxa"/>
            <w:vAlign w:val="center"/>
          </w:tcPr>
          <w:p>
            <w:pPr>
              <w:pStyle w:val="112"/>
              <w:spacing w:line="240" w:lineRule="auto"/>
              <w:ind w:firstLine="0" w:firstLineChars="0"/>
              <w:jc w:val="center"/>
              <w:rPr>
                <w:b/>
                <w:bCs/>
                <w:sz w:val="21"/>
                <w:szCs w:val="21"/>
              </w:rPr>
            </w:pPr>
            <w:r>
              <w:rPr>
                <w:rFonts w:hint="eastAsia"/>
                <w:b/>
                <w:bCs/>
                <w:sz w:val="21"/>
                <w:szCs w:val="21"/>
              </w:rPr>
              <w:t>昼间</w:t>
            </w:r>
          </w:p>
        </w:tc>
        <w:tc>
          <w:tcPr>
            <w:tcW w:w="976" w:type="dxa"/>
            <w:vAlign w:val="center"/>
          </w:tcPr>
          <w:p>
            <w:pPr>
              <w:pStyle w:val="112"/>
              <w:spacing w:line="240" w:lineRule="auto"/>
              <w:ind w:firstLine="0" w:firstLineChars="0"/>
              <w:jc w:val="center"/>
              <w:rPr>
                <w:b/>
                <w:bCs/>
                <w:sz w:val="21"/>
                <w:szCs w:val="21"/>
              </w:rPr>
            </w:pPr>
            <w:r>
              <w:rPr>
                <w:rFonts w:hint="eastAsia"/>
                <w:b/>
                <w:bCs/>
                <w:sz w:val="21"/>
                <w:szCs w:val="21"/>
              </w:rPr>
              <w:t>夜间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59" w:hRule="atLeast"/>
          <w:jc w:val="center"/>
        </w:trPr>
        <w:tc>
          <w:tcPr>
            <w:tcW w:w="1345" w:type="dxa"/>
            <w:vAlign w:val="center"/>
          </w:tcPr>
          <w:p>
            <w:pPr>
              <w:pStyle w:val="112"/>
              <w:spacing w:line="240" w:lineRule="auto"/>
              <w:ind w:firstLine="0" w:firstLineChars="0"/>
              <w:jc w:val="center"/>
              <w:rPr>
                <w:sz w:val="21"/>
                <w:szCs w:val="21"/>
              </w:rPr>
            </w:pPr>
            <w:r>
              <w:rPr>
                <w:rFonts w:hint="eastAsia"/>
                <w:sz w:val="21"/>
                <w:szCs w:val="21"/>
              </w:rPr>
              <w:t>东侧</w:t>
            </w:r>
          </w:p>
        </w:tc>
        <w:tc>
          <w:tcPr>
            <w:tcW w:w="900" w:type="dxa"/>
            <w:vAlign w:val="center"/>
          </w:tcPr>
          <w:p>
            <w:pPr>
              <w:pStyle w:val="112"/>
              <w:spacing w:line="240" w:lineRule="auto"/>
              <w:ind w:firstLine="0" w:firstLineChars="0"/>
              <w:jc w:val="center"/>
              <w:rPr>
                <w:sz w:val="21"/>
                <w:szCs w:val="21"/>
              </w:rPr>
            </w:pPr>
            <w:r>
              <w:rPr>
                <w:rFonts w:hint="eastAsia"/>
                <w:sz w:val="21"/>
                <w:szCs w:val="21"/>
              </w:rPr>
              <w:t>25</w:t>
            </w:r>
          </w:p>
        </w:tc>
        <w:tc>
          <w:tcPr>
            <w:tcW w:w="679" w:type="dxa"/>
            <w:vAlign w:val="center"/>
          </w:tcPr>
          <w:p>
            <w:pPr>
              <w:pStyle w:val="112"/>
              <w:spacing w:line="240" w:lineRule="auto"/>
              <w:ind w:firstLine="0" w:firstLineChars="0"/>
              <w:jc w:val="center"/>
              <w:rPr>
                <w:sz w:val="21"/>
                <w:szCs w:val="21"/>
              </w:rPr>
            </w:pPr>
            <w:r>
              <w:rPr>
                <w:rFonts w:hint="eastAsia"/>
                <w:sz w:val="21"/>
                <w:szCs w:val="21"/>
              </w:rPr>
              <w:t>42</w:t>
            </w:r>
          </w:p>
        </w:tc>
        <w:tc>
          <w:tcPr>
            <w:tcW w:w="975" w:type="dxa"/>
            <w:vAlign w:val="center"/>
          </w:tcPr>
          <w:p>
            <w:pPr>
              <w:pStyle w:val="112"/>
              <w:spacing w:line="240" w:lineRule="auto"/>
              <w:ind w:firstLine="0" w:firstLineChars="0"/>
              <w:jc w:val="center"/>
              <w:rPr>
                <w:sz w:val="21"/>
                <w:szCs w:val="21"/>
              </w:rPr>
            </w:pPr>
            <w:r>
              <w:rPr>
                <w:rFonts w:hint="eastAsia"/>
                <w:sz w:val="21"/>
                <w:szCs w:val="21"/>
              </w:rPr>
              <w:t>/</w:t>
            </w:r>
          </w:p>
        </w:tc>
        <w:tc>
          <w:tcPr>
            <w:tcW w:w="976" w:type="dxa"/>
            <w:vAlign w:val="center"/>
          </w:tcPr>
          <w:p>
            <w:pPr>
              <w:pStyle w:val="112"/>
              <w:spacing w:line="240" w:lineRule="auto"/>
              <w:ind w:firstLine="0" w:firstLineChars="0"/>
              <w:jc w:val="center"/>
              <w:rPr>
                <w:sz w:val="21"/>
                <w:szCs w:val="21"/>
              </w:rPr>
            </w:pPr>
            <w:r>
              <w:rPr>
                <w:rFonts w:hint="eastAsia"/>
                <w:sz w:val="21"/>
                <w:szCs w:val="21"/>
              </w:rPr>
              <w:t>/</w:t>
            </w:r>
          </w:p>
        </w:tc>
        <w:tc>
          <w:tcPr>
            <w:tcW w:w="975" w:type="dxa"/>
            <w:vAlign w:val="center"/>
          </w:tcPr>
          <w:p>
            <w:pPr>
              <w:pStyle w:val="112"/>
              <w:spacing w:line="240" w:lineRule="auto"/>
              <w:ind w:firstLine="0" w:firstLineChars="0"/>
              <w:jc w:val="center"/>
              <w:rPr>
                <w:sz w:val="21"/>
                <w:szCs w:val="21"/>
              </w:rPr>
            </w:pPr>
            <w:r>
              <w:rPr>
                <w:rFonts w:hint="eastAsia"/>
                <w:sz w:val="21"/>
                <w:szCs w:val="21"/>
              </w:rPr>
              <w:t>42</w:t>
            </w:r>
          </w:p>
        </w:tc>
        <w:tc>
          <w:tcPr>
            <w:tcW w:w="976" w:type="dxa"/>
            <w:vAlign w:val="center"/>
          </w:tcPr>
          <w:p>
            <w:pPr>
              <w:pStyle w:val="112"/>
              <w:spacing w:line="240" w:lineRule="auto"/>
              <w:ind w:firstLine="0" w:firstLineChars="0"/>
              <w:jc w:val="center"/>
              <w:rPr>
                <w:sz w:val="21"/>
                <w:szCs w:val="21"/>
              </w:rPr>
            </w:pPr>
            <w:r>
              <w:rPr>
                <w:rFonts w:hint="eastAsia"/>
                <w:sz w:val="21"/>
                <w:szCs w:val="21"/>
              </w:rPr>
              <w:t>42</w:t>
            </w:r>
          </w:p>
        </w:tc>
        <w:tc>
          <w:tcPr>
            <w:tcW w:w="975" w:type="dxa"/>
            <w:vAlign w:val="center"/>
          </w:tcPr>
          <w:p>
            <w:pPr>
              <w:pStyle w:val="112"/>
              <w:spacing w:line="240" w:lineRule="auto"/>
              <w:ind w:firstLine="0" w:firstLineChars="0"/>
              <w:jc w:val="center"/>
              <w:rPr>
                <w:sz w:val="21"/>
                <w:szCs w:val="21"/>
              </w:rPr>
            </w:pPr>
            <w:r>
              <w:rPr>
                <w:sz w:val="21"/>
                <w:szCs w:val="21"/>
              </w:rPr>
              <w:t>达标</w:t>
            </w:r>
          </w:p>
        </w:tc>
        <w:tc>
          <w:tcPr>
            <w:tcW w:w="976" w:type="dxa"/>
          </w:tcPr>
          <w:p>
            <w:pPr>
              <w:pStyle w:val="112"/>
              <w:spacing w:line="240" w:lineRule="auto"/>
              <w:ind w:firstLine="0" w:firstLineChars="0"/>
              <w:jc w:val="center"/>
              <w:rPr>
                <w:sz w:val="21"/>
                <w:szCs w:val="21"/>
              </w:rPr>
            </w:pPr>
            <w:r>
              <w:rPr>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59" w:hRule="atLeast"/>
          <w:jc w:val="center"/>
        </w:trPr>
        <w:tc>
          <w:tcPr>
            <w:tcW w:w="1345" w:type="dxa"/>
            <w:vAlign w:val="center"/>
          </w:tcPr>
          <w:p>
            <w:pPr>
              <w:pStyle w:val="112"/>
              <w:spacing w:line="240" w:lineRule="auto"/>
              <w:ind w:firstLine="0" w:firstLineChars="0"/>
              <w:jc w:val="center"/>
              <w:rPr>
                <w:sz w:val="21"/>
                <w:szCs w:val="21"/>
              </w:rPr>
            </w:pPr>
            <w:r>
              <w:rPr>
                <w:rFonts w:hint="eastAsia"/>
                <w:sz w:val="21"/>
                <w:szCs w:val="21"/>
              </w:rPr>
              <w:t>南侧</w:t>
            </w:r>
          </w:p>
        </w:tc>
        <w:tc>
          <w:tcPr>
            <w:tcW w:w="900" w:type="dxa"/>
            <w:vAlign w:val="center"/>
          </w:tcPr>
          <w:p>
            <w:pPr>
              <w:pStyle w:val="112"/>
              <w:spacing w:line="240" w:lineRule="auto"/>
              <w:ind w:firstLine="0" w:firstLineChars="0"/>
              <w:jc w:val="center"/>
              <w:rPr>
                <w:sz w:val="21"/>
                <w:szCs w:val="21"/>
              </w:rPr>
            </w:pPr>
            <w:r>
              <w:rPr>
                <w:rFonts w:hint="eastAsia"/>
                <w:sz w:val="21"/>
                <w:szCs w:val="21"/>
              </w:rPr>
              <w:t>100</w:t>
            </w:r>
          </w:p>
        </w:tc>
        <w:tc>
          <w:tcPr>
            <w:tcW w:w="679" w:type="dxa"/>
            <w:vAlign w:val="center"/>
          </w:tcPr>
          <w:p>
            <w:pPr>
              <w:pStyle w:val="112"/>
              <w:spacing w:line="240" w:lineRule="auto"/>
              <w:ind w:firstLine="0" w:firstLineChars="0"/>
              <w:jc w:val="center"/>
              <w:rPr>
                <w:sz w:val="21"/>
                <w:szCs w:val="21"/>
              </w:rPr>
            </w:pPr>
            <w:r>
              <w:rPr>
                <w:rFonts w:hint="eastAsia"/>
                <w:sz w:val="21"/>
                <w:szCs w:val="21"/>
              </w:rPr>
              <w:t>30.1</w:t>
            </w:r>
          </w:p>
        </w:tc>
        <w:tc>
          <w:tcPr>
            <w:tcW w:w="975" w:type="dxa"/>
            <w:vAlign w:val="center"/>
          </w:tcPr>
          <w:p>
            <w:pPr>
              <w:pStyle w:val="112"/>
              <w:spacing w:line="240" w:lineRule="auto"/>
              <w:ind w:firstLine="0" w:firstLineChars="0"/>
              <w:jc w:val="center"/>
              <w:rPr>
                <w:sz w:val="21"/>
                <w:szCs w:val="21"/>
              </w:rPr>
            </w:pPr>
            <w:r>
              <w:rPr>
                <w:rFonts w:hint="eastAsia"/>
                <w:sz w:val="21"/>
                <w:szCs w:val="21"/>
              </w:rPr>
              <w:t>/</w:t>
            </w:r>
          </w:p>
        </w:tc>
        <w:tc>
          <w:tcPr>
            <w:tcW w:w="976" w:type="dxa"/>
            <w:vAlign w:val="center"/>
          </w:tcPr>
          <w:p>
            <w:pPr>
              <w:pStyle w:val="112"/>
              <w:spacing w:line="240" w:lineRule="auto"/>
              <w:ind w:firstLine="0" w:firstLineChars="0"/>
              <w:jc w:val="center"/>
              <w:rPr>
                <w:sz w:val="21"/>
                <w:szCs w:val="21"/>
              </w:rPr>
            </w:pPr>
            <w:r>
              <w:rPr>
                <w:rFonts w:hint="eastAsia"/>
                <w:sz w:val="21"/>
                <w:szCs w:val="21"/>
              </w:rPr>
              <w:t>/</w:t>
            </w:r>
          </w:p>
        </w:tc>
        <w:tc>
          <w:tcPr>
            <w:tcW w:w="975" w:type="dxa"/>
            <w:vAlign w:val="center"/>
          </w:tcPr>
          <w:p>
            <w:pPr>
              <w:pStyle w:val="112"/>
              <w:spacing w:line="240" w:lineRule="auto"/>
              <w:ind w:firstLine="0" w:firstLineChars="0"/>
              <w:jc w:val="center"/>
              <w:rPr>
                <w:sz w:val="21"/>
                <w:szCs w:val="21"/>
              </w:rPr>
            </w:pPr>
            <w:r>
              <w:rPr>
                <w:rFonts w:hint="eastAsia"/>
                <w:sz w:val="21"/>
                <w:szCs w:val="21"/>
              </w:rPr>
              <w:t>30.1</w:t>
            </w:r>
          </w:p>
        </w:tc>
        <w:tc>
          <w:tcPr>
            <w:tcW w:w="976" w:type="dxa"/>
            <w:vAlign w:val="center"/>
          </w:tcPr>
          <w:p>
            <w:pPr>
              <w:pStyle w:val="112"/>
              <w:spacing w:line="240" w:lineRule="auto"/>
              <w:ind w:firstLine="0" w:firstLineChars="0"/>
              <w:jc w:val="center"/>
              <w:rPr>
                <w:sz w:val="21"/>
                <w:szCs w:val="21"/>
              </w:rPr>
            </w:pPr>
            <w:r>
              <w:rPr>
                <w:rFonts w:hint="eastAsia"/>
                <w:sz w:val="21"/>
                <w:szCs w:val="21"/>
              </w:rPr>
              <w:t>30.1</w:t>
            </w:r>
          </w:p>
        </w:tc>
        <w:tc>
          <w:tcPr>
            <w:tcW w:w="975" w:type="dxa"/>
          </w:tcPr>
          <w:p>
            <w:pPr>
              <w:pStyle w:val="112"/>
              <w:spacing w:line="240" w:lineRule="auto"/>
              <w:ind w:firstLine="0" w:firstLineChars="0"/>
              <w:jc w:val="center"/>
              <w:rPr>
                <w:sz w:val="21"/>
                <w:szCs w:val="21"/>
              </w:rPr>
            </w:pPr>
            <w:r>
              <w:rPr>
                <w:sz w:val="21"/>
                <w:szCs w:val="21"/>
              </w:rPr>
              <w:t>达标</w:t>
            </w:r>
          </w:p>
        </w:tc>
        <w:tc>
          <w:tcPr>
            <w:tcW w:w="976" w:type="dxa"/>
          </w:tcPr>
          <w:p>
            <w:pPr>
              <w:pStyle w:val="112"/>
              <w:spacing w:line="240" w:lineRule="auto"/>
              <w:ind w:firstLine="0" w:firstLineChars="0"/>
              <w:jc w:val="center"/>
              <w:rPr>
                <w:sz w:val="21"/>
                <w:szCs w:val="21"/>
              </w:rPr>
            </w:pPr>
            <w:r>
              <w:rPr>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59" w:hRule="atLeast"/>
          <w:jc w:val="center"/>
        </w:trPr>
        <w:tc>
          <w:tcPr>
            <w:tcW w:w="1345" w:type="dxa"/>
            <w:vAlign w:val="center"/>
          </w:tcPr>
          <w:p>
            <w:pPr>
              <w:pStyle w:val="112"/>
              <w:spacing w:line="240" w:lineRule="auto"/>
              <w:ind w:firstLine="0" w:firstLineChars="0"/>
              <w:jc w:val="center"/>
              <w:rPr>
                <w:sz w:val="21"/>
                <w:szCs w:val="21"/>
              </w:rPr>
            </w:pPr>
            <w:r>
              <w:rPr>
                <w:rFonts w:hint="eastAsia"/>
                <w:sz w:val="21"/>
                <w:szCs w:val="21"/>
              </w:rPr>
              <w:t>西侧</w:t>
            </w:r>
          </w:p>
        </w:tc>
        <w:tc>
          <w:tcPr>
            <w:tcW w:w="900" w:type="dxa"/>
            <w:vAlign w:val="center"/>
          </w:tcPr>
          <w:p>
            <w:pPr>
              <w:pStyle w:val="112"/>
              <w:spacing w:line="240" w:lineRule="auto"/>
              <w:ind w:firstLine="0" w:firstLineChars="0"/>
              <w:jc w:val="center"/>
              <w:rPr>
                <w:sz w:val="21"/>
                <w:szCs w:val="21"/>
              </w:rPr>
            </w:pPr>
            <w:r>
              <w:rPr>
                <w:rFonts w:hint="eastAsia"/>
                <w:sz w:val="21"/>
                <w:szCs w:val="21"/>
              </w:rPr>
              <w:t>30</w:t>
            </w:r>
          </w:p>
        </w:tc>
        <w:tc>
          <w:tcPr>
            <w:tcW w:w="679" w:type="dxa"/>
            <w:vAlign w:val="center"/>
          </w:tcPr>
          <w:p>
            <w:pPr>
              <w:pStyle w:val="112"/>
              <w:spacing w:line="240" w:lineRule="auto"/>
              <w:ind w:firstLine="0" w:firstLineChars="0"/>
              <w:jc w:val="center"/>
              <w:rPr>
                <w:sz w:val="21"/>
                <w:szCs w:val="21"/>
              </w:rPr>
            </w:pPr>
            <w:r>
              <w:rPr>
                <w:rFonts w:hint="eastAsia"/>
                <w:sz w:val="21"/>
                <w:szCs w:val="21"/>
              </w:rPr>
              <w:t>40.5</w:t>
            </w:r>
          </w:p>
        </w:tc>
        <w:tc>
          <w:tcPr>
            <w:tcW w:w="975" w:type="dxa"/>
            <w:vAlign w:val="center"/>
          </w:tcPr>
          <w:p>
            <w:pPr>
              <w:pStyle w:val="112"/>
              <w:spacing w:line="240" w:lineRule="auto"/>
              <w:ind w:firstLine="0" w:firstLineChars="0"/>
              <w:jc w:val="center"/>
              <w:rPr>
                <w:sz w:val="21"/>
                <w:szCs w:val="21"/>
              </w:rPr>
            </w:pPr>
            <w:r>
              <w:rPr>
                <w:rFonts w:hint="eastAsia"/>
                <w:sz w:val="21"/>
                <w:szCs w:val="21"/>
              </w:rPr>
              <w:t>/</w:t>
            </w:r>
          </w:p>
        </w:tc>
        <w:tc>
          <w:tcPr>
            <w:tcW w:w="976" w:type="dxa"/>
            <w:vAlign w:val="center"/>
          </w:tcPr>
          <w:p>
            <w:pPr>
              <w:pStyle w:val="112"/>
              <w:spacing w:line="240" w:lineRule="auto"/>
              <w:ind w:firstLine="0" w:firstLineChars="0"/>
              <w:jc w:val="center"/>
              <w:rPr>
                <w:sz w:val="21"/>
                <w:szCs w:val="21"/>
              </w:rPr>
            </w:pPr>
            <w:r>
              <w:rPr>
                <w:rFonts w:hint="eastAsia"/>
                <w:sz w:val="21"/>
                <w:szCs w:val="21"/>
              </w:rPr>
              <w:t>/</w:t>
            </w:r>
          </w:p>
        </w:tc>
        <w:tc>
          <w:tcPr>
            <w:tcW w:w="975" w:type="dxa"/>
            <w:vAlign w:val="center"/>
          </w:tcPr>
          <w:p>
            <w:pPr>
              <w:pStyle w:val="112"/>
              <w:spacing w:line="240" w:lineRule="auto"/>
              <w:ind w:firstLine="0" w:firstLineChars="0"/>
              <w:jc w:val="center"/>
              <w:rPr>
                <w:sz w:val="21"/>
                <w:szCs w:val="21"/>
              </w:rPr>
            </w:pPr>
            <w:r>
              <w:rPr>
                <w:rFonts w:hint="eastAsia"/>
                <w:sz w:val="21"/>
                <w:szCs w:val="21"/>
              </w:rPr>
              <w:t>40.5</w:t>
            </w:r>
          </w:p>
        </w:tc>
        <w:tc>
          <w:tcPr>
            <w:tcW w:w="976" w:type="dxa"/>
            <w:vAlign w:val="center"/>
          </w:tcPr>
          <w:p>
            <w:pPr>
              <w:pStyle w:val="112"/>
              <w:spacing w:line="240" w:lineRule="auto"/>
              <w:ind w:firstLine="0" w:firstLineChars="0"/>
              <w:jc w:val="center"/>
              <w:rPr>
                <w:sz w:val="21"/>
                <w:szCs w:val="21"/>
              </w:rPr>
            </w:pPr>
            <w:r>
              <w:rPr>
                <w:rFonts w:hint="eastAsia"/>
                <w:sz w:val="21"/>
                <w:szCs w:val="21"/>
              </w:rPr>
              <w:t>40.5</w:t>
            </w:r>
          </w:p>
        </w:tc>
        <w:tc>
          <w:tcPr>
            <w:tcW w:w="975" w:type="dxa"/>
          </w:tcPr>
          <w:p>
            <w:pPr>
              <w:pStyle w:val="112"/>
              <w:spacing w:line="240" w:lineRule="auto"/>
              <w:ind w:firstLine="0" w:firstLineChars="0"/>
              <w:jc w:val="center"/>
              <w:rPr>
                <w:sz w:val="21"/>
                <w:szCs w:val="21"/>
              </w:rPr>
            </w:pPr>
            <w:r>
              <w:rPr>
                <w:sz w:val="21"/>
                <w:szCs w:val="21"/>
              </w:rPr>
              <w:t>达标</w:t>
            </w:r>
          </w:p>
        </w:tc>
        <w:tc>
          <w:tcPr>
            <w:tcW w:w="976" w:type="dxa"/>
          </w:tcPr>
          <w:p>
            <w:pPr>
              <w:pStyle w:val="112"/>
              <w:spacing w:line="240" w:lineRule="auto"/>
              <w:ind w:firstLine="0" w:firstLineChars="0"/>
              <w:jc w:val="center"/>
              <w:rPr>
                <w:sz w:val="21"/>
                <w:szCs w:val="21"/>
              </w:rPr>
            </w:pPr>
            <w:r>
              <w:rPr>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07" w:hRule="atLeast"/>
          <w:jc w:val="center"/>
        </w:trPr>
        <w:tc>
          <w:tcPr>
            <w:tcW w:w="1345" w:type="dxa"/>
            <w:vAlign w:val="center"/>
          </w:tcPr>
          <w:p>
            <w:pPr>
              <w:pStyle w:val="112"/>
              <w:spacing w:line="240" w:lineRule="auto"/>
              <w:ind w:firstLine="0" w:firstLineChars="0"/>
              <w:jc w:val="center"/>
              <w:rPr>
                <w:sz w:val="21"/>
                <w:szCs w:val="21"/>
              </w:rPr>
            </w:pPr>
            <w:r>
              <w:rPr>
                <w:rFonts w:hint="eastAsia"/>
                <w:sz w:val="21"/>
                <w:szCs w:val="21"/>
              </w:rPr>
              <w:t>北侧</w:t>
            </w:r>
          </w:p>
        </w:tc>
        <w:tc>
          <w:tcPr>
            <w:tcW w:w="900" w:type="dxa"/>
            <w:vAlign w:val="center"/>
          </w:tcPr>
          <w:p>
            <w:pPr>
              <w:pStyle w:val="112"/>
              <w:spacing w:line="240" w:lineRule="auto"/>
              <w:ind w:firstLine="0" w:firstLineChars="0"/>
              <w:jc w:val="center"/>
              <w:rPr>
                <w:sz w:val="21"/>
                <w:szCs w:val="21"/>
              </w:rPr>
            </w:pPr>
            <w:r>
              <w:rPr>
                <w:rFonts w:hint="eastAsia"/>
                <w:sz w:val="21"/>
                <w:szCs w:val="21"/>
              </w:rPr>
              <w:t>15</w:t>
            </w:r>
          </w:p>
        </w:tc>
        <w:tc>
          <w:tcPr>
            <w:tcW w:w="679" w:type="dxa"/>
            <w:vAlign w:val="center"/>
          </w:tcPr>
          <w:p>
            <w:pPr>
              <w:pStyle w:val="112"/>
              <w:spacing w:line="240" w:lineRule="auto"/>
              <w:ind w:firstLine="0" w:firstLineChars="0"/>
              <w:jc w:val="center"/>
              <w:rPr>
                <w:sz w:val="21"/>
                <w:szCs w:val="21"/>
              </w:rPr>
            </w:pPr>
            <w:r>
              <w:rPr>
                <w:rFonts w:hint="eastAsia"/>
                <w:sz w:val="21"/>
                <w:szCs w:val="21"/>
              </w:rPr>
              <w:t>46.5</w:t>
            </w:r>
          </w:p>
        </w:tc>
        <w:tc>
          <w:tcPr>
            <w:tcW w:w="975" w:type="dxa"/>
            <w:vAlign w:val="center"/>
          </w:tcPr>
          <w:p>
            <w:pPr>
              <w:pStyle w:val="112"/>
              <w:spacing w:line="240" w:lineRule="auto"/>
              <w:ind w:firstLine="0" w:firstLineChars="0"/>
              <w:jc w:val="center"/>
              <w:rPr>
                <w:sz w:val="21"/>
                <w:szCs w:val="21"/>
              </w:rPr>
            </w:pPr>
            <w:r>
              <w:rPr>
                <w:rFonts w:hint="eastAsia"/>
                <w:sz w:val="21"/>
                <w:szCs w:val="21"/>
              </w:rPr>
              <w:t>/</w:t>
            </w:r>
          </w:p>
        </w:tc>
        <w:tc>
          <w:tcPr>
            <w:tcW w:w="976" w:type="dxa"/>
            <w:vAlign w:val="center"/>
          </w:tcPr>
          <w:p>
            <w:pPr>
              <w:pStyle w:val="112"/>
              <w:spacing w:line="240" w:lineRule="auto"/>
              <w:ind w:firstLine="0" w:firstLineChars="0"/>
              <w:jc w:val="center"/>
              <w:rPr>
                <w:sz w:val="21"/>
                <w:szCs w:val="21"/>
              </w:rPr>
            </w:pPr>
            <w:r>
              <w:rPr>
                <w:rFonts w:hint="eastAsia"/>
                <w:sz w:val="21"/>
                <w:szCs w:val="21"/>
              </w:rPr>
              <w:t>/</w:t>
            </w:r>
          </w:p>
        </w:tc>
        <w:tc>
          <w:tcPr>
            <w:tcW w:w="975" w:type="dxa"/>
            <w:vAlign w:val="center"/>
          </w:tcPr>
          <w:p>
            <w:pPr>
              <w:pStyle w:val="112"/>
              <w:spacing w:line="240" w:lineRule="auto"/>
              <w:ind w:firstLine="0" w:firstLineChars="0"/>
              <w:jc w:val="center"/>
              <w:rPr>
                <w:sz w:val="21"/>
                <w:szCs w:val="21"/>
              </w:rPr>
            </w:pPr>
            <w:r>
              <w:rPr>
                <w:rFonts w:hint="eastAsia"/>
                <w:sz w:val="21"/>
                <w:szCs w:val="21"/>
              </w:rPr>
              <w:t>46.5</w:t>
            </w:r>
          </w:p>
        </w:tc>
        <w:tc>
          <w:tcPr>
            <w:tcW w:w="976" w:type="dxa"/>
            <w:vAlign w:val="center"/>
          </w:tcPr>
          <w:p>
            <w:pPr>
              <w:pStyle w:val="112"/>
              <w:spacing w:line="240" w:lineRule="auto"/>
              <w:ind w:firstLine="0" w:firstLineChars="0"/>
              <w:jc w:val="center"/>
              <w:rPr>
                <w:sz w:val="21"/>
                <w:szCs w:val="21"/>
              </w:rPr>
            </w:pPr>
            <w:r>
              <w:rPr>
                <w:rFonts w:hint="eastAsia"/>
                <w:sz w:val="21"/>
                <w:szCs w:val="21"/>
              </w:rPr>
              <w:t>46.5</w:t>
            </w:r>
          </w:p>
        </w:tc>
        <w:tc>
          <w:tcPr>
            <w:tcW w:w="975" w:type="dxa"/>
          </w:tcPr>
          <w:p>
            <w:pPr>
              <w:pStyle w:val="112"/>
              <w:spacing w:line="240" w:lineRule="auto"/>
              <w:ind w:firstLine="0" w:firstLineChars="0"/>
              <w:jc w:val="center"/>
              <w:rPr>
                <w:sz w:val="21"/>
                <w:szCs w:val="21"/>
              </w:rPr>
            </w:pPr>
            <w:r>
              <w:rPr>
                <w:sz w:val="21"/>
                <w:szCs w:val="21"/>
              </w:rPr>
              <w:t>达标</w:t>
            </w:r>
          </w:p>
        </w:tc>
        <w:tc>
          <w:tcPr>
            <w:tcW w:w="976" w:type="dxa"/>
          </w:tcPr>
          <w:p>
            <w:pPr>
              <w:pStyle w:val="112"/>
              <w:spacing w:line="240" w:lineRule="auto"/>
              <w:ind w:firstLine="0" w:firstLineChars="0"/>
              <w:jc w:val="center"/>
              <w:rPr>
                <w:sz w:val="21"/>
                <w:szCs w:val="21"/>
              </w:rPr>
            </w:pPr>
            <w:r>
              <w:rPr>
                <w:sz w:val="21"/>
                <w:szCs w:val="21"/>
              </w:rPr>
              <w:t>达标</w:t>
            </w:r>
          </w:p>
        </w:tc>
      </w:tr>
    </w:tbl>
    <w:p>
      <w:pPr>
        <w:pStyle w:val="112"/>
        <w:ind w:firstLine="480"/>
      </w:pPr>
      <w:r>
        <w:t>由表</w:t>
      </w:r>
      <w:r>
        <w:rPr>
          <w:rFonts w:eastAsia="TimesNewRomanPSMT"/>
        </w:rPr>
        <w:t>6.2-15</w:t>
      </w:r>
      <w:r>
        <w:t xml:space="preserve">结果可见， </w:t>
      </w:r>
      <w:r>
        <w:rPr>
          <w:rFonts w:hint="eastAsia"/>
        </w:rPr>
        <w:t>普陆4集气平台</w:t>
      </w:r>
      <w:r>
        <w:t>厂界噪声均能满足《工业企业厂界环境噪声排放标准》（</w:t>
      </w:r>
      <w:r>
        <w:rPr>
          <w:rFonts w:eastAsia="TimesNewRomanPSMT"/>
        </w:rPr>
        <w:t>GB12348-2008</w:t>
      </w:r>
      <w:r>
        <w:t>）中</w:t>
      </w:r>
      <w:r>
        <w:rPr>
          <w:rFonts w:eastAsia="TimesNewRomanPSMT"/>
        </w:rPr>
        <w:t>2</w:t>
      </w:r>
      <w:r>
        <w:t>类标准。</w:t>
      </w:r>
    </w:p>
    <w:p>
      <w:pPr>
        <w:pStyle w:val="112"/>
        <w:ind w:firstLine="482"/>
        <w:rPr>
          <w:b/>
          <w:bCs/>
        </w:rPr>
      </w:pPr>
      <w:r>
        <w:rPr>
          <w:b/>
          <w:bCs/>
        </w:rPr>
        <w:t>2、</w:t>
      </w:r>
      <w:r>
        <w:rPr>
          <w:rFonts w:hint="eastAsia"/>
          <w:b/>
          <w:bCs/>
        </w:rPr>
        <w:t>放空噪声</w:t>
      </w:r>
    </w:p>
    <w:p>
      <w:pPr>
        <w:pStyle w:val="112"/>
        <w:ind w:firstLine="480"/>
      </w:pPr>
      <w:r>
        <w:rPr>
          <w:rFonts w:hint="eastAsia"/>
        </w:rPr>
        <w:t>此外，在事故或检修情况将对设备和管道内的天然气进行点火放空，此过程将产生放空噪声，放空噪声值约为</w:t>
      </w:r>
      <w:r>
        <w:t>90dB</w:t>
      </w:r>
      <w:r>
        <w:rPr>
          <w:rFonts w:hint="eastAsia"/>
        </w:rPr>
        <w:t>（</w:t>
      </w:r>
      <w:r>
        <w:t>A</w:t>
      </w:r>
      <w:r>
        <w:rPr>
          <w:rFonts w:hint="eastAsia"/>
        </w:rPr>
        <w:t>）；但放空噪声一年出现</w:t>
      </w:r>
      <w:r>
        <w:t>2~5</w:t>
      </w:r>
      <w:r>
        <w:rPr>
          <w:rFonts w:hint="eastAsia"/>
        </w:rPr>
        <w:t>次，属于偶发噪声，不属于正常工况下的噪声。普陆4集气平台在检修和事故状态下，放空噪声对最近敏感点的预测结果见下表。</w:t>
      </w:r>
    </w:p>
    <w:p>
      <w:pPr>
        <w:pStyle w:val="37"/>
      </w:pPr>
      <w:r>
        <w:rPr>
          <w:rFonts w:hint="eastAsia"/>
        </w:rPr>
        <w:t>表</w:t>
      </w:r>
      <w:r>
        <w:t>6.2-1</w:t>
      </w:r>
      <w:r>
        <w:rPr>
          <w:rFonts w:hint="eastAsia"/>
        </w:rPr>
        <w:t>4</w:t>
      </w:r>
      <w:r>
        <w:t xml:space="preserve"> </w:t>
      </w:r>
      <w:r>
        <w:rPr>
          <w:rFonts w:hint="eastAsia"/>
          <w:szCs w:val="21"/>
        </w:rPr>
        <w:t>非正常工况下敏感目标噪声预测</w:t>
      </w:r>
    </w:p>
    <w:tbl>
      <w:tblPr>
        <w:tblStyle w:val="57"/>
        <w:tblW w:w="8777"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345"/>
        <w:gridCol w:w="900"/>
        <w:gridCol w:w="679"/>
        <w:gridCol w:w="975"/>
        <w:gridCol w:w="976"/>
        <w:gridCol w:w="975"/>
        <w:gridCol w:w="976"/>
        <w:gridCol w:w="975"/>
        <w:gridCol w:w="97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58" w:hRule="atLeast"/>
          <w:jc w:val="center"/>
        </w:trPr>
        <w:tc>
          <w:tcPr>
            <w:tcW w:w="1345" w:type="dxa"/>
            <w:vMerge w:val="restart"/>
            <w:vAlign w:val="center"/>
          </w:tcPr>
          <w:p>
            <w:pPr>
              <w:pStyle w:val="112"/>
              <w:spacing w:line="240" w:lineRule="auto"/>
              <w:ind w:firstLine="0" w:firstLineChars="0"/>
              <w:jc w:val="center"/>
              <w:rPr>
                <w:b/>
                <w:bCs/>
                <w:sz w:val="21"/>
                <w:szCs w:val="21"/>
              </w:rPr>
            </w:pPr>
            <w:r>
              <w:rPr>
                <w:rFonts w:hint="eastAsia"/>
                <w:b/>
                <w:bCs/>
                <w:sz w:val="21"/>
                <w:szCs w:val="21"/>
              </w:rPr>
              <w:t>敏感点</w:t>
            </w:r>
          </w:p>
        </w:tc>
        <w:tc>
          <w:tcPr>
            <w:tcW w:w="900" w:type="dxa"/>
            <w:vMerge w:val="restart"/>
            <w:vAlign w:val="center"/>
          </w:tcPr>
          <w:p>
            <w:pPr>
              <w:pStyle w:val="112"/>
              <w:spacing w:line="240" w:lineRule="auto"/>
              <w:ind w:firstLine="0" w:firstLineChars="0"/>
              <w:jc w:val="center"/>
              <w:rPr>
                <w:b/>
                <w:bCs/>
                <w:sz w:val="21"/>
                <w:szCs w:val="21"/>
              </w:rPr>
            </w:pPr>
            <w:r>
              <w:rPr>
                <w:rFonts w:hint="eastAsia"/>
                <w:b/>
                <w:bCs/>
                <w:sz w:val="21"/>
                <w:szCs w:val="21"/>
              </w:rPr>
              <w:t>距离放空系统距离</w:t>
            </w:r>
          </w:p>
        </w:tc>
        <w:tc>
          <w:tcPr>
            <w:tcW w:w="679" w:type="dxa"/>
            <w:vMerge w:val="restart"/>
            <w:vAlign w:val="center"/>
          </w:tcPr>
          <w:p>
            <w:pPr>
              <w:pStyle w:val="112"/>
              <w:spacing w:line="240" w:lineRule="auto"/>
              <w:ind w:firstLine="0" w:firstLineChars="0"/>
              <w:jc w:val="center"/>
              <w:rPr>
                <w:b/>
                <w:bCs/>
                <w:sz w:val="21"/>
                <w:szCs w:val="21"/>
              </w:rPr>
            </w:pPr>
            <w:r>
              <w:rPr>
                <w:rFonts w:hint="eastAsia"/>
                <w:b/>
                <w:bCs/>
                <w:sz w:val="21"/>
                <w:szCs w:val="21"/>
              </w:rPr>
              <w:t>贡献值</w:t>
            </w:r>
          </w:p>
        </w:tc>
        <w:tc>
          <w:tcPr>
            <w:tcW w:w="1951" w:type="dxa"/>
            <w:gridSpan w:val="2"/>
            <w:vAlign w:val="center"/>
          </w:tcPr>
          <w:p>
            <w:pPr>
              <w:pStyle w:val="112"/>
              <w:spacing w:line="240" w:lineRule="auto"/>
              <w:ind w:firstLine="0" w:firstLineChars="0"/>
              <w:jc w:val="center"/>
              <w:rPr>
                <w:b/>
                <w:bCs/>
                <w:sz w:val="21"/>
                <w:szCs w:val="21"/>
              </w:rPr>
            </w:pPr>
            <w:r>
              <w:rPr>
                <w:rFonts w:hint="eastAsia"/>
                <w:b/>
                <w:bCs/>
                <w:sz w:val="21"/>
                <w:szCs w:val="21"/>
              </w:rPr>
              <w:t>背景值</w:t>
            </w:r>
          </w:p>
        </w:tc>
        <w:tc>
          <w:tcPr>
            <w:tcW w:w="1951" w:type="dxa"/>
            <w:gridSpan w:val="2"/>
            <w:vAlign w:val="center"/>
          </w:tcPr>
          <w:p>
            <w:pPr>
              <w:pStyle w:val="112"/>
              <w:spacing w:line="240" w:lineRule="auto"/>
              <w:ind w:firstLine="0" w:firstLineChars="0"/>
              <w:jc w:val="center"/>
              <w:rPr>
                <w:b/>
                <w:bCs/>
                <w:sz w:val="21"/>
                <w:szCs w:val="21"/>
              </w:rPr>
            </w:pPr>
            <w:r>
              <w:rPr>
                <w:rFonts w:hint="eastAsia"/>
                <w:b/>
                <w:bCs/>
                <w:sz w:val="21"/>
                <w:szCs w:val="21"/>
              </w:rPr>
              <w:t>预测值</w:t>
            </w:r>
          </w:p>
        </w:tc>
        <w:tc>
          <w:tcPr>
            <w:tcW w:w="1951" w:type="dxa"/>
            <w:gridSpan w:val="2"/>
            <w:vAlign w:val="center"/>
          </w:tcPr>
          <w:p>
            <w:pPr>
              <w:pStyle w:val="112"/>
              <w:spacing w:line="240" w:lineRule="auto"/>
              <w:ind w:firstLine="0" w:firstLineChars="0"/>
              <w:jc w:val="center"/>
              <w:rPr>
                <w:b/>
                <w:bCs/>
                <w:sz w:val="21"/>
                <w:szCs w:val="21"/>
              </w:rPr>
            </w:pPr>
            <w:r>
              <w:rPr>
                <w:rFonts w:hint="eastAsia"/>
                <w:b/>
                <w:bCs/>
                <w:sz w:val="21"/>
                <w:szCs w:val="21"/>
              </w:rPr>
              <w:t>评价结果</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68" w:hRule="atLeast"/>
          <w:jc w:val="center"/>
        </w:trPr>
        <w:tc>
          <w:tcPr>
            <w:tcW w:w="1345" w:type="dxa"/>
            <w:vMerge w:val="continue"/>
            <w:vAlign w:val="center"/>
          </w:tcPr>
          <w:p>
            <w:pPr>
              <w:pStyle w:val="112"/>
              <w:spacing w:line="240" w:lineRule="auto"/>
              <w:ind w:firstLine="0" w:firstLineChars="0"/>
              <w:jc w:val="center"/>
              <w:rPr>
                <w:b/>
                <w:bCs/>
                <w:sz w:val="21"/>
                <w:szCs w:val="21"/>
              </w:rPr>
            </w:pPr>
          </w:p>
        </w:tc>
        <w:tc>
          <w:tcPr>
            <w:tcW w:w="900" w:type="dxa"/>
            <w:vMerge w:val="continue"/>
            <w:vAlign w:val="center"/>
          </w:tcPr>
          <w:p>
            <w:pPr>
              <w:pStyle w:val="112"/>
              <w:spacing w:line="240" w:lineRule="auto"/>
              <w:ind w:firstLine="0" w:firstLineChars="0"/>
              <w:jc w:val="center"/>
              <w:rPr>
                <w:b/>
                <w:bCs/>
                <w:sz w:val="21"/>
                <w:szCs w:val="21"/>
              </w:rPr>
            </w:pPr>
          </w:p>
        </w:tc>
        <w:tc>
          <w:tcPr>
            <w:tcW w:w="679" w:type="dxa"/>
            <w:vMerge w:val="continue"/>
            <w:vAlign w:val="center"/>
          </w:tcPr>
          <w:p>
            <w:pPr>
              <w:pStyle w:val="112"/>
              <w:spacing w:line="240" w:lineRule="auto"/>
              <w:ind w:firstLine="0" w:firstLineChars="0"/>
              <w:jc w:val="center"/>
              <w:rPr>
                <w:b/>
                <w:bCs/>
                <w:sz w:val="21"/>
                <w:szCs w:val="21"/>
              </w:rPr>
            </w:pPr>
          </w:p>
        </w:tc>
        <w:tc>
          <w:tcPr>
            <w:tcW w:w="975" w:type="dxa"/>
            <w:vAlign w:val="center"/>
          </w:tcPr>
          <w:p>
            <w:pPr>
              <w:pStyle w:val="112"/>
              <w:spacing w:line="240" w:lineRule="auto"/>
              <w:ind w:firstLine="0" w:firstLineChars="0"/>
              <w:jc w:val="center"/>
              <w:rPr>
                <w:b/>
                <w:bCs/>
                <w:sz w:val="21"/>
                <w:szCs w:val="21"/>
              </w:rPr>
            </w:pPr>
            <w:r>
              <w:rPr>
                <w:rFonts w:hint="eastAsia"/>
                <w:b/>
                <w:bCs/>
                <w:sz w:val="21"/>
                <w:szCs w:val="21"/>
              </w:rPr>
              <w:t>昼间</w:t>
            </w:r>
          </w:p>
        </w:tc>
        <w:tc>
          <w:tcPr>
            <w:tcW w:w="976" w:type="dxa"/>
            <w:vAlign w:val="center"/>
          </w:tcPr>
          <w:p>
            <w:pPr>
              <w:pStyle w:val="112"/>
              <w:spacing w:line="240" w:lineRule="auto"/>
              <w:ind w:firstLine="0" w:firstLineChars="0"/>
              <w:jc w:val="center"/>
              <w:rPr>
                <w:b/>
                <w:bCs/>
                <w:sz w:val="21"/>
                <w:szCs w:val="21"/>
              </w:rPr>
            </w:pPr>
            <w:r>
              <w:rPr>
                <w:rFonts w:hint="eastAsia"/>
                <w:b/>
                <w:bCs/>
                <w:sz w:val="21"/>
                <w:szCs w:val="21"/>
              </w:rPr>
              <w:t>夜间</w:t>
            </w:r>
          </w:p>
        </w:tc>
        <w:tc>
          <w:tcPr>
            <w:tcW w:w="975" w:type="dxa"/>
            <w:vAlign w:val="center"/>
          </w:tcPr>
          <w:p>
            <w:pPr>
              <w:pStyle w:val="112"/>
              <w:spacing w:line="240" w:lineRule="auto"/>
              <w:ind w:firstLine="0" w:firstLineChars="0"/>
              <w:jc w:val="center"/>
              <w:rPr>
                <w:b/>
                <w:bCs/>
                <w:sz w:val="21"/>
                <w:szCs w:val="21"/>
              </w:rPr>
            </w:pPr>
            <w:r>
              <w:rPr>
                <w:rFonts w:hint="eastAsia"/>
                <w:b/>
                <w:bCs/>
                <w:sz w:val="21"/>
                <w:szCs w:val="21"/>
              </w:rPr>
              <w:t>昼间</w:t>
            </w:r>
          </w:p>
        </w:tc>
        <w:tc>
          <w:tcPr>
            <w:tcW w:w="976" w:type="dxa"/>
            <w:vAlign w:val="center"/>
          </w:tcPr>
          <w:p>
            <w:pPr>
              <w:pStyle w:val="112"/>
              <w:spacing w:line="240" w:lineRule="auto"/>
              <w:ind w:firstLine="0" w:firstLineChars="0"/>
              <w:jc w:val="center"/>
              <w:rPr>
                <w:b/>
                <w:bCs/>
                <w:sz w:val="21"/>
                <w:szCs w:val="21"/>
              </w:rPr>
            </w:pPr>
            <w:r>
              <w:rPr>
                <w:rFonts w:hint="eastAsia"/>
                <w:b/>
                <w:bCs/>
                <w:sz w:val="21"/>
                <w:szCs w:val="21"/>
              </w:rPr>
              <w:t>夜间</w:t>
            </w:r>
          </w:p>
        </w:tc>
        <w:tc>
          <w:tcPr>
            <w:tcW w:w="975" w:type="dxa"/>
            <w:vAlign w:val="center"/>
          </w:tcPr>
          <w:p>
            <w:pPr>
              <w:pStyle w:val="112"/>
              <w:spacing w:line="240" w:lineRule="auto"/>
              <w:ind w:firstLine="0" w:firstLineChars="0"/>
              <w:jc w:val="center"/>
              <w:rPr>
                <w:b/>
                <w:bCs/>
                <w:sz w:val="21"/>
                <w:szCs w:val="21"/>
              </w:rPr>
            </w:pPr>
            <w:r>
              <w:rPr>
                <w:rFonts w:hint="eastAsia"/>
                <w:b/>
                <w:bCs/>
                <w:sz w:val="21"/>
                <w:szCs w:val="21"/>
              </w:rPr>
              <w:t>昼间</w:t>
            </w:r>
          </w:p>
        </w:tc>
        <w:tc>
          <w:tcPr>
            <w:tcW w:w="976" w:type="dxa"/>
            <w:vAlign w:val="center"/>
          </w:tcPr>
          <w:p>
            <w:pPr>
              <w:pStyle w:val="112"/>
              <w:spacing w:line="240" w:lineRule="auto"/>
              <w:ind w:firstLine="0" w:firstLineChars="0"/>
              <w:jc w:val="center"/>
              <w:rPr>
                <w:b/>
                <w:bCs/>
                <w:sz w:val="21"/>
                <w:szCs w:val="21"/>
              </w:rPr>
            </w:pPr>
            <w:r>
              <w:rPr>
                <w:rFonts w:hint="eastAsia"/>
                <w:b/>
                <w:bCs/>
                <w:sz w:val="21"/>
                <w:szCs w:val="21"/>
              </w:rPr>
              <w:t>夜间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59" w:hRule="atLeast"/>
          <w:jc w:val="center"/>
        </w:trPr>
        <w:tc>
          <w:tcPr>
            <w:tcW w:w="1345" w:type="dxa"/>
            <w:vAlign w:val="center"/>
          </w:tcPr>
          <w:p>
            <w:pPr>
              <w:pStyle w:val="112"/>
              <w:spacing w:line="240" w:lineRule="auto"/>
              <w:ind w:firstLine="0" w:firstLineChars="0"/>
              <w:jc w:val="center"/>
              <w:rPr>
                <w:sz w:val="21"/>
                <w:szCs w:val="21"/>
              </w:rPr>
            </w:pPr>
            <w:r>
              <w:rPr>
                <w:rFonts w:hint="eastAsia"/>
                <w:sz w:val="21"/>
                <w:szCs w:val="21"/>
              </w:rPr>
              <w:t>放空系统东南侧农户</w:t>
            </w:r>
          </w:p>
        </w:tc>
        <w:tc>
          <w:tcPr>
            <w:tcW w:w="900" w:type="dxa"/>
            <w:vAlign w:val="center"/>
          </w:tcPr>
          <w:p>
            <w:pPr>
              <w:pStyle w:val="112"/>
              <w:spacing w:line="240" w:lineRule="auto"/>
              <w:ind w:firstLine="0" w:firstLineChars="0"/>
              <w:jc w:val="center"/>
              <w:rPr>
                <w:sz w:val="21"/>
                <w:szCs w:val="21"/>
              </w:rPr>
            </w:pPr>
            <w:r>
              <w:rPr>
                <w:rFonts w:hint="eastAsia"/>
                <w:sz w:val="21"/>
                <w:szCs w:val="21"/>
              </w:rPr>
              <w:t>280</w:t>
            </w:r>
          </w:p>
        </w:tc>
        <w:tc>
          <w:tcPr>
            <w:tcW w:w="679" w:type="dxa"/>
            <w:vAlign w:val="center"/>
          </w:tcPr>
          <w:p>
            <w:pPr>
              <w:pStyle w:val="112"/>
              <w:spacing w:line="240" w:lineRule="auto"/>
              <w:ind w:firstLine="0" w:firstLineChars="0"/>
              <w:jc w:val="center"/>
              <w:rPr>
                <w:sz w:val="21"/>
                <w:szCs w:val="21"/>
              </w:rPr>
            </w:pPr>
            <w:r>
              <w:rPr>
                <w:rFonts w:hint="eastAsia"/>
                <w:sz w:val="21"/>
                <w:szCs w:val="21"/>
              </w:rPr>
              <w:t>43.5</w:t>
            </w:r>
          </w:p>
        </w:tc>
        <w:tc>
          <w:tcPr>
            <w:tcW w:w="975" w:type="dxa"/>
            <w:vAlign w:val="center"/>
          </w:tcPr>
          <w:p>
            <w:pPr>
              <w:pStyle w:val="112"/>
              <w:spacing w:line="240" w:lineRule="auto"/>
              <w:ind w:firstLine="0" w:firstLineChars="0"/>
              <w:jc w:val="center"/>
              <w:rPr>
                <w:sz w:val="21"/>
                <w:szCs w:val="21"/>
              </w:rPr>
            </w:pPr>
            <w:r>
              <w:rPr>
                <w:rFonts w:hint="eastAsia"/>
                <w:sz w:val="21"/>
                <w:szCs w:val="21"/>
              </w:rPr>
              <w:t>59</w:t>
            </w:r>
          </w:p>
        </w:tc>
        <w:tc>
          <w:tcPr>
            <w:tcW w:w="976" w:type="dxa"/>
            <w:vAlign w:val="center"/>
          </w:tcPr>
          <w:p>
            <w:pPr>
              <w:pStyle w:val="112"/>
              <w:spacing w:line="240" w:lineRule="auto"/>
              <w:ind w:firstLine="0" w:firstLineChars="0"/>
              <w:jc w:val="center"/>
              <w:rPr>
                <w:sz w:val="21"/>
                <w:szCs w:val="21"/>
              </w:rPr>
            </w:pPr>
            <w:r>
              <w:rPr>
                <w:rFonts w:hint="eastAsia"/>
                <w:sz w:val="21"/>
                <w:szCs w:val="21"/>
              </w:rPr>
              <w:t>47</w:t>
            </w:r>
          </w:p>
        </w:tc>
        <w:tc>
          <w:tcPr>
            <w:tcW w:w="975" w:type="dxa"/>
            <w:vAlign w:val="center"/>
          </w:tcPr>
          <w:p>
            <w:pPr>
              <w:pStyle w:val="112"/>
              <w:spacing w:line="240" w:lineRule="auto"/>
              <w:ind w:firstLine="0" w:firstLineChars="0"/>
              <w:jc w:val="center"/>
              <w:rPr>
                <w:sz w:val="21"/>
                <w:szCs w:val="21"/>
              </w:rPr>
            </w:pPr>
            <w:r>
              <w:rPr>
                <w:rFonts w:hint="eastAsia"/>
                <w:sz w:val="21"/>
                <w:szCs w:val="21"/>
              </w:rPr>
              <w:t>59.1</w:t>
            </w:r>
          </w:p>
        </w:tc>
        <w:tc>
          <w:tcPr>
            <w:tcW w:w="976" w:type="dxa"/>
            <w:vAlign w:val="center"/>
          </w:tcPr>
          <w:p>
            <w:pPr>
              <w:pStyle w:val="112"/>
              <w:spacing w:line="240" w:lineRule="auto"/>
              <w:ind w:firstLine="0" w:firstLineChars="0"/>
              <w:jc w:val="center"/>
              <w:rPr>
                <w:sz w:val="21"/>
                <w:szCs w:val="21"/>
              </w:rPr>
            </w:pPr>
            <w:r>
              <w:rPr>
                <w:sz w:val="21"/>
                <w:szCs w:val="21"/>
              </w:rPr>
              <w:t>4</w:t>
            </w:r>
            <w:r>
              <w:rPr>
                <w:rFonts w:hint="eastAsia"/>
                <w:sz w:val="21"/>
                <w:szCs w:val="21"/>
              </w:rPr>
              <w:t>8</w:t>
            </w:r>
            <w:r>
              <w:rPr>
                <w:sz w:val="21"/>
                <w:szCs w:val="21"/>
              </w:rPr>
              <w:t>.</w:t>
            </w:r>
            <w:r>
              <w:rPr>
                <w:rFonts w:hint="eastAsia"/>
                <w:sz w:val="21"/>
                <w:szCs w:val="21"/>
              </w:rPr>
              <w:t>3</w:t>
            </w:r>
          </w:p>
        </w:tc>
        <w:tc>
          <w:tcPr>
            <w:tcW w:w="975" w:type="dxa"/>
            <w:vAlign w:val="center"/>
          </w:tcPr>
          <w:p>
            <w:pPr>
              <w:pStyle w:val="112"/>
              <w:spacing w:line="240" w:lineRule="auto"/>
              <w:ind w:firstLine="0" w:firstLineChars="0"/>
              <w:jc w:val="center"/>
              <w:rPr>
                <w:sz w:val="21"/>
                <w:szCs w:val="21"/>
              </w:rPr>
            </w:pPr>
            <w:r>
              <w:rPr>
                <w:sz w:val="21"/>
                <w:szCs w:val="21"/>
              </w:rPr>
              <w:t>达标</w:t>
            </w:r>
          </w:p>
        </w:tc>
        <w:tc>
          <w:tcPr>
            <w:tcW w:w="976" w:type="dxa"/>
            <w:vAlign w:val="center"/>
          </w:tcPr>
          <w:p>
            <w:pPr>
              <w:pStyle w:val="112"/>
              <w:spacing w:line="240" w:lineRule="auto"/>
              <w:ind w:firstLine="0" w:firstLineChars="0"/>
              <w:jc w:val="center"/>
              <w:rPr>
                <w:sz w:val="21"/>
                <w:szCs w:val="21"/>
              </w:rPr>
            </w:pPr>
            <w:r>
              <w:rPr>
                <w:sz w:val="21"/>
                <w:szCs w:val="21"/>
              </w:rPr>
              <w:t>达标</w:t>
            </w:r>
          </w:p>
        </w:tc>
      </w:tr>
    </w:tbl>
    <w:p>
      <w:pPr>
        <w:pStyle w:val="112"/>
        <w:ind w:firstLine="480"/>
      </w:pPr>
      <w:r>
        <w:rPr>
          <w:rFonts w:hint="eastAsia"/>
        </w:rPr>
        <w:t>由表6.2-16预测结果可知，放空期间最近敏感点处噪声能够达标，放空噪声在昼夜间均不会对周围居民造成噪声扰民影响。且由于检修或事故放空是偶然发生的，频次很低，且持续时间很短，一旦点火放空结束，噪声对环境的影响立即消失，放空时及时疏散附近居民，不会对该范围内的居民生活造成长期影响。</w:t>
      </w:r>
    </w:p>
    <w:p>
      <w:pPr>
        <w:pStyle w:val="4"/>
        <w:rPr>
          <w:rFonts w:eastAsia="宋体"/>
        </w:rPr>
      </w:pPr>
      <w:r>
        <w:rPr>
          <w:rFonts w:eastAsia="宋体"/>
        </w:rPr>
        <w:t xml:space="preserve">6.2.6 </w:t>
      </w:r>
      <w:r>
        <w:rPr>
          <w:rFonts w:hint="eastAsia" w:eastAsia="宋体"/>
        </w:rPr>
        <w:t>固体废物影响分析</w:t>
      </w:r>
    </w:p>
    <w:p>
      <w:pPr>
        <w:pStyle w:val="112"/>
        <w:ind w:firstLine="480"/>
      </w:pPr>
      <w:r>
        <w:rPr>
          <w:rFonts w:hint="eastAsia"/>
        </w:rPr>
        <w:t>由于输气管道敷设在地下，进行密闭输送，管道进行了防腐处理，在正常情况下，不会有固体废物产生。</w:t>
      </w:r>
    </w:p>
    <w:p>
      <w:pPr>
        <w:pStyle w:val="112"/>
        <w:ind w:firstLine="480"/>
      </w:pPr>
      <w:r>
        <w:rPr>
          <w:rFonts w:hint="eastAsia"/>
        </w:rPr>
        <w:t>工程新建普陆4集气平台为有人值守站，运营期</w:t>
      </w:r>
      <w:r>
        <w:t>工作人员生活垃圾用垃圾桶收集，委托当地环卫部门清运处置</w:t>
      </w:r>
      <w:r>
        <w:rPr>
          <w:rFonts w:hint="eastAsia"/>
        </w:rPr>
        <w:t>；</w:t>
      </w:r>
      <w:r>
        <w:rPr>
          <w:rFonts w:hint="eastAsia"/>
          <w:bCs/>
        </w:rPr>
        <w:t>凝析油作为副产品外售；</w:t>
      </w:r>
      <w:r>
        <w:t>清管废渣、检修废渣主要为机械杂质等，</w:t>
      </w:r>
      <w:r>
        <w:rPr>
          <w:color w:val="FF0000"/>
        </w:rPr>
        <w:t>其主要成分为氧化铁粉末</w:t>
      </w:r>
      <w:r>
        <w:rPr>
          <w:rFonts w:hint="eastAsia"/>
          <w:color w:val="FF0000"/>
        </w:rPr>
        <w:t>（含凝析油）</w:t>
      </w:r>
      <w:r>
        <w:rPr>
          <w:color w:val="FF0000"/>
        </w:rPr>
        <w:t>，属</w:t>
      </w:r>
      <w:r>
        <w:rPr>
          <w:rFonts w:hint="eastAsia"/>
          <w:color w:val="FF0000"/>
        </w:rPr>
        <w:t>危险</w:t>
      </w:r>
      <w:r>
        <w:rPr>
          <w:color w:val="FF0000"/>
        </w:rPr>
        <w:t>废物，集中收集后交</w:t>
      </w:r>
      <w:r>
        <w:rPr>
          <w:rFonts w:hint="eastAsia"/>
          <w:color w:val="FF0000"/>
        </w:rPr>
        <w:t>有资质</w:t>
      </w:r>
      <w:r>
        <w:rPr>
          <w:color w:val="FF0000"/>
        </w:rPr>
        <w:t>单位集中处置</w:t>
      </w:r>
      <w:r>
        <w:t>。</w:t>
      </w:r>
    </w:p>
    <w:p>
      <w:pPr>
        <w:pStyle w:val="4"/>
        <w:rPr>
          <w:rFonts w:eastAsia="宋体"/>
        </w:rPr>
      </w:pPr>
      <w:r>
        <w:rPr>
          <w:rFonts w:eastAsia="宋体"/>
        </w:rPr>
        <w:t xml:space="preserve">6.2.7 </w:t>
      </w:r>
      <w:r>
        <w:rPr>
          <w:rFonts w:hint="eastAsia" w:eastAsia="宋体"/>
        </w:rPr>
        <w:t>土壤环境影响分析</w:t>
      </w:r>
    </w:p>
    <w:p>
      <w:pPr>
        <w:pStyle w:val="112"/>
        <w:ind w:firstLine="482"/>
        <w:rPr>
          <w:b/>
          <w:bCs/>
        </w:rPr>
      </w:pPr>
      <w:r>
        <w:rPr>
          <w:rFonts w:hint="eastAsia"/>
          <w:b/>
          <w:bCs/>
        </w:rPr>
        <w:t>1</w:t>
      </w:r>
      <w:r>
        <w:rPr>
          <w:b/>
          <w:bCs/>
        </w:rPr>
        <w:t>、</w:t>
      </w:r>
      <w:r>
        <w:rPr>
          <w:rFonts w:hint="eastAsia"/>
          <w:b/>
          <w:bCs/>
        </w:rPr>
        <w:t>土壤环境影响识别</w:t>
      </w:r>
    </w:p>
    <w:p>
      <w:pPr>
        <w:pStyle w:val="112"/>
        <w:ind w:firstLine="480"/>
      </w:pPr>
      <w:r>
        <w:rPr>
          <w:rFonts w:hint="eastAsia"/>
        </w:rPr>
        <w:t>（</w:t>
      </w:r>
      <w:r>
        <w:t>1</w:t>
      </w:r>
      <w:r>
        <w:rPr>
          <w:rFonts w:hint="eastAsia"/>
        </w:rPr>
        <w:t>）土壤环境影响类型与影响途径识别</w:t>
      </w:r>
    </w:p>
    <w:p>
      <w:pPr>
        <w:pStyle w:val="112"/>
        <w:ind w:firstLine="480"/>
      </w:pPr>
      <w:r>
        <w:rPr>
          <w:rFonts w:hint="eastAsia"/>
        </w:rPr>
        <w:t>本项目属于钻井工程和地面集输工程，土壤环境影响较小。项目站场对土壤环境影响最突出的主要体现事故状态下污水缓冲罐发生泄漏进入周边土壤环境，对土壤造成污染。污水缓冲罐为地上设置，主要污染影响型为地面漫流和垂直入渗。</w:t>
      </w:r>
    </w:p>
    <w:p>
      <w:pPr>
        <w:pStyle w:val="112"/>
        <w:ind w:firstLine="480"/>
      </w:pPr>
      <w:r>
        <w:rPr>
          <w:rFonts w:hint="eastAsia"/>
        </w:rPr>
        <w:t>项目土壤环境影响类型与途径见下表。</w:t>
      </w:r>
    </w:p>
    <w:p>
      <w:pPr>
        <w:pStyle w:val="37"/>
      </w:pPr>
      <w:r>
        <w:rPr>
          <w:rFonts w:hint="eastAsia"/>
        </w:rPr>
        <w:t>表</w:t>
      </w:r>
      <w:r>
        <w:rPr>
          <w:bCs/>
        </w:rPr>
        <w:t>6.2-1</w:t>
      </w:r>
      <w:r>
        <w:rPr>
          <w:rFonts w:hint="eastAsia"/>
          <w:bCs/>
        </w:rPr>
        <w:t>5</w:t>
      </w:r>
      <w:r>
        <w:rPr>
          <w:bCs/>
        </w:rPr>
        <w:t xml:space="preserve">  </w:t>
      </w:r>
      <w:r>
        <w:rPr>
          <w:rFonts w:hint="eastAsia"/>
        </w:rPr>
        <w:t>土壤环境影响类型与影响途径表</w:t>
      </w:r>
    </w:p>
    <w:tbl>
      <w:tblPr>
        <w:tblStyle w:val="57"/>
        <w:tblW w:w="885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843"/>
        <w:gridCol w:w="1418"/>
        <w:gridCol w:w="1842"/>
        <w:gridCol w:w="1701"/>
        <w:gridCol w:w="204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1843" w:type="dxa"/>
            <w:vMerge w:val="restart"/>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不同时段</w:t>
            </w:r>
          </w:p>
        </w:tc>
        <w:tc>
          <w:tcPr>
            <w:tcW w:w="7010" w:type="dxa"/>
            <w:gridSpan w:val="4"/>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污染影响型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1843" w:type="dxa"/>
            <w:vMerge w:val="continue"/>
            <w:vAlign w:val="center"/>
          </w:tcPr>
          <w:p>
            <w:pPr>
              <w:pStyle w:val="119"/>
              <w:jc w:val="center"/>
              <w:rPr>
                <w:rFonts w:ascii="Times New Roman" w:hAnsi="Times New Roman" w:cs="Times New Roman"/>
                <w:b/>
                <w:bCs/>
                <w:color w:val="auto"/>
                <w:sz w:val="21"/>
                <w:szCs w:val="21"/>
              </w:rPr>
            </w:pPr>
          </w:p>
        </w:tc>
        <w:tc>
          <w:tcPr>
            <w:tcW w:w="1418" w:type="dxa"/>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大气沉降</w:t>
            </w:r>
          </w:p>
        </w:tc>
        <w:tc>
          <w:tcPr>
            <w:tcW w:w="1842" w:type="dxa"/>
            <w:tcBorders>
              <w:right w:val="single" w:color="000000" w:sz="12" w:space="0"/>
            </w:tcBorders>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地面漫流</w:t>
            </w:r>
          </w:p>
        </w:tc>
        <w:tc>
          <w:tcPr>
            <w:tcW w:w="1701" w:type="dxa"/>
            <w:tcBorders>
              <w:left w:val="single" w:color="000000" w:sz="12" w:space="0"/>
            </w:tcBorders>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垂直入渗</w:t>
            </w:r>
          </w:p>
        </w:tc>
        <w:tc>
          <w:tcPr>
            <w:tcW w:w="2049" w:type="dxa"/>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其他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1843" w:type="dxa"/>
            <w:vAlign w:val="center"/>
          </w:tcPr>
          <w:p>
            <w:pPr>
              <w:pStyle w:val="119"/>
              <w:jc w:val="center"/>
              <w:rPr>
                <w:rFonts w:ascii="Times New Roman" w:hAnsi="Times New Roman" w:cs="Times New Roman"/>
                <w:b/>
                <w:bCs/>
                <w:color w:val="auto"/>
                <w:sz w:val="21"/>
                <w:szCs w:val="21"/>
              </w:rPr>
            </w:pPr>
            <w:r>
              <w:rPr>
                <w:rFonts w:ascii="Times New Roman" w:hAnsi="Times New Roman" w:cs="Times New Roman"/>
                <w:color w:val="auto"/>
                <w:sz w:val="21"/>
                <w:szCs w:val="21"/>
              </w:rPr>
              <w:t>建设期</w:t>
            </w:r>
          </w:p>
        </w:tc>
        <w:tc>
          <w:tcPr>
            <w:tcW w:w="1418" w:type="dxa"/>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w:t>
            </w:r>
          </w:p>
        </w:tc>
        <w:tc>
          <w:tcPr>
            <w:tcW w:w="1842" w:type="dxa"/>
            <w:tcBorders>
              <w:right w:val="single" w:color="000000" w:sz="12" w:space="0"/>
            </w:tcBorders>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701" w:type="dxa"/>
            <w:tcBorders>
              <w:left w:val="single" w:color="000000" w:sz="12" w:space="0"/>
            </w:tcBorders>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2049" w:type="dxa"/>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1843"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营运期</w:t>
            </w:r>
          </w:p>
        </w:tc>
        <w:tc>
          <w:tcPr>
            <w:tcW w:w="1418" w:type="dxa"/>
          </w:tcPr>
          <w:p>
            <w:pPr>
              <w:pStyle w:val="119"/>
              <w:jc w:val="center"/>
              <w:rPr>
                <w:rFonts w:ascii="Times New Roman" w:hAnsi="Times New Roman" w:cs="Times New Roman"/>
                <w:color w:val="auto"/>
                <w:sz w:val="21"/>
                <w:szCs w:val="21"/>
              </w:rPr>
            </w:pPr>
            <w:r>
              <w:rPr>
                <w:rFonts w:ascii="Times New Roman" w:hAnsi="Times New Roman" w:cs="Times New Roman"/>
                <w:b/>
                <w:bCs/>
                <w:color w:val="auto"/>
                <w:sz w:val="21"/>
                <w:szCs w:val="21"/>
              </w:rPr>
              <w:t>—</w:t>
            </w:r>
          </w:p>
        </w:tc>
        <w:tc>
          <w:tcPr>
            <w:tcW w:w="1842" w:type="dxa"/>
            <w:tcBorders>
              <w:right w:val="single" w:color="000000" w:sz="12" w:space="0"/>
            </w:tcBorders>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701" w:type="dxa"/>
            <w:tcBorders>
              <w:left w:val="single" w:color="000000" w:sz="12" w:space="0"/>
            </w:tcBorders>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2049" w:type="dxa"/>
          </w:tcPr>
          <w:p>
            <w:pPr>
              <w:pStyle w:val="119"/>
              <w:jc w:val="center"/>
              <w:rPr>
                <w:rFonts w:ascii="Times New Roman" w:hAnsi="Times New Roman" w:cs="Times New Roman"/>
                <w:color w:val="auto"/>
                <w:sz w:val="21"/>
                <w:szCs w:val="21"/>
              </w:rPr>
            </w:pPr>
            <w:r>
              <w:rPr>
                <w:rFonts w:ascii="Times New Roman" w:hAnsi="Times New Roman" w:cs="Times New Roman"/>
                <w:b/>
                <w:bCs/>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1843"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服务期满后</w:t>
            </w:r>
          </w:p>
        </w:tc>
        <w:tc>
          <w:tcPr>
            <w:tcW w:w="1418" w:type="dxa"/>
          </w:tcPr>
          <w:p>
            <w:pPr>
              <w:pStyle w:val="119"/>
              <w:jc w:val="center"/>
              <w:rPr>
                <w:rFonts w:ascii="Times New Roman" w:hAnsi="Times New Roman" w:cs="Times New Roman"/>
                <w:color w:val="auto"/>
                <w:sz w:val="21"/>
                <w:szCs w:val="21"/>
              </w:rPr>
            </w:pPr>
            <w:r>
              <w:rPr>
                <w:rFonts w:ascii="Times New Roman" w:hAnsi="Times New Roman" w:cs="Times New Roman"/>
                <w:b/>
                <w:bCs/>
                <w:color w:val="auto"/>
                <w:sz w:val="21"/>
                <w:szCs w:val="21"/>
              </w:rPr>
              <w:t>—</w:t>
            </w:r>
          </w:p>
        </w:tc>
        <w:tc>
          <w:tcPr>
            <w:tcW w:w="1842" w:type="dxa"/>
            <w:tcBorders>
              <w:right w:val="single" w:color="000000" w:sz="12" w:space="0"/>
            </w:tcBorders>
          </w:tcPr>
          <w:p>
            <w:pPr>
              <w:pStyle w:val="119"/>
              <w:jc w:val="center"/>
              <w:rPr>
                <w:rFonts w:ascii="Times New Roman" w:hAnsi="Times New Roman" w:cs="Times New Roman"/>
                <w:color w:val="auto"/>
                <w:sz w:val="21"/>
                <w:szCs w:val="21"/>
              </w:rPr>
            </w:pPr>
            <w:r>
              <w:rPr>
                <w:rFonts w:ascii="Times New Roman" w:hAnsi="Times New Roman" w:cs="Times New Roman"/>
                <w:b/>
                <w:bCs/>
                <w:color w:val="auto"/>
                <w:sz w:val="21"/>
                <w:szCs w:val="21"/>
              </w:rPr>
              <w:t>—</w:t>
            </w:r>
          </w:p>
        </w:tc>
        <w:tc>
          <w:tcPr>
            <w:tcW w:w="1701" w:type="dxa"/>
            <w:tcBorders>
              <w:left w:val="single" w:color="000000" w:sz="12" w:space="0"/>
            </w:tcBorders>
          </w:tcPr>
          <w:p>
            <w:pPr>
              <w:pStyle w:val="119"/>
              <w:jc w:val="center"/>
              <w:rPr>
                <w:rFonts w:ascii="Times New Roman" w:hAnsi="Times New Roman" w:cs="Times New Roman"/>
                <w:color w:val="auto"/>
                <w:sz w:val="21"/>
                <w:szCs w:val="21"/>
              </w:rPr>
            </w:pPr>
            <w:r>
              <w:rPr>
                <w:rFonts w:ascii="Times New Roman" w:hAnsi="Times New Roman" w:cs="Times New Roman"/>
                <w:b/>
                <w:bCs/>
                <w:color w:val="auto"/>
                <w:sz w:val="21"/>
                <w:szCs w:val="21"/>
              </w:rPr>
              <w:t>—</w:t>
            </w:r>
          </w:p>
        </w:tc>
        <w:tc>
          <w:tcPr>
            <w:tcW w:w="2049" w:type="dxa"/>
          </w:tcPr>
          <w:p>
            <w:pPr>
              <w:pStyle w:val="119"/>
              <w:jc w:val="center"/>
              <w:rPr>
                <w:rFonts w:ascii="Times New Roman" w:hAnsi="Times New Roman" w:cs="Times New Roman"/>
                <w:color w:val="auto"/>
                <w:sz w:val="21"/>
                <w:szCs w:val="21"/>
              </w:rPr>
            </w:pPr>
            <w:r>
              <w:rPr>
                <w:rFonts w:ascii="Times New Roman" w:hAnsi="Times New Roman" w:cs="Times New Roman"/>
                <w:b/>
                <w:bCs/>
                <w:color w:val="auto"/>
                <w:sz w:val="21"/>
                <w:szCs w:val="21"/>
              </w:rPr>
              <w:t>—</w:t>
            </w:r>
          </w:p>
        </w:tc>
      </w:tr>
    </w:tbl>
    <w:p>
      <w:pPr>
        <w:pStyle w:val="112"/>
        <w:ind w:firstLine="480"/>
      </w:pPr>
      <w:r>
        <w:rPr>
          <w:rFonts w:hint="eastAsia" w:hAnsi="Calibri"/>
        </w:rPr>
        <w:t>（</w:t>
      </w:r>
      <w:r>
        <w:t>2</w:t>
      </w:r>
      <w:r>
        <w:rPr>
          <w:rFonts w:hint="eastAsia"/>
        </w:rPr>
        <w:t>）土壤环境影响源及影响因子识别</w:t>
      </w:r>
    </w:p>
    <w:p>
      <w:pPr>
        <w:pStyle w:val="112"/>
        <w:ind w:firstLine="480"/>
      </w:pPr>
      <w:r>
        <w:rPr>
          <w:rFonts w:hint="eastAsia"/>
        </w:rPr>
        <w:t>建设项目土壤环境影响源及影响因子见下表。</w:t>
      </w:r>
    </w:p>
    <w:p>
      <w:pPr>
        <w:pStyle w:val="37"/>
      </w:pPr>
      <w:r>
        <w:rPr>
          <w:rFonts w:hint="eastAsia"/>
        </w:rPr>
        <w:t>表</w:t>
      </w:r>
      <w:r>
        <w:rPr>
          <w:bCs/>
        </w:rPr>
        <w:t>6.2-1</w:t>
      </w:r>
      <w:r>
        <w:rPr>
          <w:rFonts w:hint="eastAsia"/>
          <w:bCs/>
        </w:rPr>
        <w:t>6</w:t>
      </w:r>
      <w:r>
        <w:rPr>
          <w:bCs/>
        </w:rPr>
        <w:t xml:space="preserve">  </w:t>
      </w:r>
      <w:r>
        <w:rPr>
          <w:rFonts w:hint="eastAsia"/>
        </w:rPr>
        <w:t>土壤环境影响源及影响因子识别表</w:t>
      </w:r>
    </w:p>
    <w:tbl>
      <w:tblPr>
        <w:tblStyle w:val="57"/>
        <w:tblW w:w="885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418"/>
        <w:gridCol w:w="1559"/>
        <w:gridCol w:w="1276"/>
        <w:gridCol w:w="2126"/>
        <w:gridCol w:w="1418"/>
        <w:gridCol w:w="105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1418" w:type="dxa"/>
            <w:tcBorders>
              <w:right w:val="single" w:color="000000" w:sz="12" w:space="0"/>
            </w:tcBorders>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污染源</w:t>
            </w:r>
          </w:p>
        </w:tc>
        <w:tc>
          <w:tcPr>
            <w:tcW w:w="1559" w:type="dxa"/>
            <w:tcBorders>
              <w:left w:val="single" w:color="000000" w:sz="12" w:space="0"/>
            </w:tcBorders>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工艺流程/节点</w:t>
            </w:r>
          </w:p>
        </w:tc>
        <w:tc>
          <w:tcPr>
            <w:tcW w:w="1276" w:type="dxa"/>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污染途径</w:t>
            </w:r>
          </w:p>
        </w:tc>
        <w:tc>
          <w:tcPr>
            <w:tcW w:w="2126" w:type="dxa"/>
            <w:tcBorders>
              <w:right w:val="single" w:color="000000" w:sz="12" w:space="0"/>
            </w:tcBorders>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全部污染物指标a</w:t>
            </w:r>
          </w:p>
        </w:tc>
        <w:tc>
          <w:tcPr>
            <w:tcW w:w="1418" w:type="dxa"/>
            <w:tcBorders>
              <w:left w:val="single" w:color="000000" w:sz="12" w:space="0"/>
            </w:tcBorders>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特征因子</w:t>
            </w:r>
          </w:p>
        </w:tc>
        <w:tc>
          <w:tcPr>
            <w:tcW w:w="1056" w:type="dxa"/>
            <w:vAlign w:val="center"/>
          </w:tcPr>
          <w:p>
            <w:pPr>
              <w:pStyle w:val="119"/>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备注b</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1418" w:type="dxa"/>
            <w:tcBorders>
              <w:right w:val="single" w:color="000000" w:sz="12" w:space="0"/>
            </w:tcBorders>
            <w:vAlign w:val="center"/>
          </w:tcPr>
          <w:p>
            <w:pPr>
              <w:pStyle w:val="119"/>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污水缓冲罐</w:t>
            </w:r>
          </w:p>
        </w:tc>
        <w:tc>
          <w:tcPr>
            <w:tcW w:w="1559" w:type="dxa"/>
            <w:tcBorders>
              <w:left w:val="single" w:color="000000" w:sz="12" w:space="0"/>
            </w:tcBorders>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储存</w:t>
            </w:r>
          </w:p>
        </w:tc>
        <w:tc>
          <w:tcPr>
            <w:tcW w:w="1276"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地面漫流</w:t>
            </w:r>
          </w:p>
        </w:tc>
        <w:tc>
          <w:tcPr>
            <w:tcW w:w="2126" w:type="dxa"/>
            <w:tcBorders>
              <w:right w:val="single" w:color="000000" w:sz="12" w:space="0"/>
            </w:tcBorders>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COD、SS、石油烃、氯化物等</w:t>
            </w:r>
          </w:p>
        </w:tc>
        <w:tc>
          <w:tcPr>
            <w:tcW w:w="1418" w:type="dxa"/>
            <w:tcBorders>
              <w:left w:val="single" w:color="000000" w:sz="12" w:space="0"/>
            </w:tcBorders>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石油烃</w:t>
            </w:r>
          </w:p>
        </w:tc>
        <w:tc>
          <w:tcPr>
            <w:tcW w:w="1056" w:type="dxa"/>
            <w:vAlign w:val="center"/>
          </w:tcPr>
          <w:p>
            <w:pPr>
              <w:pStyle w:val="119"/>
              <w:jc w:val="center"/>
              <w:rPr>
                <w:rFonts w:ascii="Times New Roman" w:hAnsi="Times New Roman" w:cs="Times New Roman"/>
                <w:color w:val="auto"/>
                <w:sz w:val="21"/>
                <w:szCs w:val="21"/>
              </w:rPr>
            </w:pPr>
            <w:r>
              <w:rPr>
                <w:rFonts w:ascii="Times New Roman" w:hAnsi="Times New Roman" w:cs="Times New Roman"/>
                <w:color w:val="auto"/>
                <w:sz w:val="21"/>
                <w:szCs w:val="21"/>
              </w:rPr>
              <w:t>事故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8853" w:type="dxa"/>
            <w:gridSpan w:val="6"/>
            <w:vAlign w:val="center"/>
          </w:tcPr>
          <w:p>
            <w:pPr>
              <w:pStyle w:val="119"/>
              <w:rPr>
                <w:rFonts w:ascii="Times New Roman" w:hAnsi="Times New Roman" w:cs="Times New Roman"/>
                <w:color w:val="auto"/>
                <w:sz w:val="20"/>
                <w:szCs w:val="20"/>
              </w:rPr>
            </w:pPr>
            <w:r>
              <w:rPr>
                <w:rFonts w:ascii="Times New Roman" w:hAnsi="Times New Roman" w:cs="Times New Roman"/>
                <w:color w:val="auto"/>
                <w:sz w:val="20"/>
                <w:szCs w:val="20"/>
              </w:rPr>
              <w:t>a.根据工程分析结果填写</w:t>
            </w:r>
          </w:p>
          <w:p>
            <w:pPr>
              <w:pStyle w:val="119"/>
              <w:rPr>
                <w:rFonts w:ascii="Times New Roman" w:hAnsi="Times New Roman" w:cs="Times New Roman"/>
                <w:color w:val="auto"/>
                <w:sz w:val="21"/>
                <w:szCs w:val="21"/>
              </w:rPr>
            </w:pPr>
            <w:r>
              <w:rPr>
                <w:rFonts w:ascii="Times New Roman" w:hAnsi="Times New Roman" w:cs="Times New Roman"/>
                <w:color w:val="auto"/>
                <w:sz w:val="20"/>
                <w:szCs w:val="20"/>
              </w:rPr>
              <w:t>b.应描述污染源特征，如连续、间断、正常、事故等；设计大气沉降途径的，应识别建设项目周边的土壤敏感目标</w:t>
            </w:r>
          </w:p>
        </w:tc>
      </w:tr>
    </w:tbl>
    <w:p>
      <w:pPr>
        <w:pStyle w:val="112"/>
        <w:ind w:firstLine="482"/>
        <w:rPr>
          <w:b/>
          <w:bCs/>
        </w:rPr>
      </w:pPr>
      <w:r>
        <w:rPr>
          <w:b/>
          <w:bCs/>
        </w:rPr>
        <w:t>2、</w:t>
      </w:r>
      <w:r>
        <w:rPr>
          <w:rFonts w:hint="eastAsia"/>
          <w:b/>
          <w:bCs/>
        </w:rPr>
        <w:t>土壤环境影响评价项目类别</w:t>
      </w:r>
    </w:p>
    <w:p>
      <w:pPr>
        <w:pStyle w:val="112"/>
        <w:ind w:firstLine="480"/>
      </w:pPr>
      <w:r>
        <w:rPr>
          <w:rFonts w:hint="eastAsia"/>
        </w:rPr>
        <w:t>根据《环境影响评价技术导则土壤环境（试行）》（</w:t>
      </w:r>
      <w:r>
        <w:t>HJ964-2018</w:t>
      </w:r>
      <w:r>
        <w:rPr>
          <w:rFonts w:hint="eastAsia"/>
        </w:rPr>
        <w:t>），本项目主要建设内容为钻井工程和地面集输工程，因此参照附录</w:t>
      </w:r>
      <w:r>
        <w:t>A</w:t>
      </w:r>
      <w:r>
        <w:rPr>
          <w:rFonts w:hint="eastAsia"/>
        </w:rPr>
        <w:t>中的</w:t>
      </w:r>
      <w:r>
        <w:t>“</w:t>
      </w:r>
      <w:r>
        <w:rPr>
          <w:rFonts w:hint="eastAsia"/>
        </w:rPr>
        <w:t>采矿业、天然气开采</w:t>
      </w:r>
      <w:r>
        <w:t>”</w:t>
      </w:r>
      <w:r>
        <w:rPr>
          <w:rFonts w:hint="eastAsia"/>
        </w:rPr>
        <w:t>类别，为</w:t>
      </w:r>
      <w:r>
        <w:t>Ⅱ</w:t>
      </w:r>
      <w:r>
        <w:rPr>
          <w:rFonts w:hint="eastAsia"/>
        </w:rPr>
        <w:t>类污染影响型建设项目。</w:t>
      </w:r>
    </w:p>
    <w:p>
      <w:pPr>
        <w:pStyle w:val="112"/>
        <w:ind w:firstLine="482"/>
        <w:rPr>
          <w:b/>
          <w:bCs/>
          <w:color w:val="FF0000"/>
        </w:rPr>
      </w:pPr>
      <w:r>
        <w:rPr>
          <w:b/>
          <w:bCs/>
          <w:color w:val="FF0000"/>
        </w:rPr>
        <w:t>3、</w:t>
      </w:r>
      <w:r>
        <w:rPr>
          <w:rFonts w:hint="eastAsia"/>
          <w:b/>
          <w:bCs/>
          <w:color w:val="FF0000"/>
        </w:rPr>
        <w:t>土壤调查范围和敏感目标</w:t>
      </w:r>
    </w:p>
    <w:p>
      <w:pPr>
        <w:pStyle w:val="112"/>
        <w:ind w:firstLine="480"/>
        <w:rPr>
          <w:color w:val="FF0000"/>
        </w:rPr>
      </w:pPr>
      <w:r>
        <w:rPr>
          <w:rFonts w:hint="eastAsia"/>
          <w:color w:val="FF0000"/>
        </w:rPr>
        <w:t>根据《环境影响评价技术导则 土壤环境（试行）》（</w:t>
      </w:r>
      <w:r>
        <w:rPr>
          <w:color w:val="FF0000"/>
        </w:rPr>
        <w:t>HJ964</w:t>
      </w:r>
      <w:r>
        <w:rPr>
          <w:rFonts w:hint="eastAsia"/>
          <w:color w:val="FF0000"/>
        </w:rPr>
        <w:t>-</w:t>
      </w:r>
      <w:r>
        <w:rPr>
          <w:color w:val="FF0000"/>
        </w:rPr>
        <w:t>2018</w:t>
      </w:r>
      <w:r>
        <w:rPr>
          <w:rFonts w:hint="eastAsia"/>
          <w:color w:val="FF0000"/>
        </w:rPr>
        <w:t>），本项目土壤环境影响评价等级为二级。</w:t>
      </w:r>
    </w:p>
    <w:p>
      <w:pPr>
        <w:pStyle w:val="112"/>
        <w:ind w:firstLine="480"/>
        <w:rPr>
          <w:color w:val="FF0000"/>
        </w:rPr>
      </w:pPr>
      <w:r>
        <w:rPr>
          <w:rFonts w:hint="eastAsia"/>
          <w:color w:val="FF0000"/>
        </w:rPr>
        <w:t>（1）土壤调查评价范围</w:t>
      </w:r>
    </w:p>
    <w:p>
      <w:pPr>
        <w:pStyle w:val="112"/>
        <w:ind w:firstLine="480"/>
        <w:rPr>
          <w:color w:val="FF0000"/>
        </w:rPr>
      </w:pPr>
      <w:r>
        <w:rPr>
          <w:rFonts w:hint="eastAsia"/>
          <w:color w:val="FF0000"/>
        </w:rPr>
        <w:t>根据《环境影响评价技术导则 土壤环境（试行）》（</w:t>
      </w:r>
      <w:r>
        <w:rPr>
          <w:color w:val="FF0000"/>
        </w:rPr>
        <w:t>HJ964</w:t>
      </w:r>
      <w:r>
        <w:rPr>
          <w:rFonts w:hint="eastAsia"/>
          <w:color w:val="FF0000"/>
        </w:rPr>
        <w:t>-</w:t>
      </w:r>
      <w:r>
        <w:rPr>
          <w:color w:val="FF0000"/>
        </w:rPr>
        <w:t>2018</w:t>
      </w:r>
      <w:r>
        <w:rPr>
          <w:rFonts w:hint="eastAsia"/>
          <w:color w:val="FF0000"/>
        </w:rPr>
        <w:t>）</w:t>
      </w:r>
      <w:r>
        <w:rPr>
          <w:color w:val="FF0000"/>
        </w:rPr>
        <w:t>“</w:t>
      </w:r>
      <w:r>
        <w:rPr>
          <w:rFonts w:hint="eastAsia"/>
          <w:color w:val="FF0000"/>
        </w:rPr>
        <w:t>表</w:t>
      </w:r>
      <w:r>
        <w:rPr>
          <w:color w:val="FF0000"/>
        </w:rPr>
        <w:t>5</w:t>
      </w:r>
      <w:r>
        <w:rPr>
          <w:rFonts w:hint="eastAsia"/>
          <w:color w:val="FF0000"/>
        </w:rPr>
        <w:t>现状调查范围</w:t>
      </w:r>
      <w:r>
        <w:rPr>
          <w:color w:val="FF0000"/>
        </w:rPr>
        <w:t>”</w:t>
      </w:r>
      <w:r>
        <w:rPr>
          <w:rFonts w:hint="eastAsia"/>
          <w:color w:val="FF0000"/>
        </w:rPr>
        <w:t>，根据评价工作等级为二级的污染影响型项目，调查范围为场界外扩</w:t>
      </w:r>
      <w:r>
        <w:rPr>
          <w:color w:val="FF0000"/>
        </w:rPr>
        <w:t>200m</w:t>
      </w:r>
      <w:r>
        <w:rPr>
          <w:rFonts w:hint="eastAsia"/>
          <w:color w:val="FF0000"/>
        </w:rPr>
        <w:t>。</w:t>
      </w:r>
    </w:p>
    <w:p>
      <w:pPr>
        <w:pStyle w:val="112"/>
        <w:ind w:firstLine="480"/>
        <w:rPr>
          <w:color w:val="FF0000"/>
        </w:rPr>
      </w:pPr>
      <w:r>
        <w:rPr>
          <w:rFonts w:hint="eastAsia"/>
          <w:color w:val="FF0000"/>
        </w:rPr>
        <w:t>（2）土壤环境敏感目标</w:t>
      </w:r>
    </w:p>
    <w:p>
      <w:pPr>
        <w:pStyle w:val="112"/>
        <w:ind w:firstLine="480"/>
        <w:rPr>
          <w:color w:val="FF0000"/>
        </w:rPr>
      </w:pPr>
      <w:r>
        <w:rPr>
          <w:rFonts w:hint="eastAsia"/>
          <w:color w:val="FF0000"/>
        </w:rPr>
        <w:t>普陆4集气平台位于四川省达州市宣汉县黄金镇沙场村，根据现场勘察，项目调查评价范围内主要分布为旱地，本次土壤环境敏感目标见表</w:t>
      </w:r>
      <w:r>
        <w:rPr>
          <w:color w:val="FF0000"/>
        </w:rPr>
        <w:t>1.9</w:t>
      </w:r>
      <w:r>
        <w:rPr>
          <w:rFonts w:hint="eastAsia"/>
          <w:color w:val="FF0000"/>
        </w:rPr>
        <w:t>-1。</w:t>
      </w:r>
    </w:p>
    <w:p>
      <w:pPr>
        <w:pStyle w:val="112"/>
        <w:ind w:firstLine="482"/>
        <w:rPr>
          <w:b/>
          <w:bCs/>
        </w:rPr>
      </w:pPr>
      <w:r>
        <w:rPr>
          <w:b/>
          <w:bCs/>
        </w:rPr>
        <w:t>4、</w:t>
      </w:r>
      <w:r>
        <w:rPr>
          <w:rFonts w:hint="eastAsia"/>
          <w:b/>
          <w:bCs/>
        </w:rPr>
        <w:t>项目所在地土壤分类</w:t>
      </w:r>
    </w:p>
    <w:p>
      <w:pPr>
        <w:pStyle w:val="112"/>
        <w:ind w:firstLine="480"/>
      </w:pPr>
      <w:r>
        <w:rPr>
          <w:rFonts w:hint="eastAsia"/>
        </w:rPr>
        <w:t>根据国家土壤信息服务平台公布的数据，并结合现场踏勘、监测情况可知，拟建地土壤属碱性棕色土。</w:t>
      </w:r>
    </w:p>
    <w:p>
      <w:pPr>
        <w:pStyle w:val="112"/>
        <w:ind w:firstLine="482"/>
        <w:rPr>
          <w:b/>
          <w:bCs/>
        </w:rPr>
      </w:pPr>
      <w:r>
        <w:rPr>
          <w:b/>
          <w:bCs/>
        </w:rPr>
        <w:t>5、</w:t>
      </w:r>
      <w:r>
        <w:rPr>
          <w:rFonts w:hint="eastAsia"/>
          <w:b/>
          <w:bCs/>
        </w:rPr>
        <w:t>土壤环境影响分析</w:t>
      </w:r>
    </w:p>
    <w:p>
      <w:pPr>
        <w:pStyle w:val="112"/>
        <w:ind w:firstLine="480"/>
      </w:pPr>
      <w:r>
        <w:rPr>
          <w:rFonts w:hint="eastAsia"/>
        </w:rPr>
        <w:t>（1）大气沉降影响分析</w:t>
      </w:r>
    </w:p>
    <w:p>
      <w:pPr>
        <w:pStyle w:val="112"/>
        <w:ind w:firstLine="480"/>
      </w:pPr>
      <w:r>
        <w:rPr>
          <w:rFonts w:hint="eastAsia"/>
        </w:rPr>
        <w:t>本项目水套炉采用返输净化后天然气（不含硫）作为燃料，依托现有</w:t>
      </w:r>
      <w:r>
        <w:t>燃气返输管线返输</w:t>
      </w:r>
      <w:r>
        <w:rPr>
          <w:rFonts w:hint="eastAsia"/>
        </w:rPr>
        <w:t>，产生的废气中主要污染因子为氮氧化物，排放量少，由于</w:t>
      </w:r>
      <w:r>
        <w:t>NO</w:t>
      </w:r>
      <w:r>
        <w:rPr>
          <w:sz w:val="16"/>
          <w:szCs w:val="16"/>
        </w:rPr>
        <w:t>X</w:t>
      </w:r>
      <w:r>
        <w:rPr>
          <w:rFonts w:hint="eastAsia"/>
        </w:rPr>
        <w:t>扩散能力较强，且比重较小，基本不会通过大气沉降对土壤环境造成影响。</w:t>
      </w:r>
    </w:p>
    <w:p>
      <w:pPr>
        <w:pStyle w:val="112"/>
        <w:ind w:firstLine="480"/>
      </w:pPr>
      <w:r>
        <w:rPr>
          <w:rFonts w:hint="eastAsia"/>
        </w:rPr>
        <w:t>（2）地表漫流影响分析</w:t>
      </w:r>
    </w:p>
    <w:p>
      <w:pPr>
        <w:pStyle w:val="112"/>
        <w:ind w:firstLine="480"/>
      </w:pPr>
      <w:r>
        <w:rPr>
          <w:rFonts w:hint="eastAsia"/>
        </w:rPr>
        <w:t>本项目正常情况下，气田水直接通过管道进入密闭的污水缓冲罐内，因此，正常情况下不会外溢或泄漏至外环境中产生地面漫流情况。通过站场四周设置了雨水排水沟，井场内雨水可及时排入周边，雨水漫流不会带走站场内的污染物，对周边土壤的影响也很小。</w:t>
      </w:r>
    </w:p>
    <w:p>
      <w:pPr>
        <w:pStyle w:val="112"/>
        <w:ind w:firstLine="480"/>
      </w:pPr>
      <w:r>
        <w:rPr>
          <w:rFonts w:hint="eastAsia"/>
        </w:rPr>
        <w:t>（3）垂直入渗影响分析</w:t>
      </w:r>
    </w:p>
    <w:p>
      <w:pPr>
        <w:pStyle w:val="112"/>
        <w:ind w:firstLine="480"/>
      </w:pPr>
      <w:r>
        <w:rPr>
          <w:rFonts w:hint="eastAsia"/>
        </w:rPr>
        <w:t>①预测评价范围、时段和情景设置</w:t>
      </w:r>
    </w:p>
    <w:p>
      <w:pPr>
        <w:pStyle w:val="112"/>
        <w:ind w:firstLine="480"/>
      </w:pPr>
      <w:r>
        <w:rPr>
          <w:rFonts w:hint="eastAsia"/>
        </w:rPr>
        <w:t>对于本项目主要考虑在非正常工况下，污水缓冲罐泄漏，通过垂直入渗途径污染土壤。本次评价情景设置为污水缓冲罐泄漏，产生渗透，直接污染周边土壤。</w:t>
      </w:r>
    </w:p>
    <w:p>
      <w:pPr>
        <w:pStyle w:val="112"/>
        <w:ind w:firstLine="480"/>
      </w:pPr>
      <w:r>
        <w:rPr>
          <w:rFonts w:hint="eastAsia"/>
        </w:rPr>
        <w:t>②预测因子及源强</w:t>
      </w:r>
    </w:p>
    <w:p>
      <w:pPr>
        <w:pStyle w:val="112"/>
        <w:ind w:firstLine="480"/>
      </w:pPr>
      <w:r>
        <w:rPr>
          <w:rFonts w:hint="eastAsia"/>
        </w:rPr>
        <w:t>根据工程分析及环境影响识别结果，本项目垂直入渗途径对土壤的影响主要考虑污染因子为石油烃。</w:t>
      </w:r>
    </w:p>
    <w:p>
      <w:pPr>
        <w:pStyle w:val="112"/>
        <w:ind w:firstLine="480"/>
      </w:pPr>
      <w:r>
        <w:t>本项目采取了有效的防渗措施，根据土壤环境影响识别可知，正常工况下基本不会对土壤造成影响，主要考虑</w:t>
      </w:r>
      <w:r>
        <w:rPr>
          <w:rFonts w:hint="eastAsia"/>
        </w:rPr>
        <w:t>污水缓冲罐</w:t>
      </w:r>
      <w:r>
        <w:t>破裂，引起事故泄漏形成垂直入渗，造成土壤污染的情况。</w:t>
      </w:r>
    </w:p>
    <w:p>
      <w:pPr>
        <w:pStyle w:val="112"/>
        <w:ind w:firstLine="480"/>
      </w:pPr>
      <w:r>
        <w:t>废水渗透地下属于有压渗透，假定包气带充满水，按达西公式计算源强，公式如下：</w:t>
      </w:r>
    </w:p>
    <w:p>
      <w:pPr>
        <w:pStyle w:val="112"/>
        <w:ind w:firstLine="480"/>
      </w:pPr>
      <w:r>
        <w:drawing>
          <wp:inline distT="0" distB="0" distL="0" distR="0">
            <wp:extent cx="1052830" cy="360045"/>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12" cstate="print"/>
                    <a:srcRect/>
                    <a:stretch>
                      <a:fillRect/>
                    </a:stretch>
                  </pic:blipFill>
                  <pic:spPr>
                    <a:xfrm>
                      <a:off x="0" y="0"/>
                      <a:ext cx="1052830" cy="360045"/>
                    </a:xfrm>
                    <a:prstGeom prst="rect">
                      <a:avLst/>
                    </a:prstGeom>
                    <a:noFill/>
                    <a:ln w="9525">
                      <a:noFill/>
                      <a:miter lim="800000"/>
                      <a:headEnd/>
                      <a:tailEnd/>
                    </a:ln>
                  </pic:spPr>
                </pic:pic>
              </a:graphicData>
            </a:graphic>
          </wp:inline>
        </w:drawing>
      </w:r>
    </w:p>
    <w:p>
      <w:pPr>
        <w:pStyle w:val="112"/>
        <w:ind w:firstLine="480"/>
      </w:pPr>
      <w:r>
        <w:t>式中：Q—为渗入到地下水的污水量（m</w:t>
      </w:r>
      <w:r>
        <w:rPr>
          <w:vertAlign w:val="superscript"/>
        </w:rPr>
        <w:t>3</w:t>
      </w:r>
      <w:r>
        <w:t xml:space="preserve">/d）； </w:t>
      </w:r>
    </w:p>
    <w:p>
      <w:pPr>
        <w:pStyle w:val="112"/>
        <w:ind w:firstLine="480"/>
      </w:pPr>
      <w:r>
        <w:t>K—为地面垂向渗透系数（m/d），结合区域调查数据，同时分析20万水文地质、红层找水报告及相关文献资料，</w:t>
      </w:r>
      <w:r>
        <w:rPr>
          <w:rFonts w:hint="eastAsia"/>
        </w:rPr>
        <w:t>普光</w:t>
      </w:r>
      <w:r>
        <w:t xml:space="preserve">场内包气带渗透系数 0.00139~0.026m/d、本次取0.026m/d。 </w:t>
      </w:r>
    </w:p>
    <w:p>
      <w:pPr>
        <w:pStyle w:val="112"/>
        <w:ind w:firstLine="480"/>
      </w:pPr>
      <w:r>
        <w:t>H—为水深（m），根据设计，本次取</w:t>
      </w:r>
      <w:r>
        <w:rPr>
          <w:rFonts w:hint="eastAsia"/>
        </w:rPr>
        <w:t>4.32</w:t>
      </w:r>
      <w:r>
        <w:t xml:space="preserve">m； </w:t>
      </w:r>
    </w:p>
    <w:p>
      <w:pPr>
        <w:pStyle w:val="112"/>
        <w:ind w:firstLine="480"/>
      </w:pPr>
      <w:r>
        <w:t>D—为地下水埋深（m），本次取</w:t>
      </w:r>
      <w:r>
        <w:rPr>
          <w:rFonts w:hint="eastAsia"/>
        </w:rPr>
        <w:t>4</w:t>
      </w:r>
      <w:r>
        <w:t xml:space="preserve">m； </w:t>
      </w:r>
    </w:p>
    <w:p>
      <w:pPr>
        <w:pStyle w:val="112"/>
        <w:ind w:firstLine="480"/>
      </w:pPr>
      <w:r>
        <w:t>A—为</w:t>
      </w:r>
      <w:r>
        <w:rPr>
          <w:rFonts w:hint="eastAsia"/>
        </w:rPr>
        <w:t>污水缓冲罐</w:t>
      </w:r>
      <w:r>
        <w:t>的泄漏面积（m</w:t>
      </w:r>
      <w:r>
        <w:rPr>
          <w:vertAlign w:val="superscript"/>
        </w:rPr>
        <w:t>2</w:t>
      </w:r>
      <w:r>
        <w:t>），本次取</w:t>
      </w:r>
      <w:r>
        <w:rPr>
          <w:rFonts w:hint="eastAsia"/>
        </w:rPr>
        <w:t>2.54</w:t>
      </w:r>
      <w:r>
        <w:t>m</w:t>
      </w:r>
      <w:r>
        <w:rPr>
          <w:vertAlign w:val="superscript"/>
        </w:rPr>
        <w:t>2</w:t>
      </w:r>
      <w:r>
        <w:t xml:space="preserve">。 </w:t>
      </w:r>
    </w:p>
    <w:p>
      <w:pPr>
        <w:pStyle w:val="112"/>
        <w:ind w:firstLine="480"/>
      </w:pPr>
      <w:r>
        <w:t>可计算</w:t>
      </w:r>
      <w:r>
        <w:rPr>
          <w:rFonts w:hint="eastAsia"/>
        </w:rPr>
        <w:t>污水缓冲罐</w:t>
      </w:r>
      <w:r>
        <w:t>渗漏至土壤废水量</w:t>
      </w:r>
      <w:r>
        <w:rPr>
          <w:rFonts w:hint="eastAsia"/>
        </w:rPr>
        <w:t>0.137</w:t>
      </w:r>
      <w:r>
        <w:t>m</w:t>
      </w:r>
      <w:r>
        <w:rPr>
          <w:vertAlign w:val="superscript"/>
        </w:rPr>
        <w:t>3</w:t>
      </w:r>
      <w:r>
        <w:t>/d</w:t>
      </w:r>
      <w:r>
        <w:rPr>
          <w:rFonts w:hint="eastAsia"/>
        </w:rPr>
        <w:t>，</w:t>
      </w:r>
      <w:r>
        <w:t>本次按照污水缓冲罐全部泄漏考虑</w:t>
      </w:r>
      <w:r>
        <w:rPr>
          <w:rFonts w:hint="eastAsia"/>
        </w:rPr>
        <w:t>（污水缓冲罐容积约50</w:t>
      </w:r>
      <w:r>
        <w:t>m</w:t>
      </w:r>
      <w:r>
        <w:rPr>
          <w:vertAlign w:val="superscript"/>
        </w:rPr>
        <w:t>3</w:t>
      </w:r>
      <w:r>
        <w:rPr>
          <w:rFonts w:hint="eastAsia"/>
        </w:rPr>
        <w:t>），</w:t>
      </w:r>
      <w:r>
        <w:t>即泄漏量为</w:t>
      </w:r>
      <w:r>
        <w:rPr>
          <w:rFonts w:hint="eastAsia"/>
        </w:rPr>
        <w:t>50</w:t>
      </w:r>
      <w:r>
        <w:t>m</w:t>
      </w:r>
      <w:r>
        <w:rPr>
          <w:vertAlign w:val="superscript"/>
        </w:rPr>
        <w:t>3</w:t>
      </w:r>
      <w:r>
        <w:t>。</w:t>
      </w:r>
    </w:p>
    <w:p>
      <w:pPr>
        <w:pStyle w:val="112"/>
        <w:ind w:firstLine="480"/>
      </w:pPr>
      <w:r>
        <w:rPr>
          <w:rFonts w:hint="eastAsia"/>
        </w:rPr>
        <w:t>污水缓冲罐</w:t>
      </w:r>
      <w:r>
        <w:t>暂存的废水为</w:t>
      </w:r>
      <w:r>
        <w:rPr>
          <w:rFonts w:hint="eastAsia"/>
        </w:rPr>
        <w:t>气田水</w:t>
      </w:r>
      <w:r>
        <w:t>，结合本报告预测的废水中石油类浓度</w:t>
      </w:r>
      <w:r>
        <w:rPr>
          <w:rFonts w:hint="eastAsia"/>
        </w:rPr>
        <w:t>约2</w:t>
      </w:r>
      <w:r>
        <w:t>00mg/L，本报告取值</w:t>
      </w:r>
      <w:r>
        <w:rPr>
          <w:rFonts w:hint="eastAsia"/>
        </w:rPr>
        <w:t>2</w:t>
      </w:r>
      <w:r>
        <w:t>00mg/L，可计算非正常工况下渗漏的石油类量=</w:t>
      </w:r>
      <w:r>
        <w:rPr>
          <w:rFonts w:hint="eastAsia"/>
        </w:rPr>
        <w:t>50</w:t>
      </w:r>
      <w:r>
        <w:t>m</w:t>
      </w:r>
      <w:r>
        <w:rPr>
          <w:vertAlign w:val="superscript"/>
        </w:rPr>
        <w:t>3</w:t>
      </w:r>
      <w:r>
        <w:t>×</w:t>
      </w:r>
      <w:r>
        <w:rPr>
          <w:rFonts w:hint="eastAsia"/>
        </w:rPr>
        <w:t>20</w:t>
      </w:r>
      <w:r>
        <w:t>0mg/L=</w:t>
      </w:r>
      <w:r>
        <w:rPr>
          <w:rFonts w:hint="eastAsia"/>
        </w:rPr>
        <w:t>10</w:t>
      </w:r>
      <w:r>
        <w:t>kg</w:t>
      </w:r>
      <w:r>
        <w:rPr>
          <w:rFonts w:hint="eastAsia"/>
        </w:rPr>
        <w:t>。</w:t>
      </w:r>
    </w:p>
    <w:p>
      <w:pPr>
        <w:pStyle w:val="112"/>
        <w:ind w:firstLine="480"/>
      </w:pPr>
      <w:r>
        <w:rPr>
          <w:rFonts w:hint="eastAsia"/>
        </w:rPr>
        <w:t>③预测模式</w:t>
      </w:r>
    </w:p>
    <w:p>
      <w:pPr>
        <w:pStyle w:val="112"/>
        <w:ind w:firstLine="480"/>
      </w:pPr>
      <w:r>
        <w:rPr>
          <w:rFonts w:hint="eastAsia" w:ascii="宋体" w:cs="宋体"/>
        </w:rPr>
        <w:t>本次预测</w:t>
      </w:r>
      <w:r>
        <w:t>采用《环境影响评价技术导则土壤环境（试行）》中E.1.3中预测方法进行计算。</w:t>
      </w:r>
    </w:p>
    <w:p>
      <w:pPr>
        <w:pStyle w:val="112"/>
        <w:ind w:firstLine="480"/>
      </w:pPr>
      <w:r>
        <w:rPr>
          <w:rFonts w:hint="eastAsia"/>
        </w:rPr>
        <w:t>a、</w:t>
      </w:r>
      <w:r>
        <w:t>单位质量土壤中某种物质的增量可用下式计算：</w:t>
      </w:r>
    </w:p>
    <w:p>
      <w:pPr>
        <w:pStyle w:val="112"/>
        <w:ind w:firstLine="480"/>
      </w:pPr>
      <w:r>
        <w:drawing>
          <wp:inline distT="0" distB="0" distL="0" distR="0">
            <wp:extent cx="4636770" cy="443230"/>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13" cstate="print"/>
                    <a:srcRect/>
                    <a:stretch>
                      <a:fillRect/>
                    </a:stretch>
                  </pic:blipFill>
                  <pic:spPr>
                    <a:xfrm>
                      <a:off x="0" y="0"/>
                      <a:ext cx="4636770" cy="443230"/>
                    </a:xfrm>
                    <a:prstGeom prst="rect">
                      <a:avLst/>
                    </a:prstGeom>
                    <a:noFill/>
                    <a:ln w="9525">
                      <a:noFill/>
                      <a:miter lim="800000"/>
                      <a:headEnd/>
                      <a:tailEnd/>
                    </a:ln>
                  </pic:spPr>
                </pic:pic>
              </a:graphicData>
            </a:graphic>
          </wp:inline>
        </w:drawing>
      </w:r>
    </w:p>
    <w:p>
      <w:pPr>
        <w:pStyle w:val="112"/>
        <w:ind w:firstLine="480"/>
      </w:pPr>
      <w:r>
        <w:t>式中：</w:t>
      </w:r>
      <w:r>
        <w:rPr>
          <w:i/>
          <w:iCs/>
        </w:rPr>
        <w:t>ΔS</w:t>
      </w:r>
      <w:r>
        <w:t>——单位质量表层土壤中某种物质的增量，g/kg；</w:t>
      </w:r>
    </w:p>
    <w:p>
      <w:pPr>
        <w:pStyle w:val="112"/>
        <w:ind w:firstLine="480"/>
      </w:pPr>
      <w:r>
        <w:t>表层土壤中游离酸或游离碱浓度增量，mmol/kg；</w:t>
      </w:r>
    </w:p>
    <w:p>
      <w:pPr>
        <w:pStyle w:val="112"/>
        <w:ind w:firstLine="480"/>
      </w:pPr>
      <w:r>
        <w:rPr>
          <w:i/>
          <w:iCs/>
        </w:rPr>
        <w:t>I</w:t>
      </w:r>
      <w:r>
        <w:t>S ——预测评价范围内单位年份表层土壤中某种物质的输入量，g；</w:t>
      </w:r>
    </w:p>
    <w:p>
      <w:pPr>
        <w:pStyle w:val="112"/>
        <w:ind w:firstLine="480"/>
      </w:pPr>
      <w:r>
        <w:t>预测评价范围内单位年份表层土壤中游离酸、游离碱输入量，mmol；</w:t>
      </w:r>
    </w:p>
    <w:p>
      <w:pPr>
        <w:pStyle w:val="112"/>
        <w:ind w:firstLine="480"/>
      </w:pPr>
      <w:r>
        <w:rPr>
          <w:i/>
          <w:iCs/>
        </w:rPr>
        <w:t>L</w:t>
      </w:r>
      <w:r>
        <w:t>S——预测评价范围内单位年份表层土壤中某种物质经淋溶排出的量，g；</w:t>
      </w:r>
    </w:p>
    <w:p>
      <w:pPr>
        <w:pStyle w:val="112"/>
        <w:ind w:firstLine="480"/>
      </w:pPr>
      <w:r>
        <w:t>预测评价范围内单位年份表层土壤中经淋溶排出的游离酸、游离碱的量，mmol；</w:t>
      </w:r>
    </w:p>
    <w:p>
      <w:pPr>
        <w:pStyle w:val="112"/>
        <w:ind w:firstLine="480"/>
      </w:pPr>
      <w:r>
        <w:rPr>
          <w:i/>
          <w:iCs/>
        </w:rPr>
        <w:t>R</w:t>
      </w:r>
      <w:r>
        <w:t>S——预测评价范围内单位年份表层土壤中某种物质经径流排出的量，g；</w:t>
      </w:r>
    </w:p>
    <w:p>
      <w:pPr>
        <w:pStyle w:val="112"/>
        <w:ind w:firstLine="480"/>
      </w:pPr>
      <w:r>
        <w:t>预测评价范围内单位年份表层土壤中经径流排出的游离酸、游离碱的量，mmol；</w:t>
      </w:r>
    </w:p>
    <w:p>
      <w:pPr>
        <w:pStyle w:val="112"/>
        <w:ind w:firstLine="480"/>
      </w:pPr>
      <w:r>
        <w:rPr>
          <w:i/>
          <w:iCs/>
        </w:rPr>
        <w:t>ρ</w:t>
      </w:r>
      <w:r>
        <w:t>b——表层土壤容重，kg/m</w:t>
      </w:r>
      <w:r>
        <w:rPr>
          <w:vertAlign w:val="superscript"/>
        </w:rPr>
        <w:t>3</w:t>
      </w:r>
      <w:r>
        <w:t>。</w:t>
      </w:r>
    </w:p>
    <w:p>
      <w:pPr>
        <w:pStyle w:val="112"/>
        <w:ind w:firstLine="480"/>
      </w:pPr>
      <w:r>
        <w:rPr>
          <w:i/>
          <w:iCs/>
        </w:rPr>
        <w:t>A</w:t>
      </w:r>
      <w:r>
        <w:t>——预测评价范围，m</w:t>
      </w:r>
      <w:r>
        <w:rPr>
          <w:vertAlign w:val="superscript"/>
        </w:rPr>
        <w:t>2</w:t>
      </w:r>
      <w:r>
        <w:t>。</w:t>
      </w:r>
    </w:p>
    <w:p>
      <w:pPr>
        <w:pStyle w:val="112"/>
        <w:ind w:firstLine="480"/>
      </w:pPr>
      <w:r>
        <w:rPr>
          <w:i/>
          <w:iCs/>
        </w:rPr>
        <w:t>D</w:t>
      </w:r>
      <w:r>
        <w:t>——表层土壤深度，一般取0.2m，可根据实际情况适当调整；</w:t>
      </w:r>
    </w:p>
    <w:p>
      <w:pPr>
        <w:pStyle w:val="112"/>
        <w:ind w:firstLine="480"/>
      </w:pPr>
      <w:r>
        <w:rPr>
          <w:i/>
          <w:iCs/>
        </w:rPr>
        <w:t>n</w:t>
      </w:r>
      <w:r>
        <w:t>——持续年份，a。</w:t>
      </w:r>
    </w:p>
    <w:p>
      <w:pPr>
        <w:pStyle w:val="112"/>
        <w:ind w:firstLine="480"/>
      </w:pPr>
      <w:r>
        <w:rPr>
          <w:rFonts w:hint="eastAsia"/>
        </w:rPr>
        <w:t>b、</w:t>
      </w:r>
      <w:r>
        <w:t>单位质量土壤中某种物质的预测值可根据其增量叠加现状值进行计算：</w:t>
      </w:r>
    </w:p>
    <w:p>
      <w:pPr>
        <w:pStyle w:val="112"/>
        <w:ind w:firstLine="480"/>
      </w:pPr>
      <w:r>
        <w:drawing>
          <wp:inline distT="0" distB="0" distL="0" distR="0">
            <wp:extent cx="1283970" cy="276860"/>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14" cstate="print"/>
                    <a:srcRect/>
                    <a:stretch>
                      <a:fillRect/>
                    </a:stretch>
                  </pic:blipFill>
                  <pic:spPr>
                    <a:xfrm>
                      <a:off x="0" y="0"/>
                      <a:ext cx="1283970" cy="276860"/>
                    </a:xfrm>
                    <a:prstGeom prst="rect">
                      <a:avLst/>
                    </a:prstGeom>
                    <a:noFill/>
                    <a:ln w="9525">
                      <a:noFill/>
                      <a:miter lim="800000"/>
                      <a:headEnd/>
                      <a:tailEnd/>
                    </a:ln>
                  </pic:spPr>
                </pic:pic>
              </a:graphicData>
            </a:graphic>
          </wp:inline>
        </w:drawing>
      </w:r>
    </w:p>
    <w:p>
      <w:pPr>
        <w:pStyle w:val="112"/>
        <w:ind w:firstLine="480"/>
      </w:pPr>
      <w:r>
        <w:t>式中：Sb——单位质量土壤中某种物质的现状值，g/kg；</w:t>
      </w:r>
    </w:p>
    <w:p>
      <w:pPr>
        <w:pStyle w:val="112"/>
        <w:ind w:firstLine="480"/>
      </w:pPr>
      <w:r>
        <w:t>S——单位质量土壤中某种物质的预测值，g/kg。</w:t>
      </w:r>
    </w:p>
    <w:p>
      <w:pPr>
        <w:pStyle w:val="112"/>
        <w:ind w:firstLine="480"/>
      </w:pPr>
      <w:r>
        <w:t xml:space="preserve">参数选取： </w:t>
      </w:r>
    </w:p>
    <w:p>
      <w:pPr>
        <w:pStyle w:val="112"/>
        <w:ind w:left="480" w:firstLine="0" w:firstLineChars="0"/>
      </w:pPr>
      <w:r>
        <w:rPr>
          <w:rFonts w:hint="eastAsia"/>
        </w:rPr>
        <w:t>a、</w:t>
      </w:r>
      <w:r>
        <w:t>单位年份表层土壤中某种物质的输入量</w:t>
      </w:r>
      <w:r>
        <w:rPr>
          <w:i/>
          <w:iCs/>
        </w:rPr>
        <w:t>I</w:t>
      </w:r>
      <w:r>
        <w:t xml:space="preserve">S </w:t>
      </w:r>
    </w:p>
    <w:p>
      <w:pPr>
        <w:pStyle w:val="112"/>
        <w:ind w:firstLine="480"/>
      </w:pPr>
      <w:r>
        <w:t>根据预测，取值</w:t>
      </w:r>
      <w:r>
        <w:rPr>
          <w:rFonts w:hint="eastAsia"/>
        </w:rPr>
        <w:t>2</w:t>
      </w:r>
      <w:r>
        <w:t>kg；</w:t>
      </w:r>
    </w:p>
    <w:p>
      <w:pPr>
        <w:pStyle w:val="112"/>
        <w:ind w:firstLine="480"/>
      </w:pPr>
      <w:r>
        <w:rPr>
          <w:rFonts w:hint="eastAsia"/>
        </w:rPr>
        <w:t>b、</w:t>
      </w:r>
      <w:r>
        <w:t xml:space="preserve">土壤容重 </w:t>
      </w:r>
    </w:p>
    <w:p>
      <w:pPr>
        <w:pStyle w:val="112"/>
        <w:ind w:firstLine="480"/>
      </w:pPr>
      <w:r>
        <w:t>采用地理科学第3期第29卷中《成渝经济区的耕地土壤质量特点及保护对策》中提出的耕层土壤容重&gt;1350kg/m</w:t>
      </w:r>
      <w:r>
        <w:rPr>
          <w:vertAlign w:val="superscript"/>
        </w:rPr>
        <w:t>3</w:t>
      </w:r>
      <w:r>
        <w:t>，评价取值1350kg/m</w:t>
      </w:r>
      <w:r>
        <w:rPr>
          <w:vertAlign w:val="superscript"/>
        </w:rPr>
        <w:t>3</w:t>
      </w:r>
      <w:r>
        <w:t xml:space="preserve">。 </w:t>
      </w:r>
    </w:p>
    <w:p>
      <w:pPr>
        <w:pStyle w:val="112"/>
        <w:ind w:firstLine="480"/>
      </w:pPr>
      <w:r>
        <w:rPr>
          <w:rFonts w:hint="eastAsia"/>
        </w:rPr>
        <w:t>c、</w:t>
      </w:r>
      <w:r>
        <w:t xml:space="preserve">评价范围 </w:t>
      </w:r>
    </w:p>
    <w:p>
      <w:pPr>
        <w:pStyle w:val="112"/>
        <w:ind w:firstLine="480"/>
      </w:pPr>
      <w:r>
        <w:t>以</w:t>
      </w:r>
      <w:r>
        <w:rPr>
          <w:rFonts w:hint="eastAsia"/>
        </w:rPr>
        <w:t>污水缓冲罐罐</w:t>
      </w:r>
      <w:r>
        <w:t>底面积=</w:t>
      </w:r>
      <w:r>
        <w:rPr>
          <w:rFonts w:hint="eastAsia"/>
        </w:rPr>
        <w:t>3.14</w:t>
      </w:r>
      <w:r>
        <w:t>×</w:t>
      </w:r>
      <w:r>
        <w:rPr>
          <w:rFonts w:hint="eastAsia"/>
        </w:rPr>
        <w:t>1</w:t>
      </w:r>
      <w:r>
        <w:t>m×</w:t>
      </w:r>
      <w:r>
        <w:rPr>
          <w:rFonts w:hint="eastAsia"/>
        </w:rPr>
        <w:t>1</w:t>
      </w:r>
      <w:r>
        <w:t>m=</w:t>
      </w:r>
      <w:r>
        <w:rPr>
          <w:rFonts w:hint="eastAsia"/>
        </w:rPr>
        <w:t>12.56</w:t>
      </w:r>
      <w:r>
        <w:t>m</w:t>
      </w:r>
      <w:r>
        <w:rPr>
          <w:vertAlign w:val="superscript"/>
        </w:rPr>
        <w:t>2</w:t>
      </w:r>
      <w:r>
        <w:t xml:space="preserve">。 </w:t>
      </w:r>
    </w:p>
    <w:p>
      <w:pPr>
        <w:pStyle w:val="112"/>
        <w:ind w:firstLine="480"/>
      </w:pPr>
      <w:r>
        <w:t>预测</w:t>
      </w:r>
      <w:r>
        <w:rPr>
          <w:b/>
          <w:bCs/>
        </w:rPr>
        <w:t>ΔS</w:t>
      </w:r>
      <w:r>
        <w:t>值：采用《环境影响评价技术导则土壤环境（试行）》中E.1.3中预测方法及选取的参数，可计算：</w:t>
      </w:r>
    </w:p>
    <w:p>
      <w:pPr>
        <w:pStyle w:val="112"/>
        <w:ind w:firstLine="480"/>
      </w:pPr>
      <w:r>
        <w:t>土层中石油类增量</w:t>
      </w:r>
      <w:r>
        <w:rPr>
          <w:i/>
          <w:iCs/>
        </w:rPr>
        <w:t>ΔS</w:t>
      </w:r>
      <w:r>
        <w:t>石油类=</w:t>
      </w:r>
      <w:r>
        <w:rPr>
          <w:rFonts w:hint="eastAsia"/>
        </w:rPr>
        <w:t>10</w:t>
      </w:r>
      <w:r>
        <w:t>kg/（1350kg/m</w:t>
      </w:r>
      <w:r>
        <w:rPr>
          <w:vertAlign w:val="superscript"/>
        </w:rPr>
        <w:t>3</w:t>
      </w:r>
      <w:r>
        <w:t>×</w:t>
      </w:r>
      <w:r>
        <w:rPr>
          <w:rFonts w:hint="eastAsia"/>
        </w:rPr>
        <w:t>3.14</w:t>
      </w:r>
      <w:r>
        <w:t>m</w:t>
      </w:r>
      <w:r>
        <w:rPr>
          <w:vertAlign w:val="superscript"/>
        </w:rPr>
        <w:t>2</w:t>
      </w:r>
      <w:r>
        <w:t>×0.2m）=</w:t>
      </w:r>
      <w:r>
        <w:rPr>
          <w:rFonts w:hint="eastAsia"/>
        </w:rPr>
        <w:t>0.012</w:t>
      </w:r>
      <w:r>
        <w:t>g/kg；</w:t>
      </w:r>
    </w:p>
    <w:p>
      <w:pPr>
        <w:pStyle w:val="112"/>
        <w:ind w:firstLine="480"/>
      </w:pPr>
      <w:r>
        <w:t>预测值</w:t>
      </w:r>
      <w:r>
        <w:rPr>
          <w:b/>
          <w:bCs/>
        </w:rPr>
        <w:t>S</w:t>
      </w:r>
      <w:r>
        <w:t>值：根据本次评价阶段的土壤监测数据，石油类（石油烃）最大浓度为0.</w:t>
      </w:r>
      <w:r>
        <w:rPr>
          <w:rFonts w:hint="eastAsia"/>
        </w:rPr>
        <w:t>103</w:t>
      </w:r>
      <w:r>
        <w:t>g/kg，土层中石油类预测值</w:t>
      </w:r>
      <w:r>
        <w:rPr>
          <w:i/>
          <w:iCs/>
        </w:rPr>
        <w:t>S</w:t>
      </w:r>
      <w:r>
        <w:t>为</w:t>
      </w:r>
      <w:r>
        <w:rPr>
          <w:rFonts w:hint="eastAsia"/>
        </w:rPr>
        <w:t>0.115</w:t>
      </w:r>
      <w:r>
        <w:t>g/kg。满足《土壤环境质量</w:t>
      </w:r>
      <w:r>
        <w:rPr>
          <w:rFonts w:hint="eastAsia"/>
        </w:rPr>
        <w:t xml:space="preserve"> </w:t>
      </w:r>
      <w:r>
        <w:t>建设用地土壤污染风险管控标准（试行）》（GB36600-2018）第二类用地筛选值。</w:t>
      </w:r>
    </w:p>
    <w:p>
      <w:pPr>
        <w:pStyle w:val="112"/>
        <w:ind w:firstLine="482"/>
        <w:rPr>
          <w:b/>
          <w:bCs/>
        </w:rPr>
      </w:pPr>
      <w:r>
        <w:rPr>
          <w:b/>
          <w:bCs/>
        </w:rPr>
        <w:t>6、</w:t>
      </w:r>
      <w:r>
        <w:rPr>
          <w:rFonts w:hint="eastAsia"/>
          <w:b/>
          <w:bCs/>
        </w:rPr>
        <w:t>小结</w:t>
      </w:r>
    </w:p>
    <w:p>
      <w:pPr>
        <w:pStyle w:val="112"/>
        <w:ind w:firstLine="480"/>
      </w:pPr>
      <w:r>
        <w:t>本项目正常工况下基本不会对土壤造成影响，主要考虑</w:t>
      </w:r>
      <w:r>
        <w:rPr>
          <w:rFonts w:hint="eastAsia"/>
        </w:rPr>
        <w:t>污水缓冲罐</w:t>
      </w:r>
      <w:r>
        <w:t>破裂，引起事故泄漏形成垂直入渗，有可能</w:t>
      </w:r>
      <w:r>
        <w:rPr>
          <w:rFonts w:hint="eastAsia"/>
        </w:rPr>
        <w:t>对土壤环境产生污染影响。因此，环评要求建设单位须做好管道的防腐防渗措施，定期检修污水缓冲罐，及时发现并修护泄漏破损问题。</w:t>
      </w:r>
    </w:p>
    <w:p>
      <w:pPr>
        <w:pStyle w:val="112"/>
        <w:ind w:firstLine="480"/>
      </w:pPr>
      <w:r>
        <w:rPr>
          <w:rFonts w:hint="eastAsia"/>
        </w:rPr>
        <w:t>根据调查，川渝地区实施的地面集输项目，在采取了妥善防范措施的情况下，均未发现对土壤产生明显污染影响的情况，也没有接到关于土壤污染环保投诉的地面集输项目，也印证了采取防范措施的情况下站场运行过程中没有对土壤环境质量产生明显的负面影响。</w:t>
      </w:r>
    </w:p>
    <w:p>
      <w:pPr>
        <w:pStyle w:val="3"/>
        <w:spacing w:before="120"/>
        <w:rPr>
          <w:rFonts w:cs="Times New Roman"/>
        </w:rPr>
      </w:pPr>
      <w:r>
        <w:rPr>
          <w:rFonts w:cs="Times New Roman"/>
        </w:rPr>
        <w:t>6.</w:t>
      </w:r>
      <w:r>
        <w:rPr>
          <w:rFonts w:hint="eastAsia" w:cs="Times New Roman"/>
        </w:rPr>
        <w:t>3</w:t>
      </w:r>
      <w:r>
        <w:rPr>
          <w:rFonts w:cs="Times New Roman"/>
        </w:rPr>
        <w:t xml:space="preserve"> </w:t>
      </w:r>
      <w:r>
        <w:rPr>
          <w:rFonts w:hint="eastAsia" w:cs="Times New Roman"/>
        </w:rPr>
        <w:t>退役期环境影响分析</w:t>
      </w:r>
    </w:p>
    <w:p>
      <w:pPr>
        <w:pStyle w:val="112"/>
        <w:ind w:firstLine="480"/>
      </w:pPr>
      <w:r>
        <w:rPr>
          <w:rFonts w:hint="eastAsia"/>
        </w:rPr>
        <w:t>随着天然气开采的不断进行，其储量逐渐下降，最终将进入服役期满。当气井开发接近尾声时，各种机械设备将停止使用，进驻其中的天然气开发工作人员将陆续撤离井场，由此带来的大气污染物、生产废水、生活污水、噪声及固体废物等对环境的影响将会消失。</w:t>
      </w:r>
    </w:p>
    <w:p>
      <w:pPr>
        <w:pStyle w:val="112"/>
        <w:ind w:firstLine="480"/>
      </w:pPr>
      <w:r>
        <w:rPr>
          <w:rFonts w:hint="eastAsia"/>
        </w:rPr>
        <w:t>服役期满的环境影响以生态环境的恢复为主，同时封井和井场清理也会产生少量扬尘和建筑垃圾，会对周围的环境造成一定影响。</w:t>
      </w:r>
    </w:p>
    <w:p>
      <w:pPr>
        <w:pStyle w:val="112"/>
        <w:ind w:firstLine="480"/>
      </w:pPr>
      <w:r>
        <w:rPr>
          <w:rFonts w:hint="eastAsia"/>
        </w:rPr>
        <w:t>气井停采后将进行一系列清理工作，包括地面设施拆除、地下截去至少 1m的井筒并用水泥灌注封井、井场清理等。在这期间，将会产生少量扬尘和固体废物。在闭井施工操作中应注意采取降尘措施，文明施工，防止水泥等的洒落与飘散，同时在清理井场时防止产生飞灰、扬尘的产生，尽可能降低对周边大气环境的影响。</w:t>
      </w:r>
    </w:p>
    <w:p>
      <w:pPr>
        <w:pStyle w:val="112"/>
        <w:ind w:firstLine="480"/>
      </w:pPr>
      <w:r>
        <w:rPr>
          <w:rFonts w:hint="eastAsia"/>
        </w:rPr>
        <w:t>另外，井场清理等工作还会产生部分废弃管线、废弃建筑残渣等固体废物，对这些废弃管线、残渣等进行集中清理收集，管线外运经清洗后可回收再利用，废弃建筑残渣外运至指定处理场填埋处理。固体废物的妥善处理，可以有效控制对区域环境的影响。</w:t>
      </w:r>
    </w:p>
    <w:p>
      <w:pPr>
        <w:pStyle w:val="112"/>
        <w:ind w:firstLine="480"/>
        <w:sectPr>
          <w:pgSz w:w="11906" w:h="16838"/>
          <w:pgMar w:top="1440" w:right="1800" w:bottom="1440" w:left="1800" w:header="851" w:footer="992" w:gutter="0"/>
          <w:cols w:space="425" w:num="1"/>
          <w:docGrid w:type="lines" w:linePitch="312" w:charSpace="0"/>
        </w:sectPr>
      </w:pPr>
      <w:r>
        <w:rPr>
          <w:rFonts w:hint="eastAsia"/>
        </w:rPr>
        <w:t>井场经过清理后，永久性占地范围内的水泥平台或砂砾石铺垫被清理，随后根据周边区域的自然现状对其进行恢复，使井场恢复到相对自然的一种状态。井场设施退役后，人员撤离，区域内没有了人为的扰动，井场范围内的自然环境会逐渐得以恢复，有助于区域生态环境的改善。</w:t>
      </w:r>
    </w:p>
    <w:p>
      <w:pPr>
        <w:pStyle w:val="2"/>
        <w:spacing w:before="0" w:beforeAutospacing="0" w:after="0" w:afterAutospacing="0"/>
        <w:rPr>
          <w:rFonts w:eastAsia="宋体"/>
          <w:b w:val="0"/>
          <w:bCs/>
          <w:kern w:val="0"/>
        </w:rPr>
      </w:pPr>
      <w:bookmarkStart w:id="500" w:name="_Toc19816091"/>
      <w:bookmarkStart w:id="501" w:name="_Toc81515291"/>
      <w:bookmarkStart w:id="502" w:name="_Hlk56973055"/>
      <w:r>
        <w:rPr>
          <w:rFonts w:eastAsia="宋体"/>
          <w:bCs/>
          <w:kern w:val="0"/>
        </w:rPr>
        <w:t>7 环境风险分析</w:t>
      </w:r>
      <w:bookmarkEnd w:id="500"/>
      <w:bookmarkEnd w:id="501"/>
    </w:p>
    <w:p>
      <w:pPr>
        <w:pStyle w:val="3"/>
        <w:spacing w:before="120"/>
        <w:rPr>
          <w:rFonts w:cs="Times New Roman"/>
        </w:rPr>
      </w:pPr>
      <w:bookmarkStart w:id="503" w:name="_Toc81515292"/>
      <w:r>
        <w:rPr>
          <w:rFonts w:cs="Times New Roman"/>
        </w:rPr>
        <w:t>7.1 评价依据</w:t>
      </w:r>
      <w:bookmarkEnd w:id="503"/>
    </w:p>
    <w:p>
      <w:pPr>
        <w:pStyle w:val="112"/>
        <w:ind w:firstLine="480"/>
      </w:pPr>
      <w:r>
        <w:t>本环评按照《建设项目环境风险评价技术导则》（HJ169-2018）、《关于进一步加强环境影响评价管理防范环境风险的通知》（环发〔2012〕77号）和《关于切实加强风险防范严格环境影响评价管理的通知》（环发〔2012〕98号）的精神，对本项目环境风险进行分析评价。</w:t>
      </w:r>
    </w:p>
    <w:p>
      <w:pPr>
        <w:pStyle w:val="3"/>
        <w:spacing w:before="120"/>
        <w:rPr>
          <w:rFonts w:cs="Times New Roman"/>
        </w:rPr>
      </w:pPr>
      <w:bookmarkStart w:id="504" w:name="_Toc81515293"/>
      <w:r>
        <w:rPr>
          <w:rFonts w:cs="Times New Roman"/>
        </w:rPr>
        <w:t>7.2 一般性原则</w:t>
      </w:r>
      <w:bookmarkEnd w:id="504"/>
    </w:p>
    <w:p>
      <w:pPr>
        <w:pStyle w:val="112"/>
        <w:ind w:firstLine="480"/>
      </w:pPr>
      <w:r>
        <w:t>根据《建设项目环境风险评价技术导则》（HJ169-2018），环境风险评价是以突发性事故导致的危险物质环境及损害防控为目标，对建设项目的环境风险进行分析、预测和评估，提出环境风险预防、控制、减缓措施，明确环境风险监控及应急建议要求，为建设项目环境风险防控提供科学依据。</w:t>
      </w:r>
    </w:p>
    <w:p>
      <w:pPr>
        <w:pStyle w:val="3"/>
        <w:spacing w:before="120"/>
        <w:rPr>
          <w:rFonts w:cs="Times New Roman"/>
        </w:rPr>
      </w:pPr>
      <w:bookmarkStart w:id="505" w:name="_Toc81515294"/>
      <w:r>
        <w:rPr>
          <w:rFonts w:cs="Times New Roman"/>
        </w:rPr>
        <w:t>7.3 评价目的及重点</w:t>
      </w:r>
      <w:bookmarkEnd w:id="505"/>
    </w:p>
    <w:p>
      <w:pPr>
        <w:pStyle w:val="6"/>
        <w:ind w:firstLine="480"/>
        <w:rPr>
          <w:rFonts w:ascii="Times New Roman" w:cs="Times New Roman"/>
        </w:rPr>
      </w:pPr>
      <w:r>
        <w:rPr>
          <w:rFonts w:ascii="Times New Roman" w:cs="Times New Roman"/>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根据本项目工程特点和周围的环境状况，确定把风险带来的环境影响问题作为风险评价工作重点。</w:t>
      </w:r>
    </w:p>
    <w:p>
      <w:pPr>
        <w:pStyle w:val="6"/>
        <w:ind w:firstLine="480"/>
        <w:rPr>
          <w:rFonts w:ascii="Times New Roman" w:cs="Times New Roman"/>
        </w:rPr>
      </w:pPr>
      <w:r>
        <w:rPr>
          <w:rFonts w:ascii="Times New Roman" w:cs="Times New Roman"/>
        </w:rPr>
        <w:t>根据本项目特点，本报告主要针对普光气田普陆4-1H井产能建设项目</w:t>
      </w:r>
      <w:r>
        <w:rPr>
          <w:rFonts w:hint="eastAsia"/>
        </w:rPr>
        <w:t>井喷过程天然气泄漏</w:t>
      </w:r>
      <w:r>
        <w:rPr>
          <w:rFonts w:ascii="Times New Roman" w:cs="Times New Roman"/>
        </w:rPr>
        <w:t>及泄漏引发的火灾</w:t>
      </w:r>
      <w:r>
        <w:rPr>
          <w:rFonts w:hint="eastAsia" w:ascii="Times New Roman" w:cs="Times New Roman"/>
        </w:rPr>
        <w:t>事故</w:t>
      </w:r>
      <w:r>
        <w:rPr>
          <w:rFonts w:hint="eastAsia"/>
        </w:rPr>
        <w:t>、</w:t>
      </w:r>
      <w:r>
        <w:rPr>
          <w:rFonts w:ascii="Times New Roman" w:cs="Times New Roman"/>
        </w:rPr>
        <w:t>天然气输气管线发生天然气泄漏及泄漏引发的火灾</w:t>
      </w:r>
      <w:r>
        <w:rPr>
          <w:rFonts w:hint="eastAsia" w:ascii="Times New Roman" w:cs="Times New Roman"/>
        </w:rPr>
        <w:t>事故、压裂、洗井废水、气田水</w:t>
      </w:r>
      <w:r>
        <w:rPr>
          <w:rFonts w:ascii="Times New Roman" w:cs="Times New Roman"/>
        </w:rPr>
        <w:t>泄漏引发的水环境污染事故、爆炸事故燃烧过程中产生的伴生/次生污染物对环境的影响进行评价。</w:t>
      </w:r>
    </w:p>
    <w:p>
      <w:pPr>
        <w:pStyle w:val="3"/>
        <w:spacing w:before="120"/>
        <w:rPr>
          <w:rFonts w:cs="Times New Roman"/>
        </w:rPr>
      </w:pPr>
      <w:bookmarkStart w:id="506" w:name="bookmark55"/>
      <w:bookmarkEnd w:id="506"/>
      <w:bookmarkStart w:id="507" w:name="_Toc12288718"/>
      <w:bookmarkStart w:id="508" w:name="_Toc19816092"/>
      <w:bookmarkStart w:id="509" w:name="_Toc81515295"/>
      <w:r>
        <w:rPr>
          <w:rFonts w:cs="Times New Roman"/>
        </w:rPr>
        <w:t>7.4 风险调查</w:t>
      </w:r>
      <w:bookmarkEnd w:id="507"/>
      <w:bookmarkEnd w:id="508"/>
      <w:bookmarkEnd w:id="509"/>
    </w:p>
    <w:p>
      <w:pPr>
        <w:pStyle w:val="4"/>
        <w:rPr>
          <w:rFonts w:eastAsia="宋体"/>
        </w:rPr>
      </w:pPr>
      <w:bookmarkStart w:id="510" w:name="bookmark56"/>
      <w:bookmarkEnd w:id="510"/>
      <w:bookmarkStart w:id="511" w:name="_Toc19816093"/>
      <w:bookmarkStart w:id="512" w:name="_Toc12288719"/>
      <w:r>
        <w:rPr>
          <w:rFonts w:eastAsia="宋体"/>
        </w:rPr>
        <w:t>7.3.1 风险源</w:t>
      </w:r>
      <w:bookmarkEnd w:id="511"/>
      <w:bookmarkEnd w:id="512"/>
    </w:p>
    <w:p>
      <w:pPr>
        <w:pStyle w:val="6"/>
        <w:ind w:firstLine="480"/>
        <w:rPr>
          <w:rFonts w:ascii="Times New Roman" w:cs="Times New Roman"/>
        </w:rPr>
      </w:pPr>
      <w:r>
        <w:rPr>
          <w:rFonts w:ascii="Times New Roman" w:cs="Times New Roman"/>
        </w:rPr>
        <w:t>本工程是天然气开采和内部集输工程，本工程输送的介质为</w:t>
      </w:r>
      <w:r>
        <w:rPr>
          <w:rFonts w:hint="eastAsia" w:ascii="Times New Roman" w:cs="Times New Roman"/>
        </w:rPr>
        <w:t>不</w:t>
      </w:r>
      <w:r>
        <w:rPr>
          <w:rFonts w:ascii="Times New Roman" w:cs="Times New Roman"/>
        </w:rPr>
        <w:t>含硫天然气，同时本项目涉及柴油</w:t>
      </w:r>
      <w:r>
        <w:rPr>
          <w:rFonts w:hint="eastAsia" w:ascii="Times New Roman" w:cs="Times New Roman"/>
        </w:rPr>
        <w:t>、凝析油</w:t>
      </w:r>
      <w:r>
        <w:rPr>
          <w:rFonts w:ascii="Times New Roman" w:cs="Times New Roman"/>
        </w:rPr>
        <w:t>储存</w:t>
      </w:r>
      <w:r>
        <w:rPr>
          <w:rFonts w:hint="eastAsia" w:ascii="Times New Roman" w:cs="Times New Roman"/>
        </w:rPr>
        <w:t>，</w:t>
      </w:r>
      <w:r>
        <w:rPr>
          <w:rFonts w:ascii="Times New Roman" w:cs="Times New Roman"/>
        </w:rPr>
        <w:t>项目涉及的主要危险有害物质为甲烷、柴油</w:t>
      </w:r>
      <w:r>
        <w:rPr>
          <w:rFonts w:hint="eastAsia" w:ascii="Times New Roman" w:cs="Times New Roman"/>
        </w:rPr>
        <w:t>、凝析油</w:t>
      </w:r>
      <w:r>
        <w:rPr>
          <w:rFonts w:ascii="Times New Roman" w:cs="Times New Roman"/>
        </w:rPr>
        <w:t>。根据《建设项目环境风险评价技术导则》（HJ169-2018）附录B，本项目重点关注的危险物质主要为甲烷临界量为10t</w:t>
      </w:r>
      <w:r>
        <w:rPr>
          <w:rFonts w:hint="eastAsia" w:ascii="Times New Roman" w:cs="Times New Roman"/>
        </w:rPr>
        <w:t>；</w:t>
      </w:r>
      <w:r>
        <w:rPr>
          <w:rFonts w:ascii="Times New Roman" w:cs="Times New Roman"/>
        </w:rPr>
        <w:t>柴油</w:t>
      </w:r>
      <w:r>
        <w:rPr>
          <w:rFonts w:hint="eastAsia" w:ascii="Times New Roman" w:cs="Times New Roman"/>
        </w:rPr>
        <w:t>、凝析油</w:t>
      </w:r>
      <w:r>
        <w:rPr>
          <w:rFonts w:ascii="Times New Roman" w:cs="Times New Roman"/>
        </w:rPr>
        <w:t>临界量为</w:t>
      </w:r>
      <w:r>
        <w:rPr>
          <w:rFonts w:hint="eastAsia" w:ascii="Times New Roman" w:cs="Times New Roman"/>
        </w:rPr>
        <w:t>2500t</w:t>
      </w:r>
      <w:r>
        <w:rPr>
          <w:rFonts w:ascii="Times New Roman" w:cs="Times New Roman"/>
        </w:rPr>
        <w:t>。由于</w:t>
      </w:r>
      <w:r>
        <w:rPr>
          <w:rFonts w:hint="eastAsia" w:ascii="Times New Roman" w:cs="Times New Roman"/>
        </w:rPr>
        <w:t>压裂、洗井废水、气田水</w:t>
      </w:r>
      <w:r>
        <w:rPr>
          <w:rFonts w:ascii="Times New Roman" w:cs="Times New Roman"/>
        </w:rPr>
        <w:t>不属于《建设项目</w:t>
      </w:r>
      <w:r>
        <w:rPr>
          <w:rFonts w:hint="eastAsia" w:ascii="Times New Roman" w:cs="Times New Roman"/>
        </w:rPr>
        <w:t>环境</w:t>
      </w:r>
      <w:r>
        <w:rPr>
          <w:rFonts w:ascii="Times New Roman" w:cs="Times New Roman"/>
        </w:rPr>
        <w:t>风险评价技术导则》（HJ169-2018），附录B中重点关注的危险物质，根据分析</w:t>
      </w:r>
      <w:r>
        <w:rPr>
          <w:rFonts w:hint="eastAsia" w:ascii="Times New Roman" w:cs="Times New Roman"/>
        </w:rPr>
        <w:t>压裂、洗井废水、气田水</w:t>
      </w:r>
      <w:r>
        <w:rPr>
          <w:rFonts w:ascii="Times New Roman" w:cs="Times New Roman"/>
        </w:rPr>
        <w:t>属于危害水环境物质，但不属于急性毒性类别1中物质。故不作为环境风险等级判定物质，本次评价仅对其在储存过程中的风险提出措施。</w:t>
      </w:r>
    </w:p>
    <w:p>
      <w:pPr>
        <w:pStyle w:val="4"/>
        <w:rPr>
          <w:rFonts w:eastAsia="宋体"/>
        </w:rPr>
      </w:pPr>
      <w:bookmarkStart w:id="513" w:name="bookmark57"/>
      <w:bookmarkEnd w:id="513"/>
      <w:bookmarkStart w:id="514" w:name="_Toc12288720"/>
      <w:bookmarkStart w:id="515" w:name="_Toc19816094"/>
      <w:r>
        <w:rPr>
          <w:rFonts w:eastAsia="宋体"/>
        </w:rPr>
        <w:t>7.3.2 环境敏感目标</w:t>
      </w:r>
      <w:bookmarkEnd w:id="514"/>
      <w:bookmarkEnd w:id="515"/>
    </w:p>
    <w:p>
      <w:pPr>
        <w:pStyle w:val="6"/>
        <w:ind w:firstLine="480"/>
        <w:rPr>
          <w:rFonts w:ascii="Times New Roman" w:cs="Times New Roman"/>
        </w:rPr>
      </w:pPr>
      <w:r>
        <w:rPr>
          <w:rFonts w:ascii="Times New Roman" w:cs="Times New Roman"/>
        </w:rPr>
        <w:t>通过现场踏勘，对管道主要环境风险敏感点进行调查，调查结果见章节——</w:t>
      </w:r>
      <w:r>
        <w:rPr>
          <w:rFonts w:ascii="Times New Roman" w:cs="Times New Roman"/>
          <w:b/>
          <w:bCs/>
        </w:rPr>
        <w:t>1.9.2环境保护目标</w:t>
      </w:r>
      <w:r>
        <w:rPr>
          <w:rFonts w:ascii="Times New Roman" w:cs="Times New Roman"/>
        </w:rPr>
        <w:t>。本项目在选址选线过程中就避开了居民集中区、风景名胜区、文物古迹等风险敏感点，项目的环境风险敏感点主要是普陆4井台</w:t>
      </w:r>
      <w:r>
        <w:rPr>
          <w:rFonts w:hint="eastAsia" w:ascii="Times New Roman" w:cs="Times New Roman"/>
        </w:rPr>
        <w:t>5km范围内和</w:t>
      </w:r>
      <w:r>
        <w:rPr>
          <w:rFonts w:ascii="Times New Roman" w:cs="Times New Roman"/>
        </w:rPr>
        <w:t>管道沿线两侧</w:t>
      </w:r>
      <w:r>
        <w:rPr>
          <w:rFonts w:hint="eastAsia" w:ascii="Times New Roman" w:cs="Times New Roman"/>
        </w:rPr>
        <w:t>2</w:t>
      </w:r>
      <w:r>
        <w:rPr>
          <w:rFonts w:ascii="Times New Roman" w:cs="Times New Roman"/>
        </w:rPr>
        <w:t>00m范围内的居住户、社会关注点等。</w:t>
      </w:r>
    </w:p>
    <w:p>
      <w:pPr>
        <w:pStyle w:val="3"/>
        <w:spacing w:before="120"/>
        <w:rPr>
          <w:rFonts w:cs="Times New Roman"/>
        </w:rPr>
      </w:pPr>
      <w:bookmarkStart w:id="516" w:name="bookmark58"/>
      <w:bookmarkEnd w:id="516"/>
      <w:bookmarkStart w:id="517" w:name="_Toc19816095"/>
      <w:bookmarkStart w:id="518" w:name="_Toc12288721"/>
      <w:bookmarkStart w:id="519" w:name="_Toc81515296"/>
      <w:r>
        <w:rPr>
          <w:rFonts w:cs="Times New Roman"/>
        </w:rPr>
        <w:t>7.4环境风险潜势判定</w:t>
      </w:r>
      <w:bookmarkEnd w:id="517"/>
      <w:bookmarkEnd w:id="518"/>
      <w:bookmarkEnd w:id="519"/>
    </w:p>
    <w:p>
      <w:pPr>
        <w:pStyle w:val="6"/>
        <w:ind w:firstLine="480"/>
        <w:rPr>
          <w:rFonts w:ascii="Times New Roman" w:cs="Times New Roman"/>
        </w:rPr>
      </w:pPr>
      <w:r>
        <w:rPr>
          <w:rFonts w:hint="eastAsia" w:ascii="Times New Roman" w:cs="Times New Roman"/>
        </w:rPr>
        <w:t>根据建设项目涉及的物质及工艺系统的危险性及其所在地的环境敏感程度，结合事故情形下环境硬性途径，对建设项目潜在环境危害程度进行概化分析，按下表确定环境风险潜势。</w:t>
      </w:r>
    </w:p>
    <w:p>
      <w:pPr>
        <w:topLinePunct w:val="0"/>
        <w:adjustRightInd/>
        <w:ind w:firstLine="0" w:firstLineChars="0"/>
        <w:jc w:val="center"/>
        <w:rPr>
          <w:rFonts w:ascii="Times New Roman" w:cs="Times New Roman"/>
          <w:b/>
          <w:bCs/>
          <w:kern w:val="2"/>
          <w:sz w:val="21"/>
        </w:rPr>
      </w:pPr>
      <w:r>
        <w:rPr>
          <w:rFonts w:ascii="Times New Roman" w:cs="Times New Roman"/>
          <w:b/>
          <w:kern w:val="2"/>
          <w:sz w:val="21"/>
        </w:rPr>
        <w:t xml:space="preserve">表7.4-1   </w:t>
      </w:r>
      <w:r>
        <w:rPr>
          <w:rFonts w:ascii="Times New Roman" w:cs="Times New Roman"/>
          <w:b/>
          <w:bCs/>
          <w:kern w:val="2"/>
          <w:sz w:val="21"/>
        </w:rPr>
        <w:t>建设项目风险潜势的划分</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62"/>
        <w:gridCol w:w="1598"/>
        <w:gridCol w:w="1727"/>
        <w:gridCol w:w="1504"/>
        <w:gridCol w:w="17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962" w:type="dxa"/>
            <w:vMerge w:val="restart"/>
            <w:vAlign w:val="center"/>
          </w:tcPr>
          <w:p>
            <w:pPr>
              <w:topLinePunct w:val="0"/>
              <w:snapToGrid w:val="0"/>
              <w:spacing w:line="240" w:lineRule="exact"/>
              <w:ind w:firstLine="0" w:firstLineChars="0"/>
              <w:jc w:val="center"/>
              <w:rPr>
                <w:rFonts w:ascii="Times New Roman" w:cs="Times New Roman"/>
                <w:b/>
                <w:kern w:val="2"/>
                <w:sz w:val="21"/>
                <w:szCs w:val="21"/>
              </w:rPr>
            </w:pPr>
            <w:r>
              <w:rPr>
                <w:rFonts w:ascii="Times New Roman" w:cs="Times New Roman"/>
                <w:b/>
                <w:kern w:val="2"/>
                <w:sz w:val="21"/>
                <w:szCs w:val="21"/>
              </w:rPr>
              <w:t>环境敏感程度（E）</w:t>
            </w:r>
          </w:p>
        </w:tc>
        <w:tc>
          <w:tcPr>
            <w:tcW w:w="6560" w:type="dxa"/>
            <w:gridSpan w:val="4"/>
            <w:vAlign w:val="center"/>
          </w:tcPr>
          <w:p>
            <w:pPr>
              <w:topLinePunct w:val="0"/>
              <w:snapToGrid w:val="0"/>
              <w:spacing w:line="240" w:lineRule="exact"/>
              <w:ind w:firstLine="0" w:firstLineChars="0"/>
              <w:jc w:val="center"/>
              <w:rPr>
                <w:rFonts w:ascii="Times New Roman" w:cs="Times New Roman"/>
                <w:b/>
                <w:kern w:val="2"/>
                <w:sz w:val="21"/>
                <w:szCs w:val="21"/>
              </w:rPr>
            </w:pPr>
            <w:r>
              <w:rPr>
                <w:rFonts w:ascii="Times New Roman" w:cs="Times New Roman"/>
                <w:b/>
                <w:kern w:val="2"/>
                <w:sz w:val="21"/>
                <w:szCs w:val="21"/>
              </w:rPr>
              <w:t>危险物质及工艺系统危险性（P）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0" w:type="auto"/>
            <w:vMerge w:val="continue"/>
            <w:vAlign w:val="center"/>
          </w:tcPr>
          <w:p>
            <w:pPr>
              <w:widowControl/>
              <w:topLinePunct w:val="0"/>
              <w:snapToGrid w:val="0"/>
              <w:spacing w:line="240" w:lineRule="exact"/>
              <w:ind w:firstLine="420" w:firstLineChars="0"/>
              <w:jc w:val="center"/>
              <w:rPr>
                <w:rFonts w:ascii="Times New Roman" w:cs="Times New Roman"/>
                <w:b/>
                <w:kern w:val="2"/>
                <w:sz w:val="21"/>
                <w:szCs w:val="21"/>
              </w:rPr>
            </w:pPr>
          </w:p>
        </w:tc>
        <w:tc>
          <w:tcPr>
            <w:tcW w:w="1598" w:type="dxa"/>
            <w:vAlign w:val="center"/>
          </w:tcPr>
          <w:p>
            <w:pPr>
              <w:topLinePunct w:val="0"/>
              <w:snapToGrid w:val="0"/>
              <w:spacing w:line="240" w:lineRule="exact"/>
              <w:ind w:firstLine="0" w:firstLineChars="0"/>
              <w:jc w:val="center"/>
              <w:rPr>
                <w:rFonts w:ascii="Times New Roman" w:cs="Times New Roman"/>
                <w:b/>
                <w:kern w:val="2"/>
                <w:sz w:val="21"/>
                <w:szCs w:val="21"/>
              </w:rPr>
            </w:pPr>
            <w:r>
              <w:rPr>
                <w:rFonts w:ascii="Times New Roman" w:cs="Times New Roman"/>
                <w:b/>
                <w:kern w:val="2"/>
                <w:sz w:val="21"/>
                <w:szCs w:val="21"/>
              </w:rPr>
              <w:t>极高危害（P1）</w:t>
            </w:r>
          </w:p>
        </w:tc>
        <w:tc>
          <w:tcPr>
            <w:tcW w:w="1727" w:type="dxa"/>
            <w:vAlign w:val="center"/>
          </w:tcPr>
          <w:p>
            <w:pPr>
              <w:topLinePunct w:val="0"/>
              <w:snapToGrid w:val="0"/>
              <w:spacing w:line="240" w:lineRule="exact"/>
              <w:ind w:firstLine="0" w:firstLineChars="0"/>
              <w:jc w:val="center"/>
              <w:rPr>
                <w:rFonts w:ascii="Times New Roman" w:cs="Times New Roman"/>
                <w:b/>
                <w:kern w:val="2"/>
                <w:sz w:val="21"/>
                <w:szCs w:val="21"/>
              </w:rPr>
            </w:pPr>
            <w:r>
              <w:rPr>
                <w:rFonts w:ascii="Times New Roman" w:cs="Times New Roman"/>
                <w:b/>
                <w:kern w:val="2"/>
                <w:sz w:val="21"/>
                <w:szCs w:val="21"/>
              </w:rPr>
              <w:t>高度危害（P2）</w:t>
            </w:r>
          </w:p>
        </w:tc>
        <w:tc>
          <w:tcPr>
            <w:tcW w:w="1504" w:type="dxa"/>
            <w:vAlign w:val="center"/>
          </w:tcPr>
          <w:p>
            <w:pPr>
              <w:topLinePunct w:val="0"/>
              <w:snapToGrid w:val="0"/>
              <w:spacing w:line="240" w:lineRule="exact"/>
              <w:ind w:firstLine="0" w:firstLineChars="0"/>
              <w:jc w:val="center"/>
              <w:rPr>
                <w:rFonts w:ascii="Times New Roman" w:cs="Times New Roman"/>
                <w:b/>
                <w:kern w:val="2"/>
                <w:sz w:val="21"/>
                <w:szCs w:val="21"/>
              </w:rPr>
            </w:pPr>
            <w:r>
              <w:rPr>
                <w:rFonts w:ascii="Times New Roman" w:cs="Times New Roman"/>
                <w:b/>
                <w:kern w:val="2"/>
                <w:sz w:val="21"/>
                <w:szCs w:val="21"/>
              </w:rPr>
              <w:t>中度危害（P3）</w:t>
            </w:r>
          </w:p>
        </w:tc>
        <w:tc>
          <w:tcPr>
            <w:tcW w:w="1731" w:type="dxa"/>
            <w:vAlign w:val="center"/>
          </w:tcPr>
          <w:p>
            <w:pPr>
              <w:topLinePunct w:val="0"/>
              <w:snapToGrid w:val="0"/>
              <w:spacing w:line="240" w:lineRule="exact"/>
              <w:ind w:firstLine="0" w:firstLineChars="0"/>
              <w:jc w:val="center"/>
              <w:rPr>
                <w:rFonts w:ascii="Times New Roman" w:cs="Times New Roman"/>
                <w:b/>
                <w:kern w:val="2"/>
                <w:sz w:val="21"/>
                <w:szCs w:val="21"/>
              </w:rPr>
            </w:pPr>
            <w:r>
              <w:rPr>
                <w:rFonts w:ascii="Times New Roman" w:cs="Times New Roman"/>
                <w:b/>
                <w:kern w:val="2"/>
                <w:sz w:val="21"/>
                <w:szCs w:val="21"/>
              </w:rPr>
              <w:t>轻度危害（P4）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962"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ascii="Times New Roman" w:cs="Times New Roman"/>
                <w:kern w:val="2"/>
                <w:sz w:val="21"/>
                <w:szCs w:val="21"/>
              </w:rPr>
              <w:t>环境高度敏感区（E1）</w:t>
            </w:r>
          </w:p>
        </w:tc>
        <w:tc>
          <w:tcPr>
            <w:tcW w:w="1598"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hint="eastAsia" w:hAnsi="宋体"/>
                <w:kern w:val="2"/>
                <w:sz w:val="21"/>
                <w:szCs w:val="21"/>
              </w:rPr>
              <w:t>Ⅳ</w:t>
            </w:r>
            <w:r>
              <w:rPr>
                <w:rFonts w:ascii="Times New Roman" w:cs="Times New Roman"/>
                <w:kern w:val="2"/>
                <w:sz w:val="21"/>
                <w:szCs w:val="21"/>
                <w:vertAlign w:val="superscript"/>
              </w:rPr>
              <w:t>+</w:t>
            </w:r>
          </w:p>
        </w:tc>
        <w:tc>
          <w:tcPr>
            <w:tcW w:w="1727"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hint="eastAsia" w:hAnsi="宋体"/>
                <w:kern w:val="2"/>
                <w:sz w:val="21"/>
                <w:szCs w:val="21"/>
              </w:rPr>
              <w:t>Ⅳ</w:t>
            </w:r>
          </w:p>
        </w:tc>
        <w:tc>
          <w:tcPr>
            <w:tcW w:w="1504"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hint="eastAsia" w:hAnsi="宋体"/>
                <w:kern w:val="2"/>
                <w:sz w:val="21"/>
                <w:szCs w:val="21"/>
              </w:rPr>
              <w:t>Ⅲ</w:t>
            </w:r>
          </w:p>
        </w:tc>
        <w:tc>
          <w:tcPr>
            <w:tcW w:w="1731"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hint="eastAsia" w:hAnsi="宋体"/>
                <w:kern w:val="2"/>
                <w:sz w:val="21"/>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962"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ascii="Times New Roman" w:cs="Times New Roman"/>
                <w:kern w:val="2"/>
                <w:sz w:val="21"/>
                <w:szCs w:val="21"/>
              </w:rPr>
              <w:t>环境中度敏感区（E2）</w:t>
            </w:r>
          </w:p>
        </w:tc>
        <w:tc>
          <w:tcPr>
            <w:tcW w:w="1598"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hint="eastAsia" w:hAnsi="宋体"/>
                <w:kern w:val="2"/>
                <w:sz w:val="21"/>
                <w:szCs w:val="21"/>
              </w:rPr>
              <w:t>Ⅳ</w:t>
            </w:r>
          </w:p>
        </w:tc>
        <w:tc>
          <w:tcPr>
            <w:tcW w:w="1727"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hint="eastAsia" w:hAnsi="宋体"/>
                <w:kern w:val="2"/>
                <w:sz w:val="21"/>
                <w:szCs w:val="21"/>
              </w:rPr>
              <w:t>Ⅲ</w:t>
            </w:r>
          </w:p>
        </w:tc>
        <w:tc>
          <w:tcPr>
            <w:tcW w:w="1504"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hint="eastAsia" w:hAnsi="宋体"/>
                <w:kern w:val="2"/>
                <w:sz w:val="21"/>
                <w:szCs w:val="21"/>
              </w:rPr>
              <w:t>Ⅲ</w:t>
            </w:r>
          </w:p>
        </w:tc>
        <w:tc>
          <w:tcPr>
            <w:tcW w:w="1731"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hint="eastAsia" w:hAnsi="宋体"/>
                <w:kern w:val="2"/>
                <w:sz w:val="21"/>
                <w:szCs w:val="21"/>
              </w:rPr>
              <w:t>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962"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ascii="Times New Roman" w:cs="Times New Roman"/>
                <w:kern w:val="2"/>
                <w:sz w:val="21"/>
                <w:szCs w:val="21"/>
              </w:rPr>
              <w:t>环境低度敏感区（E3）</w:t>
            </w:r>
          </w:p>
        </w:tc>
        <w:tc>
          <w:tcPr>
            <w:tcW w:w="1598"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hint="eastAsia" w:hAnsi="宋体"/>
                <w:kern w:val="2"/>
                <w:sz w:val="21"/>
                <w:szCs w:val="21"/>
              </w:rPr>
              <w:t>Ⅲ</w:t>
            </w:r>
          </w:p>
        </w:tc>
        <w:tc>
          <w:tcPr>
            <w:tcW w:w="1727"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hint="eastAsia" w:hAnsi="宋体"/>
                <w:kern w:val="2"/>
                <w:sz w:val="21"/>
                <w:szCs w:val="21"/>
              </w:rPr>
              <w:t>Ⅲ</w:t>
            </w:r>
          </w:p>
        </w:tc>
        <w:tc>
          <w:tcPr>
            <w:tcW w:w="1504"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hint="eastAsia" w:hAnsi="宋体"/>
                <w:kern w:val="2"/>
                <w:sz w:val="21"/>
                <w:szCs w:val="21"/>
              </w:rPr>
              <w:t>Ⅱ</w:t>
            </w:r>
          </w:p>
        </w:tc>
        <w:tc>
          <w:tcPr>
            <w:tcW w:w="1731"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hint="eastAsia" w:hAnsi="宋体"/>
                <w:kern w:val="2"/>
                <w:sz w:val="21"/>
                <w:szCs w:val="21"/>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vAlign w:val="center"/>
          </w:tcPr>
          <w:p>
            <w:pPr>
              <w:topLinePunct w:val="0"/>
              <w:snapToGrid w:val="0"/>
              <w:spacing w:line="240" w:lineRule="exact"/>
              <w:ind w:firstLine="0" w:firstLineChars="0"/>
              <w:rPr>
                <w:rFonts w:ascii="Times New Roman" w:cs="Times New Roman"/>
                <w:kern w:val="2"/>
                <w:sz w:val="21"/>
                <w:szCs w:val="21"/>
              </w:rPr>
            </w:pPr>
            <w:r>
              <w:rPr>
                <w:rFonts w:ascii="Times New Roman" w:cs="Times New Roman"/>
                <w:kern w:val="2"/>
                <w:sz w:val="21"/>
                <w:szCs w:val="21"/>
              </w:rPr>
              <w:t>注：</w:t>
            </w:r>
            <w:r>
              <w:rPr>
                <w:rFonts w:hint="eastAsia" w:hAnsi="宋体"/>
                <w:kern w:val="2"/>
                <w:sz w:val="21"/>
                <w:szCs w:val="21"/>
              </w:rPr>
              <w:t>Ⅳ</w:t>
            </w:r>
            <w:r>
              <w:rPr>
                <w:rFonts w:ascii="Times New Roman" w:cs="Times New Roman"/>
                <w:kern w:val="2"/>
                <w:sz w:val="21"/>
                <w:szCs w:val="21"/>
                <w:vertAlign w:val="superscript"/>
              </w:rPr>
              <w:t>+</w:t>
            </w:r>
            <w:r>
              <w:rPr>
                <w:rFonts w:ascii="Times New Roman" w:cs="Times New Roman"/>
                <w:kern w:val="2"/>
                <w:sz w:val="21"/>
                <w:szCs w:val="21"/>
              </w:rPr>
              <w:t>为极高环境风险。</w:t>
            </w:r>
          </w:p>
        </w:tc>
      </w:tr>
    </w:tbl>
    <w:p>
      <w:pPr>
        <w:pStyle w:val="6"/>
        <w:ind w:firstLine="482"/>
        <w:rPr>
          <w:rFonts w:ascii="Times New Roman" w:cs="Times New Roman"/>
        </w:rPr>
      </w:pPr>
      <w:r>
        <w:rPr>
          <w:rFonts w:ascii="Times New Roman" w:cs="Times New Roman"/>
          <w:b/>
          <w:bCs/>
        </w:rPr>
        <w:t>1、P的分级确定</w:t>
      </w:r>
    </w:p>
    <w:p>
      <w:pPr>
        <w:pStyle w:val="6"/>
        <w:ind w:firstLine="480"/>
        <w:rPr>
          <w:rFonts w:ascii="Times New Roman" w:cs="Times New Roman"/>
          <w:sz w:val="21"/>
          <w:szCs w:val="21"/>
        </w:rPr>
      </w:pPr>
      <w:r>
        <w:rPr>
          <w:rFonts w:ascii="Times New Roman" w:cs="Times New Roman"/>
        </w:rPr>
        <w:t>危险物质及工艺系统危险性（P）等级通过定量分析危险物质数量与临近量的比值（Q）和所属行业及生产工艺特点（M），再对照HJ169-2018附录C中表C.2，由Q和M两项因子确定P。</w:t>
      </w:r>
    </w:p>
    <w:p>
      <w:pPr>
        <w:pStyle w:val="112"/>
        <w:ind w:firstLine="482"/>
        <w:rPr>
          <w:b/>
          <w:bCs/>
        </w:rPr>
      </w:pPr>
      <w:r>
        <w:rPr>
          <w:rFonts w:hint="eastAsia"/>
          <w:b/>
          <w:bCs/>
        </w:rPr>
        <w:t>（1）</w:t>
      </w:r>
      <w:r>
        <w:rPr>
          <w:b/>
          <w:bCs/>
        </w:rPr>
        <w:t>危险物质数量与临近量的比值（Q）</w:t>
      </w:r>
    </w:p>
    <w:p>
      <w:pPr>
        <w:ind w:firstLine="480"/>
        <w:rPr>
          <w:rFonts w:ascii="Times New Roman" w:cs="Times New Roman"/>
        </w:rPr>
      </w:pPr>
      <w:r>
        <w:rPr>
          <w:rFonts w:hint="eastAsia" w:hAnsi="宋体" w:cs="Times New Roman"/>
        </w:rPr>
        <w:t>①</w:t>
      </w:r>
      <w:r>
        <w:rPr>
          <w:rFonts w:hint="eastAsia" w:ascii="Times New Roman" w:cs="Times New Roman"/>
        </w:rPr>
        <w:t>井喷导致的天然气泄漏量</w:t>
      </w:r>
    </w:p>
    <w:p>
      <w:pPr>
        <w:ind w:firstLine="480"/>
        <w:rPr>
          <w:rFonts w:ascii="Times New Roman" w:cs="Times New Roman"/>
        </w:rPr>
      </w:pPr>
      <w:r>
        <w:rPr>
          <w:rFonts w:ascii="Times New Roman" w:cs="Times New Roman"/>
        </w:rPr>
        <w:t>根据普光分公司提供的相关资料</w:t>
      </w:r>
      <w:r>
        <w:rPr>
          <w:rFonts w:hint="eastAsia" w:ascii="Times New Roman" w:cs="Times New Roman"/>
        </w:rPr>
        <w:t>，普陆4-1H井设计规模为5.27</w:t>
      </w:r>
      <w:r>
        <w:rPr>
          <w:rFonts w:ascii="Times New Roman" w:cs="Times New Roman"/>
        </w:rPr>
        <w:t>×10</w:t>
      </w:r>
      <w:r>
        <w:rPr>
          <w:rFonts w:ascii="Times New Roman" w:cs="Times New Roman"/>
          <w:vertAlign w:val="superscript"/>
        </w:rPr>
        <w:t>4</w:t>
      </w:r>
      <w:r>
        <w:rPr>
          <w:rFonts w:ascii="Times New Roman" w:cs="Times New Roman"/>
        </w:rPr>
        <w:t>m</w:t>
      </w:r>
      <w:r>
        <w:rPr>
          <w:rFonts w:ascii="Times New Roman" w:cs="Times New Roman"/>
          <w:vertAlign w:val="superscript"/>
        </w:rPr>
        <w:t>3</w:t>
      </w:r>
      <w:r>
        <w:rPr>
          <w:rFonts w:ascii="Times New Roman" w:cs="Times New Roman"/>
        </w:rPr>
        <w:t>/d</w:t>
      </w:r>
      <w:r>
        <w:rPr>
          <w:rFonts w:hint="eastAsia" w:ascii="Times New Roman" w:cs="Times New Roman"/>
        </w:rPr>
        <w:t>，输气规模按照15</w:t>
      </w:r>
      <w:r>
        <w:rPr>
          <w:rFonts w:ascii="Times New Roman" w:cs="Times New Roman"/>
        </w:rPr>
        <w:t>×10</w:t>
      </w:r>
      <w:r>
        <w:rPr>
          <w:rFonts w:ascii="Times New Roman" w:cs="Times New Roman"/>
          <w:vertAlign w:val="superscript"/>
        </w:rPr>
        <w:t>4</w:t>
      </w:r>
      <w:r>
        <w:rPr>
          <w:rFonts w:ascii="Times New Roman" w:cs="Times New Roman"/>
        </w:rPr>
        <w:t>m</w:t>
      </w:r>
      <w:r>
        <w:rPr>
          <w:rFonts w:ascii="Times New Roman" w:cs="Times New Roman"/>
          <w:vertAlign w:val="superscript"/>
        </w:rPr>
        <w:t>3</w:t>
      </w:r>
      <w:r>
        <w:rPr>
          <w:rFonts w:ascii="Times New Roman" w:cs="Times New Roman"/>
        </w:rPr>
        <w:t>/d</w:t>
      </w:r>
      <w:r>
        <w:rPr>
          <w:rFonts w:hint="eastAsia" w:ascii="Times New Roman" w:cs="Times New Roman"/>
        </w:rPr>
        <w:t>设计，</w:t>
      </w:r>
      <w:r>
        <w:rPr>
          <w:rFonts w:hint="eastAsia" w:ascii="Times New Roman" w:cs="Times New Roman"/>
          <w:color w:val="FF0000"/>
        </w:rPr>
        <w:t>无阻流量为45</w:t>
      </w:r>
      <w:r>
        <w:rPr>
          <w:rFonts w:ascii="Times New Roman" w:cs="Times New Roman"/>
          <w:color w:val="FF0000"/>
        </w:rPr>
        <w:t>×10</w:t>
      </w:r>
      <w:r>
        <w:rPr>
          <w:rFonts w:ascii="Times New Roman" w:cs="Times New Roman"/>
          <w:color w:val="FF0000"/>
          <w:vertAlign w:val="superscript"/>
        </w:rPr>
        <w:t>4</w:t>
      </w:r>
      <w:r>
        <w:rPr>
          <w:rFonts w:ascii="Times New Roman" w:cs="Times New Roman"/>
          <w:color w:val="FF0000"/>
        </w:rPr>
        <w:t>m</w:t>
      </w:r>
      <w:r>
        <w:rPr>
          <w:rFonts w:ascii="Times New Roman" w:cs="Times New Roman"/>
          <w:color w:val="FF0000"/>
          <w:vertAlign w:val="superscript"/>
        </w:rPr>
        <w:t>3</w:t>
      </w:r>
      <w:r>
        <w:rPr>
          <w:rFonts w:ascii="Times New Roman" w:cs="Times New Roman"/>
          <w:color w:val="FF0000"/>
        </w:rPr>
        <w:t>/d</w:t>
      </w:r>
      <w:r>
        <w:rPr>
          <w:rFonts w:hint="eastAsia" w:ascii="Times New Roman" w:cs="Times New Roman"/>
          <w:color w:val="FF0000"/>
        </w:rPr>
        <w:t>（15.625m</w:t>
      </w:r>
      <w:r>
        <w:rPr>
          <w:rFonts w:hint="eastAsia" w:ascii="Times New Roman" w:cs="Times New Roman"/>
          <w:color w:val="FF0000"/>
          <w:vertAlign w:val="superscript"/>
        </w:rPr>
        <w:t>3</w:t>
      </w:r>
      <w:r>
        <w:rPr>
          <w:rFonts w:hint="eastAsia" w:ascii="Times New Roman" w:cs="Times New Roman"/>
          <w:color w:val="FF0000"/>
        </w:rPr>
        <w:t>/</w:t>
      </w:r>
      <w:r>
        <w:rPr>
          <w:rFonts w:ascii="Times New Roman" w:cs="Times New Roman"/>
          <w:color w:val="FF0000"/>
        </w:rPr>
        <w:t>s）</w:t>
      </w:r>
      <w:r>
        <w:rPr>
          <w:rFonts w:hint="eastAsia" w:ascii="Times New Roman" w:cs="Times New Roman"/>
        </w:rPr>
        <w:t>，本项目15min井喷过程泄漏的天然气量为9.86t（天然气密度按</w:t>
      </w:r>
      <w:r>
        <w:rPr>
          <w:rFonts w:ascii="Times New Roman" w:cs="Times New Roman"/>
        </w:rPr>
        <w:t>0.7012</w:t>
      </w:r>
      <w:r>
        <w:rPr>
          <w:rFonts w:hint="eastAsia" w:ascii="Times New Roman" w:cs="Times New Roman"/>
        </w:rPr>
        <w:t>kg/m</w:t>
      </w:r>
      <w:r>
        <w:rPr>
          <w:rFonts w:hint="eastAsia" w:ascii="Times New Roman" w:cs="Times New Roman"/>
          <w:vertAlign w:val="superscript"/>
        </w:rPr>
        <w:t>3</w:t>
      </w:r>
      <w:r>
        <w:rPr>
          <w:rFonts w:hint="eastAsia" w:ascii="Times New Roman" w:cs="Times New Roman"/>
        </w:rPr>
        <w:t>计）。</w:t>
      </w:r>
    </w:p>
    <w:p>
      <w:pPr>
        <w:ind w:firstLine="480"/>
        <w:rPr>
          <w:rFonts w:ascii="Times New Roman" w:cs="Times New Roman"/>
        </w:rPr>
      </w:pPr>
      <w:r>
        <w:rPr>
          <w:rFonts w:hint="eastAsia" w:hAnsi="宋体" w:cs="Times New Roman"/>
        </w:rPr>
        <w:t>②</w:t>
      </w:r>
      <w:r>
        <w:rPr>
          <w:rFonts w:hint="eastAsia" w:ascii="Times New Roman" w:cs="Times New Roman"/>
        </w:rPr>
        <w:t>天然气管道在线量</w:t>
      </w:r>
    </w:p>
    <w:p>
      <w:pPr>
        <w:ind w:firstLine="480"/>
        <w:rPr>
          <w:rFonts w:ascii="Times New Roman" w:cs="Times New Roman"/>
        </w:rPr>
      </w:pPr>
      <w:r>
        <w:rPr>
          <w:rFonts w:ascii="Times New Roman" w:cs="Times New Roman"/>
        </w:rPr>
        <w:t>天然气最大在线量=天然气密度*截面积*管道长度*压力倍数（压力倍数=运行压力/大气压）</w:t>
      </w:r>
    </w:p>
    <w:p>
      <w:pPr>
        <w:ind w:firstLine="480"/>
        <w:rPr>
          <w:rFonts w:ascii="Times New Roman" w:cs="Times New Roman"/>
        </w:rPr>
      </w:pPr>
      <w:r>
        <w:rPr>
          <w:rFonts w:ascii="Times New Roman" w:cs="Times New Roman"/>
        </w:rPr>
        <w:t>管道长度为普陆4集气平台~</w:t>
      </w:r>
      <w:r>
        <w:rPr>
          <w:rFonts w:hint="eastAsia" w:ascii="Times New Roman" w:cs="Times New Roman"/>
        </w:rPr>
        <w:t>P107集气站</w:t>
      </w:r>
      <w:r>
        <w:rPr>
          <w:rFonts w:ascii="Times New Roman" w:cs="Times New Roman"/>
        </w:rPr>
        <w:t>的长度。</w:t>
      </w:r>
    </w:p>
    <w:p>
      <w:pPr>
        <w:ind w:firstLine="480"/>
        <w:rPr>
          <w:rFonts w:ascii="Times New Roman" w:cs="Times New Roman"/>
        </w:rPr>
      </w:pPr>
      <w:r>
        <w:rPr>
          <w:rFonts w:ascii="Times New Roman" w:cs="Times New Roman"/>
        </w:rPr>
        <w:t>普陆4集气平台~</w:t>
      </w:r>
      <w:r>
        <w:rPr>
          <w:rFonts w:hint="eastAsia" w:ascii="Times New Roman" w:cs="Times New Roman"/>
        </w:rPr>
        <w:t>P107集气站集气管道</w:t>
      </w:r>
      <w:r>
        <w:rPr>
          <w:rFonts w:ascii="Times New Roman" w:cs="Times New Roman"/>
        </w:rPr>
        <w:t>段：普陆4集气平台~</w:t>
      </w:r>
      <w:r>
        <w:rPr>
          <w:rFonts w:hint="eastAsia" w:ascii="Times New Roman" w:cs="Times New Roman"/>
        </w:rPr>
        <w:t>P107集气站集气管道</w:t>
      </w:r>
      <w:r>
        <w:rPr>
          <w:rFonts w:ascii="Times New Roman" w:cs="Times New Roman"/>
        </w:rPr>
        <w:t>段天然气密度为0.7012kg/m</w:t>
      </w:r>
      <w:r>
        <w:rPr>
          <w:rFonts w:ascii="Times New Roman" w:cs="Times New Roman"/>
          <w:vertAlign w:val="superscript"/>
        </w:rPr>
        <w:t>3</w:t>
      </w:r>
      <w:r>
        <w:rPr>
          <w:rFonts w:ascii="Times New Roman" w:cs="Times New Roman"/>
        </w:rPr>
        <w:t>，截面积为0.0</w:t>
      </w:r>
      <w:r>
        <w:rPr>
          <w:rFonts w:hint="eastAsia" w:ascii="Times New Roman" w:cs="Times New Roman"/>
        </w:rPr>
        <w:t>314</w:t>
      </w:r>
      <w:r>
        <w:rPr>
          <w:rFonts w:ascii="Times New Roman" w:cs="Times New Roman"/>
        </w:rPr>
        <w:t>m</w:t>
      </w:r>
      <w:r>
        <w:rPr>
          <w:rFonts w:ascii="Times New Roman" w:cs="Times New Roman"/>
          <w:vertAlign w:val="superscript"/>
        </w:rPr>
        <w:t>2</w:t>
      </w:r>
      <w:r>
        <w:rPr>
          <w:rFonts w:ascii="Times New Roman" w:cs="Times New Roman"/>
        </w:rPr>
        <w:t>，酸气管道</w:t>
      </w:r>
      <w:r>
        <w:rPr>
          <w:rFonts w:hint="eastAsia" w:ascii="Times New Roman" w:cs="Times New Roman"/>
        </w:rPr>
        <w:t>总</w:t>
      </w:r>
      <w:r>
        <w:rPr>
          <w:rFonts w:ascii="Times New Roman" w:cs="Times New Roman"/>
        </w:rPr>
        <w:t>长</w:t>
      </w:r>
      <w:r>
        <w:rPr>
          <w:rFonts w:hint="eastAsia" w:ascii="Times New Roman" w:cs="Times New Roman"/>
        </w:rPr>
        <w:t>350</w:t>
      </w:r>
      <w:r>
        <w:rPr>
          <w:rFonts w:ascii="Times New Roman" w:cs="Times New Roman"/>
        </w:rPr>
        <w:t>m，压力倍数为90.8，</w:t>
      </w:r>
      <w:r>
        <w:rPr>
          <w:rFonts w:hint="eastAsia" w:ascii="Times New Roman" w:cs="Times New Roman"/>
        </w:rPr>
        <w:t>因此</w:t>
      </w:r>
      <w:r>
        <w:rPr>
          <w:rFonts w:ascii="Times New Roman" w:cs="Times New Roman"/>
        </w:rPr>
        <w:t>天然气最大在线量约为</w:t>
      </w:r>
      <w:r>
        <w:rPr>
          <w:rFonts w:hint="eastAsia" w:ascii="Times New Roman" w:cs="Times New Roman"/>
        </w:rPr>
        <w:t>699.72</w:t>
      </w:r>
      <w:r>
        <w:rPr>
          <w:rFonts w:ascii="Times New Roman" w:cs="Times New Roman"/>
        </w:rPr>
        <w:t>kg。</w:t>
      </w:r>
    </w:p>
    <w:p>
      <w:pPr>
        <w:ind w:firstLine="480"/>
        <w:rPr>
          <w:rFonts w:ascii="Times New Roman" w:cs="Times New Roman"/>
        </w:rPr>
      </w:pPr>
      <w:r>
        <w:rPr>
          <w:rFonts w:hint="eastAsia" w:hAnsi="宋体" w:cs="Times New Roman"/>
        </w:rPr>
        <w:t>③</w:t>
      </w:r>
      <w:r>
        <w:rPr>
          <w:rFonts w:hint="eastAsia" w:ascii="Times New Roman" w:cs="Times New Roman"/>
        </w:rPr>
        <w:t>本项目</w:t>
      </w:r>
      <w:r>
        <w:rPr>
          <w:rFonts w:ascii="Times New Roman" w:cs="Times New Roman"/>
        </w:rPr>
        <w:t>普陆4井台</w:t>
      </w:r>
      <w:r>
        <w:rPr>
          <w:rFonts w:hint="eastAsia" w:ascii="Times New Roman" w:cs="Times New Roman"/>
        </w:rPr>
        <w:t>设置1个柴油储罐，容积为20m</w:t>
      </w:r>
      <w:r>
        <w:rPr>
          <w:rFonts w:hint="eastAsia" w:ascii="Times New Roman" w:cs="Times New Roman"/>
          <w:vertAlign w:val="superscript"/>
        </w:rPr>
        <w:t>3</w:t>
      </w:r>
      <w:r>
        <w:rPr>
          <w:rFonts w:hint="eastAsia" w:ascii="Times New Roman" w:cs="Times New Roman"/>
        </w:rPr>
        <w:t>，柴油密度为840kg/m</w:t>
      </w:r>
      <w:r>
        <w:rPr>
          <w:rFonts w:hint="eastAsia" w:ascii="Times New Roman" w:cs="Times New Roman"/>
          <w:vertAlign w:val="superscript"/>
        </w:rPr>
        <w:t>3</w:t>
      </w:r>
      <w:r>
        <w:rPr>
          <w:rFonts w:hint="eastAsia" w:ascii="Times New Roman" w:cs="Times New Roman"/>
        </w:rPr>
        <w:t>，柴油最大储存量为16.8t。</w:t>
      </w:r>
    </w:p>
    <w:p>
      <w:pPr>
        <w:ind w:firstLine="480"/>
        <w:rPr>
          <w:rFonts w:ascii="Times New Roman" w:cs="Times New Roman"/>
        </w:rPr>
      </w:pPr>
      <w:r>
        <w:rPr>
          <w:rFonts w:ascii="Times New Roman" w:cs="Times New Roman"/>
        </w:rPr>
        <w:fldChar w:fldCharType="begin"/>
      </w:r>
      <w:r>
        <w:rPr>
          <w:rFonts w:ascii="Times New Roman" w:cs="Times New Roman"/>
        </w:rPr>
        <w:instrText xml:space="preserve"> </w:instrText>
      </w:r>
      <w:r>
        <w:rPr>
          <w:rFonts w:hint="eastAsia" w:ascii="Times New Roman" w:cs="Times New Roman"/>
        </w:rPr>
        <w:instrText xml:space="preserve">= 4 \* GB3</w:instrText>
      </w:r>
      <w:r>
        <w:rPr>
          <w:rFonts w:ascii="Times New Roman" w:cs="Times New Roman"/>
        </w:rPr>
        <w:instrText xml:space="preserve"> </w:instrText>
      </w:r>
      <w:r>
        <w:rPr>
          <w:rFonts w:ascii="Times New Roman" w:cs="Times New Roman"/>
        </w:rPr>
        <w:fldChar w:fldCharType="separate"/>
      </w:r>
      <w:r>
        <w:rPr>
          <w:rFonts w:hint="eastAsia" w:ascii="Times New Roman" w:cs="Times New Roman"/>
        </w:rPr>
        <w:t>④</w:t>
      </w:r>
      <w:r>
        <w:rPr>
          <w:rFonts w:ascii="Times New Roman" w:cs="Times New Roman"/>
        </w:rPr>
        <w:fldChar w:fldCharType="end"/>
      </w:r>
      <w:r>
        <w:rPr>
          <w:rFonts w:hint="eastAsia" w:ascii="Times New Roman" w:cs="Times New Roman"/>
        </w:rPr>
        <w:t>本项目</w:t>
      </w:r>
      <w:r>
        <w:rPr>
          <w:rFonts w:ascii="Times New Roman" w:cs="Times New Roman"/>
        </w:rPr>
        <w:t>普陆4井台</w:t>
      </w:r>
      <w:r>
        <w:rPr>
          <w:rFonts w:hint="eastAsia" w:ascii="Times New Roman" w:cs="Times New Roman"/>
        </w:rPr>
        <w:t>设置1个凝析油储罐，容积为50m</w:t>
      </w:r>
      <w:r>
        <w:rPr>
          <w:rFonts w:hint="eastAsia" w:ascii="Times New Roman" w:cs="Times New Roman"/>
          <w:vertAlign w:val="superscript"/>
        </w:rPr>
        <w:t>3</w:t>
      </w:r>
      <w:r>
        <w:rPr>
          <w:rFonts w:hint="eastAsia" w:ascii="Times New Roman" w:cs="Times New Roman"/>
        </w:rPr>
        <w:t>，凝析油密度为800kg/m</w:t>
      </w:r>
      <w:r>
        <w:rPr>
          <w:rFonts w:hint="eastAsia" w:ascii="Times New Roman" w:cs="Times New Roman"/>
          <w:vertAlign w:val="superscript"/>
        </w:rPr>
        <w:t>3</w:t>
      </w:r>
      <w:r>
        <w:rPr>
          <w:rFonts w:hint="eastAsia" w:ascii="Times New Roman" w:cs="Times New Roman"/>
        </w:rPr>
        <w:t>，凝析油最大储存量为40t。</w:t>
      </w:r>
    </w:p>
    <w:p>
      <w:pPr>
        <w:pStyle w:val="112"/>
        <w:ind w:firstLine="480"/>
      </w:pPr>
      <w:r>
        <w:t>根据《建设项目环境风险评价技术导则》（HJ169-2018）中关于环境风险评价工作等级的划分方法，本工程井喷泄漏的天然气和酸气管线输送的介质为</w:t>
      </w:r>
      <w:r>
        <w:rPr>
          <w:rFonts w:hint="eastAsia"/>
        </w:rPr>
        <w:t>不</w:t>
      </w:r>
      <w:r>
        <w:t>含硫天然气，项目涉及的主要危险有害物质为甲烷、</w:t>
      </w:r>
      <w:r>
        <w:rPr>
          <w:rFonts w:hint="eastAsia"/>
        </w:rPr>
        <w:t>柴油、凝析油</w:t>
      </w:r>
      <w:r>
        <w:t>和</w:t>
      </w:r>
      <w:bookmarkStart w:id="520" w:name="OLE_LINK105"/>
      <w:bookmarkStart w:id="521" w:name="OLE_LINK106"/>
      <w:r>
        <w:rPr>
          <w:rFonts w:hint="eastAsia"/>
        </w:rPr>
        <w:t>压裂、洗井废水</w:t>
      </w:r>
      <w:bookmarkEnd w:id="520"/>
      <w:bookmarkEnd w:id="521"/>
      <w:r>
        <w:rPr>
          <w:rFonts w:hint="eastAsia"/>
        </w:rPr>
        <w:t>、气田水</w:t>
      </w:r>
      <w:r>
        <w:t>。由于</w:t>
      </w:r>
      <w:r>
        <w:rPr>
          <w:rFonts w:hint="eastAsia"/>
        </w:rPr>
        <w:t>压裂、洗井废水和气田水</w:t>
      </w:r>
      <w:r>
        <w:t>不属于《建设项目风险评价技术导则》（HJ169-2018），附录B中重点关注的危险物质，根据分析</w:t>
      </w:r>
      <w:r>
        <w:rPr>
          <w:rFonts w:hint="eastAsia"/>
        </w:rPr>
        <w:t>压裂、洗井废水、气田水</w:t>
      </w:r>
      <w:r>
        <w:t>属于危害水环境物质，但不属于急性毒性类别1中物质。故不作为环境风险等级判定物质，本次评价仅对其在储存过程中的风险提出措施。</w:t>
      </w:r>
    </w:p>
    <w:p>
      <w:pPr>
        <w:pStyle w:val="37"/>
        <w:ind w:firstLine="480"/>
        <w:rPr>
          <w:rFonts w:cs="Times New Roman"/>
        </w:rPr>
      </w:pPr>
      <w:r>
        <w:rPr>
          <w:rFonts w:cs="Times New Roman"/>
        </w:rPr>
        <w:t>表7.4-</w:t>
      </w:r>
      <w:r>
        <w:rPr>
          <w:rFonts w:hint="eastAsia" w:cs="Times New Roman"/>
        </w:rPr>
        <w:t>2</w:t>
      </w:r>
      <w:r>
        <w:rPr>
          <w:rFonts w:cs="Times New Roman"/>
        </w:rPr>
        <w:t xml:space="preserve">  本项目评价单元危险物质最大存在量</w:t>
      </w:r>
    </w:p>
    <w:tbl>
      <w:tblPr>
        <w:tblStyle w:val="57"/>
        <w:tblW w:w="849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4"/>
        <w:gridCol w:w="2126"/>
        <w:gridCol w:w="1181"/>
        <w:gridCol w:w="2977"/>
        <w:gridCol w:w="14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804" w:type="dxa"/>
            <w:tcBorders>
              <w:top w:val="single" w:color="auto" w:sz="12" w:space="0"/>
            </w:tcBorders>
            <w:shd w:val="clear" w:color="auto" w:fill="auto"/>
            <w:vAlign w:val="center"/>
          </w:tcPr>
          <w:p>
            <w:pPr>
              <w:pStyle w:val="132"/>
              <w:rPr>
                <w:b/>
                <w:bCs/>
              </w:rPr>
            </w:pPr>
            <w:r>
              <w:rPr>
                <w:b/>
                <w:bCs/>
              </w:rPr>
              <w:t>序号</w:t>
            </w:r>
          </w:p>
        </w:tc>
        <w:tc>
          <w:tcPr>
            <w:tcW w:w="2126" w:type="dxa"/>
            <w:tcBorders>
              <w:top w:val="single" w:color="auto" w:sz="12" w:space="0"/>
            </w:tcBorders>
            <w:shd w:val="clear" w:color="auto" w:fill="auto"/>
            <w:vAlign w:val="center"/>
          </w:tcPr>
          <w:p>
            <w:pPr>
              <w:pStyle w:val="132"/>
              <w:rPr>
                <w:b/>
                <w:bCs/>
              </w:rPr>
            </w:pPr>
            <w:r>
              <w:rPr>
                <w:b/>
                <w:bCs/>
              </w:rPr>
              <w:t>名称</w:t>
            </w:r>
          </w:p>
        </w:tc>
        <w:tc>
          <w:tcPr>
            <w:tcW w:w="1181" w:type="dxa"/>
            <w:tcBorders>
              <w:top w:val="single" w:color="auto" w:sz="12" w:space="0"/>
            </w:tcBorders>
            <w:shd w:val="clear" w:color="auto" w:fill="auto"/>
            <w:vAlign w:val="center"/>
          </w:tcPr>
          <w:p>
            <w:pPr>
              <w:pStyle w:val="132"/>
              <w:rPr>
                <w:b/>
                <w:bCs/>
              </w:rPr>
            </w:pPr>
            <w:r>
              <w:rPr>
                <w:b/>
                <w:bCs/>
              </w:rPr>
              <w:t>距离（km）</w:t>
            </w:r>
          </w:p>
        </w:tc>
        <w:tc>
          <w:tcPr>
            <w:tcW w:w="2977" w:type="dxa"/>
            <w:tcBorders>
              <w:top w:val="single" w:color="auto" w:sz="12" w:space="0"/>
              <w:right w:val="single" w:color="auto" w:sz="2" w:space="0"/>
            </w:tcBorders>
            <w:shd w:val="clear" w:color="auto" w:fill="auto"/>
            <w:vAlign w:val="center"/>
          </w:tcPr>
          <w:p>
            <w:pPr>
              <w:pStyle w:val="132"/>
              <w:rPr>
                <w:b/>
                <w:bCs/>
              </w:rPr>
            </w:pPr>
            <w:r>
              <w:rPr>
                <w:b/>
                <w:bCs/>
              </w:rPr>
              <w:t>危险物质最大存在总量（kg）</w:t>
            </w:r>
          </w:p>
        </w:tc>
        <w:tc>
          <w:tcPr>
            <w:tcW w:w="1407" w:type="dxa"/>
            <w:tcBorders>
              <w:top w:val="single" w:color="auto" w:sz="12" w:space="0"/>
              <w:left w:val="single" w:color="auto" w:sz="2" w:space="0"/>
            </w:tcBorders>
            <w:shd w:val="clear" w:color="auto" w:fill="auto"/>
            <w:vAlign w:val="center"/>
          </w:tcPr>
          <w:p>
            <w:pPr>
              <w:pStyle w:val="132"/>
              <w:rPr>
                <w:b/>
                <w:bCs/>
              </w:rPr>
            </w:pPr>
            <w:r>
              <w:rPr>
                <w:b/>
                <w:bCs/>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804" w:type="dxa"/>
            <w:tcBorders>
              <w:top w:val="single" w:color="auto" w:sz="12" w:space="0"/>
            </w:tcBorders>
            <w:shd w:val="clear" w:color="auto" w:fill="auto"/>
            <w:vAlign w:val="center"/>
          </w:tcPr>
          <w:p>
            <w:pPr>
              <w:pStyle w:val="132"/>
            </w:pPr>
            <w:r>
              <w:t>1</w:t>
            </w:r>
          </w:p>
        </w:tc>
        <w:tc>
          <w:tcPr>
            <w:tcW w:w="2126" w:type="dxa"/>
            <w:tcBorders>
              <w:top w:val="single" w:color="auto" w:sz="12" w:space="0"/>
            </w:tcBorders>
            <w:shd w:val="clear" w:color="auto" w:fill="auto"/>
            <w:vAlign w:val="center"/>
          </w:tcPr>
          <w:p>
            <w:pPr>
              <w:pStyle w:val="132"/>
              <w:rPr>
                <w:bCs/>
              </w:rPr>
            </w:pPr>
            <w:r>
              <w:rPr>
                <w:bCs/>
              </w:rPr>
              <w:t>井喷</w:t>
            </w:r>
            <w:r>
              <w:rPr>
                <w:rFonts w:hint="eastAsia"/>
                <w:bCs/>
              </w:rPr>
              <w:t>（15min）</w:t>
            </w:r>
          </w:p>
        </w:tc>
        <w:tc>
          <w:tcPr>
            <w:tcW w:w="1181" w:type="dxa"/>
            <w:tcBorders>
              <w:top w:val="single" w:color="auto" w:sz="12" w:space="0"/>
            </w:tcBorders>
            <w:shd w:val="clear" w:color="auto" w:fill="auto"/>
            <w:vAlign w:val="center"/>
          </w:tcPr>
          <w:p>
            <w:pPr>
              <w:pStyle w:val="132"/>
              <w:rPr>
                <w:b/>
                <w:bCs/>
              </w:rPr>
            </w:pPr>
            <w:r>
              <w:rPr>
                <w:rFonts w:hint="eastAsia"/>
                <w:b/>
                <w:bCs/>
              </w:rPr>
              <w:t>/</w:t>
            </w:r>
          </w:p>
        </w:tc>
        <w:tc>
          <w:tcPr>
            <w:tcW w:w="2977" w:type="dxa"/>
            <w:tcBorders>
              <w:top w:val="single" w:color="auto" w:sz="12" w:space="0"/>
              <w:right w:val="single" w:color="auto" w:sz="2" w:space="0"/>
            </w:tcBorders>
            <w:shd w:val="clear" w:color="auto" w:fill="auto"/>
            <w:vAlign w:val="center"/>
          </w:tcPr>
          <w:p>
            <w:pPr>
              <w:pStyle w:val="132"/>
              <w:rPr>
                <w:bCs/>
              </w:rPr>
            </w:pPr>
            <w:r>
              <w:rPr>
                <w:rFonts w:hint="eastAsia"/>
                <w:bCs/>
              </w:rPr>
              <w:t>4941</w:t>
            </w:r>
          </w:p>
        </w:tc>
        <w:tc>
          <w:tcPr>
            <w:tcW w:w="1407" w:type="dxa"/>
            <w:tcBorders>
              <w:top w:val="single" w:color="auto" w:sz="12" w:space="0"/>
              <w:left w:val="single" w:color="auto" w:sz="2" w:space="0"/>
            </w:tcBorders>
            <w:shd w:val="clear" w:color="auto" w:fill="auto"/>
            <w:vAlign w:val="center"/>
          </w:tcPr>
          <w:p>
            <w:pPr>
              <w:pStyle w:val="132"/>
              <w:rPr>
                <w:b/>
                <w:bCs/>
              </w:rPr>
            </w:pPr>
            <w:r>
              <w:t>天然气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804" w:type="dxa"/>
            <w:shd w:val="clear" w:color="auto" w:fill="auto"/>
            <w:vAlign w:val="center"/>
          </w:tcPr>
          <w:p>
            <w:pPr>
              <w:pStyle w:val="132"/>
            </w:pPr>
            <w:r>
              <w:t>2</w:t>
            </w:r>
          </w:p>
        </w:tc>
        <w:tc>
          <w:tcPr>
            <w:tcW w:w="2126" w:type="dxa"/>
            <w:shd w:val="clear" w:color="auto" w:fill="auto"/>
            <w:vAlign w:val="center"/>
          </w:tcPr>
          <w:p>
            <w:pPr>
              <w:pStyle w:val="132"/>
            </w:pPr>
            <w:r>
              <w:t>普陆4集气平台~</w:t>
            </w:r>
            <w:r>
              <w:rPr>
                <w:rFonts w:hint="eastAsia"/>
              </w:rPr>
              <w:t>P107集气站集气管道</w:t>
            </w:r>
          </w:p>
        </w:tc>
        <w:tc>
          <w:tcPr>
            <w:tcW w:w="1181" w:type="dxa"/>
            <w:shd w:val="clear" w:color="auto" w:fill="auto"/>
            <w:vAlign w:val="center"/>
          </w:tcPr>
          <w:p>
            <w:pPr>
              <w:pStyle w:val="132"/>
            </w:pPr>
            <w:r>
              <w:rPr>
                <w:rFonts w:hint="eastAsia"/>
              </w:rPr>
              <w:t>3</w:t>
            </w:r>
          </w:p>
        </w:tc>
        <w:tc>
          <w:tcPr>
            <w:tcW w:w="2977" w:type="dxa"/>
            <w:tcBorders>
              <w:right w:val="single" w:color="auto" w:sz="2" w:space="0"/>
            </w:tcBorders>
            <w:shd w:val="clear" w:color="auto" w:fill="auto"/>
            <w:vAlign w:val="center"/>
          </w:tcPr>
          <w:p>
            <w:pPr>
              <w:pStyle w:val="132"/>
            </w:pPr>
            <w:r>
              <w:rPr>
                <w:rFonts w:hint="eastAsia"/>
              </w:rPr>
              <w:t>699.72</w:t>
            </w:r>
          </w:p>
        </w:tc>
        <w:tc>
          <w:tcPr>
            <w:tcW w:w="1407" w:type="dxa"/>
            <w:tcBorders>
              <w:left w:val="single" w:color="auto" w:sz="2" w:space="0"/>
            </w:tcBorders>
            <w:shd w:val="clear" w:color="auto" w:fill="auto"/>
            <w:vAlign w:val="center"/>
          </w:tcPr>
          <w:p>
            <w:pPr>
              <w:pStyle w:val="132"/>
            </w:pPr>
            <w:r>
              <w:t>天然气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804" w:type="dxa"/>
            <w:shd w:val="clear" w:color="auto" w:fill="auto"/>
            <w:vAlign w:val="center"/>
          </w:tcPr>
          <w:p>
            <w:pPr>
              <w:pStyle w:val="132"/>
            </w:pPr>
            <w:r>
              <w:rPr>
                <w:rFonts w:hint="eastAsia"/>
              </w:rPr>
              <w:t>3</w:t>
            </w:r>
          </w:p>
        </w:tc>
        <w:tc>
          <w:tcPr>
            <w:tcW w:w="2126" w:type="dxa"/>
            <w:shd w:val="clear" w:color="auto" w:fill="auto"/>
            <w:vAlign w:val="center"/>
          </w:tcPr>
          <w:p>
            <w:pPr>
              <w:pStyle w:val="132"/>
            </w:pPr>
            <w:r>
              <w:t>柴油储罐</w:t>
            </w:r>
          </w:p>
        </w:tc>
        <w:tc>
          <w:tcPr>
            <w:tcW w:w="1181" w:type="dxa"/>
            <w:shd w:val="clear" w:color="auto" w:fill="auto"/>
            <w:vAlign w:val="center"/>
          </w:tcPr>
          <w:p>
            <w:pPr>
              <w:pStyle w:val="132"/>
            </w:pPr>
            <w:r>
              <w:rPr>
                <w:rFonts w:hint="eastAsia"/>
              </w:rPr>
              <w:t>/</w:t>
            </w:r>
          </w:p>
        </w:tc>
        <w:tc>
          <w:tcPr>
            <w:tcW w:w="2977" w:type="dxa"/>
            <w:tcBorders>
              <w:right w:val="single" w:color="auto" w:sz="2" w:space="0"/>
            </w:tcBorders>
            <w:shd w:val="clear" w:color="auto" w:fill="auto"/>
            <w:vAlign w:val="center"/>
          </w:tcPr>
          <w:p>
            <w:pPr>
              <w:pStyle w:val="132"/>
            </w:pPr>
            <w:r>
              <w:rPr>
                <w:rFonts w:hint="eastAsia"/>
              </w:rPr>
              <w:t>16.8</w:t>
            </w:r>
          </w:p>
        </w:tc>
        <w:tc>
          <w:tcPr>
            <w:tcW w:w="1407" w:type="dxa"/>
            <w:tcBorders>
              <w:left w:val="single" w:color="auto" w:sz="2" w:space="0"/>
            </w:tcBorders>
            <w:shd w:val="clear" w:color="auto" w:fill="auto"/>
            <w:vAlign w:val="center"/>
          </w:tcPr>
          <w:p>
            <w:pPr>
              <w:pStyle w:val="132"/>
            </w:pPr>
            <w:r>
              <w:t>柴油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804" w:type="dxa"/>
            <w:shd w:val="clear" w:color="auto" w:fill="auto"/>
            <w:vAlign w:val="center"/>
          </w:tcPr>
          <w:p>
            <w:pPr>
              <w:pStyle w:val="132"/>
            </w:pPr>
            <w:r>
              <w:rPr>
                <w:rFonts w:hint="eastAsia"/>
              </w:rPr>
              <w:t>4</w:t>
            </w:r>
          </w:p>
        </w:tc>
        <w:tc>
          <w:tcPr>
            <w:tcW w:w="2126" w:type="dxa"/>
            <w:shd w:val="clear" w:color="auto" w:fill="auto"/>
            <w:vAlign w:val="center"/>
          </w:tcPr>
          <w:p>
            <w:pPr>
              <w:pStyle w:val="132"/>
            </w:pPr>
            <w:r>
              <w:rPr>
                <w:rFonts w:hint="eastAsia"/>
              </w:rPr>
              <w:t>凝析油储罐</w:t>
            </w:r>
          </w:p>
        </w:tc>
        <w:tc>
          <w:tcPr>
            <w:tcW w:w="1181" w:type="dxa"/>
            <w:shd w:val="clear" w:color="auto" w:fill="auto"/>
            <w:vAlign w:val="center"/>
          </w:tcPr>
          <w:p>
            <w:pPr>
              <w:pStyle w:val="132"/>
            </w:pPr>
            <w:r>
              <w:rPr>
                <w:rFonts w:hint="eastAsia"/>
              </w:rPr>
              <w:t>/</w:t>
            </w:r>
          </w:p>
        </w:tc>
        <w:tc>
          <w:tcPr>
            <w:tcW w:w="2977" w:type="dxa"/>
            <w:tcBorders>
              <w:right w:val="single" w:color="auto" w:sz="2" w:space="0"/>
            </w:tcBorders>
            <w:shd w:val="clear" w:color="auto" w:fill="auto"/>
            <w:vAlign w:val="center"/>
          </w:tcPr>
          <w:p>
            <w:pPr>
              <w:pStyle w:val="132"/>
            </w:pPr>
            <w:r>
              <w:rPr>
                <w:rFonts w:hint="eastAsia"/>
              </w:rPr>
              <w:t>40</w:t>
            </w:r>
          </w:p>
        </w:tc>
        <w:tc>
          <w:tcPr>
            <w:tcW w:w="1407" w:type="dxa"/>
            <w:tcBorders>
              <w:left w:val="single" w:color="auto" w:sz="2" w:space="0"/>
            </w:tcBorders>
            <w:shd w:val="clear" w:color="auto" w:fill="auto"/>
            <w:vAlign w:val="center"/>
          </w:tcPr>
          <w:p>
            <w:pPr>
              <w:pStyle w:val="132"/>
            </w:pPr>
            <w:r>
              <w:rPr>
                <w:rFonts w:hint="eastAsia"/>
              </w:rPr>
              <w:t>凝析油</w:t>
            </w:r>
          </w:p>
        </w:tc>
      </w:tr>
    </w:tbl>
    <w:p>
      <w:pPr>
        <w:ind w:firstLine="480"/>
        <w:rPr>
          <w:rFonts w:ascii="Times New Roman" w:cs="Times New Roman"/>
        </w:rPr>
      </w:pPr>
      <w:r>
        <w:rPr>
          <w:rFonts w:ascii="Times New Roman" w:cs="Times New Roman"/>
        </w:rPr>
        <w:t>当存在多种危险物质时，则按下式计算物质总量与其临界量比值（</w:t>
      </w:r>
      <w:r>
        <w:rPr>
          <w:rFonts w:ascii="Times New Roman" w:cs="Times New Roman"/>
          <w:i/>
        </w:rPr>
        <w:t>Q</w:t>
      </w:r>
      <w:r>
        <w:rPr>
          <w:rFonts w:ascii="Times New Roman" w:cs="Times New Roman"/>
        </w:rPr>
        <w:t>）：</w:t>
      </w:r>
    </w:p>
    <w:p>
      <w:pPr>
        <w:spacing w:beforeLines="50" w:afterLines="50"/>
        <w:ind w:firstLine="480"/>
        <w:rPr>
          <w:rFonts w:ascii="Times New Roman" w:cs="Times New Roman"/>
          <w:i/>
        </w:rPr>
      </w:pPr>
      <m:oMathPara>
        <m:oMath>
          <m:r>
            <m:rPr/>
            <w:rPr>
              <w:rFonts w:ascii="Cambria Math" w:hAnsi="Cambria Math" w:cs="Times New Roman"/>
            </w:rPr>
            <m:t>Q=</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ctrlPr>
                <w:rPr>
                  <w:rFonts w:ascii="Cambria Math" w:hAnsi="Cambria Math" w:cs="Times New Roman"/>
                  <w:i/>
                </w:rPr>
              </m:ctrlPr>
            </m:den>
          </m:f>
          <m:r>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n</m:t>
                  </m:r>
                  <m:ctrlPr>
                    <w:rPr>
                      <w:rFonts w:ascii="Cambria Math" w:hAnsi="Cambria Math" w:cs="Times New Roman"/>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Q</m:t>
                  </m:r>
                  <m:ctrlPr>
                    <w:rPr>
                      <w:rFonts w:ascii="Cambria Math" w:hAnsi="Cambria Math" w:cs="Times New Roman"/>
                      <w:i/>
                    </w:rPr>
                  </m:ctrlPr>
                </m:e>
                <m:sub>
                  <m:r>
                    <m:rPr/>
                    <w:rPr>
                      <w:rFonts w:ascii="Cambria Math" w:hAnsi="Cambria Math" w:cs="Times New Roman"/>
                    </w:rPr>
                    <m:t>n</m:t>
                  </m:r>
                  <m:ctrlPr>
                    <w:rPr>
                      <w:rFonts w:ascii="Cambria Math" w:hAnsi="Cambria Math" w:cs="Times New Roman"/>
                      <w:i/>
                    </w:rPr>
                  </m:ctrlPr>
                </m:sub>
              </m:sSub>
              <m:ctrlPr>
                <w:rPr>
                  <w:rFonts w:ascii="Cambria Math" w:hAnsi="Cambria Math" w:cs="Times New Roman"/>
                  <w:i/>
                </w:rPr>
              </m:ctrlPr>
            </m:den>
          </m:f>
        </m:oMath>
      </m:oMathPara>
    </w:p>
    <w:p>
      <w:pPr>
        <w:snapToGrid w:val="0"/>
        <w:ind w:firstLine="480"/>
        <w:rPr>
          <w:rFonts w:ascii="Times New Roman" w:cs="Times New Roman"/>
        </w:rPr>
      </w:pPr>
      <w:r>
        <w:rPr>
          <w:rFonts w:ascii="Times New Roman" w:cs="Times New Roman"/>
        </w:rPr>
        <w:t>式中：</w:t>
      </w:r>
      <w:r>
        <w:rPr>
          <w:rFonts w:ascii="Times New Roman" w:cs="Times New Roman"/>
          <w:i/>
        </w:rPr>
        <w:t>q</w:t>
      </w:r>
      <w:r>
        <w:rPr>
          <w:rFonts w:ascii="Times New Roman" w:cs="Times New Roman"/>
          <w:i/>
          <w:vertAlign w:val="subscript"/>
        </w:rPr>
        <w:t>1</w:t>
      </w:r>
      <w:r>
        <w:rPr>
          <w:rFonts w:ascii="Times New Roman" w:cs="Times New Roman"/>
          <w:i/>
        </w:rPr>
        <w:t>、q</w:t>
      </w:r>
      <w:r>
        <w:rPr>
          <w:rFonts w:ascii="Times New Roman" w:cs="Times New Roman"/>
          <w:i/>
          <w:vertAlign w:val="subscript"/>
        </w:rPr>
        <w:t>2</w:t>
      </w:r>
      <w:r>
        <w:rPr>
          <w:rFonts w:ascii="Times New Roman" w:cs="Times New Roman"/>
          <w:i/>
        </w:rPr>
        <w:t>…q</w:t>
      </w:r>
      <w:r>
        <w:rPr>
          <w:rFonts w:ascii="Times New Roman" w:cs="Times New Roman"/>
          <w:i/>
          <w:vertAlign w:val="subscript"/>
        </w:rPr>
        <w:t>n</w:t>
      </w:r>
      <w:r>
        <w:rPr>
          <w:rFonts w:ascii="Times New Roman" w:cs="Times New Roman"/>
        </w:rPr>
        <w:t>——每种危险物质的最大存在总量，t；</w:t>
      </w:r>
    </w:p>
    <w:p>
      <w:pPr>
        <w:snapToGrid w:val="0"/>
        <w:ind w:firstLine="480"/>
        <w:rPr>
          <w:rFonts w:ascii="Times New Roman" w:cs="Times New Roman"/>
        </w:rPr>
      </w:pPr>
      <w:r>
        <w:rPr>
          <w:rFonts w:ascii="Times New Roman" w:cs="Times New Roman"/>
        </w:rPr>
        <w:t xml:space="preserve">      </w:t>
      </w:r>
      <w:r>
        <w:rPr>
          <w:rFonts w:ascii="Times New Roman" w:cs="Times New Roman"/>
          <w:i/>
        </w:rPr>
        <w:t>Q</w:t>
      </w:r>
      <w:r>
        <w:rPr>
          <w:rFonts w:ascii="Times New Roman" w:cs="Times New Roman"/>
          <w:i/>
          <w:vertAlign w:val="subscript"/>
        </w:rPr>
        <w:t>1</w:t>
      </w:r>
      <w:r>
        <w:rPr>
          <w:rFonts w:ascii="Times New Roman" w:cs="Times New Roman"/>
          <w:i/>
        </w:rPr>
        <w:t>、Q</w:t>
      </w:r>
      <w:r>
        <w:rPr>
          <w:rFonts w:ascii="Times New Roman" w:cs="Times New Roman"/>
          <w:i/>
          <w:vertAlign w:val="subscript"/>
        </w:rPr>
        <w:t>2</w:t>
      </w:r>
      <w:r>
        <w:rPr>
          <w:rFonts w:ascii="Times New Roman" w:cs="Times New Roman"/>
          <w:i/>
        </w:rPr>
        <w:t>…Q</w:t>
      </w:r>
      <w:r>
        <w:rPr>
          <w:rFonts w:ascii="Times New Roman" w:cs="Times New Roman"/>
          <w:i/>
          <w:vertAlign w:val="subscript"/>
        </w:rPr>
        <w:t>n</w:t>
      </w:r>
      <w:r>
        <w:rPr>
          <w:rFonts w:ascii="Times New Roman" w:cs="Times New Roman"/>
        </w:rPr>
        <w:t>——每种危险物质的临界量，t；</w:t>
      </w:r>
    </w:p>
    <w:p>
      <w:pPr>
        <w:snapToGrid w:val="0"/>
        <w:ind w:firstLine="480"/>
        <w:rPr>
          <w:rFonts w:ascii="Times New Roman" w:cs="Times New Roman"/>
        </w:rPr>
      </w:pPr>
      <w:r>
        <w:rPr>
          <w:rFonts w:ascii="Times New Roman" w:cs="Times New Roman"/>
        </w:rPr>
        <w:t>当</w:t>
      </w:r>
      <w:r>
        <w:rPr>
          <w:rFonts w:ascii="Times New Roman" w:cs="Times New Roman"/>
          <w:i/>
        </w:rPr>
        <w:t>Q</w:t>
      </w:r>
      <w:r>
        <w:rPr>
          <w:rFonts w:ascii="Times New Roman" w:cs="Times New Roman"/>
        </w:rPr>
        <w:t>＜1时，该项目环境风险潜势为</w:t>
      </w:r>
      <w:r>
        <w:rPr>
          <w:rFonts w:ascii="Times New Roman" w:cs="Times New Roman"/>
        </w:rPr>
        <w:fldChar w:fldCharType="begin"/>
      </w:r>
      <w:r>
        <w:rPr>
          <w:rFonts w:ascii="Times New Roman" w:cs="Times New Roman"/>
        </w:rPr>
        <w:instrText xml:space="preserve"> = 1 \* ROMAN </w:instrText>
      </w:r>
      <w:r>
        <w:rPr>
          <w:rFonts w:ascii="Times New Roman" w:cs="Times New Roman"/>
        </w:rPr>
        <w:fldChar w:fldCharType="separate"/>
      </w:r>
      <w:r>
        <w:rPr>
          <w:rFonts w:ascii="Times New Roman" w:cs="Times New Roman"/>
        </w:rPr>
        <w:t>I</w:t>
      </w:r>
      <w:r>
        <w:rPr>
          <w:rFonts w:ascii="Times New Roman" w:cs="Times New Roman"/>
        </w:rPr>
        <w:fldChar w:fldCharType="end"/>
      </w:r>
      <w:r>
        <w:rPr>
          <w:rFonts w:ascii="Times New Roman" w:cs="Times New Roman"/>
        </w:rPr>
        <w:t>。</w:t>
      </w:r>
    </w:p>
    <w:p>
      <w:pPr>
        <w:snapToGrid w:val="0"/>
        <w:ind w:firstLine="480"/>
        <w:rPr>
          <w:rFonts w:ascii="Times New Roman" w:cs="Times New Roman"/>
        </w:rPr>
      </w:pPr>
      <w:r>
        <w:rPr>
          <w:rFonts w:ascii="Times New Roman" w:cs="Times New Roman"/>
        </w:rPr>
        <w:t>当</w:t>
      </w:r>
      <w:r>
        <w:rPr>
          <w:rFonts w:ascii="Times New Roman" w:cs="Times New Roman"/>
          <w:i/>
        </w:rPr>
        <w:t>Q</w:t>
      </w:r>
      <w:r>
        <w:rPr>
          <w:rFonts w:ascii="Times New Roman" w:cs="Times New Roman"/>
        </w:rPr>
        <w:t>＞1时，将</w:t>
      </w:r>
      <w:r>
        <w:rPr>
          <w:rFonts w:ascii="Times New Roman" w:cs="Times New Roman"/>
          <w:i/>
        </w:rPr>
        <w:t>Q</w:t>
      </w:r>
      <w:r>
        <w:rPr>
          <w:rFonts w:ascii="Times New Roman" w:cs="Times New Roman"/>
        </w:rPr>
        <w:t>值划分为：（1）1≤</w:t>
      </w:r>
      <w:r>
        <w:rPr>
          <w:rFonts w:ascii="Times New Roman" w:cs="Times New Roman"/>
          <w:i/>
        </w:rPr>
        <w:t>Q</w:t>
      </w:r>
      <w:r>
        <w:rPr>
          <w:rFonts w:ascii="Times New Roman" w:cs="Times New Roman"/>
        </w:rPr>
        <w:t>＜10；（2）10≤</w:t>
      </w:r>
      <w:r>
        <w:rPr>
          <w:rFonts w:ascii="Times New Roman" w:cs="Times New Roman"/>
          <w:i/>
        </w:rPr>
        <w:t>Q</w:t>
      </w:r>
      <w:r>
        <w:rPr>
          <w:rFonts w:ascii="Times New Roman" w:cs="Times New Roman"/>
        </w:rPr>
        <w:t>＜100；（3）</w:t>
      </w:r>
      <w:r>
        <w:rPr>
          <w:rFonts w:ascii="Times New Roman" w:cs="Times New Roman"/>
          <w:i/>
        </w:rPr>
        <w:t>Q</w:t>
      </w:r>
      <w:r>
        <w:rPr>
          <w:rFonts w:ascii="Times New Roman" w:cs="Times New Roman"/>
        </w:rPr>
        <w:t>≥100</w:t>
      </w:r>
    </w:p>
    <w:p>
      <w:pPr>
        <w:ind w:firstLine="480"/>
        <w:rPr>
          <w:rFonts w:ascii="Times New Roman" w:cs="Times New Roman"/>
        </w:rPr>
      </w:pPr>
      <w:r>
        <w:rPr>
          <w:rFonts w:ascii="Times New Roman" w:cs="Times New Roman"/>
        </w:rPr>
        <w:t>危险物质的最大</w:t>
      </w:r>
      <w:r>
        <w:rPr>
          <w:rFonts w:hint="eastAsia" w:ascii="Times New Roman" w:cs="Times New Roman"/>
        </w:rPr>
        <w:t>存在</w:t>
      </w:r>
      <w:r>
        <w:rPr>
          <w:rFonts w:ascii="Times New Roman" w:cs="Times New Roman"/>
        </w:rPr>
        <w:t>总量=天然气最大</w:t>
      </w:r>
      <w:r>
        <w:rPr>
          <w:rFonts w:hint="eastAsia" w:ascii="Times New Roman" w:cs="Times New Roman"/>
        </w:rPr>
        <w:t>存在</w:t>
      </w:r>
      <w:r>
        <w:rPr>
          <w:rFonts w:ascii="Times New Roman" w:cs="Times New Roman"/>
        </w:rPr>
        <w:t>总量*该类危险物质所占摩尔分数。</w:t>
      </w:r>
    </w:p>
    <w:p>
      <w:pPr>
        <w:pStyle w:val="6"/>
        <w:ind w:firstLine="480"/>
        <w:rPr>
          <w:rFonts w:ascii="Times New Roman" w:cs="Times New Roman"/>
        </w:rPr>
      </w:pPr>
      <w:r>
        <w:rPr>
          <w:rFonts w:ascii="Times New Roman" w:cs="Times New Roman"/>
        </w:rPr>
        <w:t>根据项目概况3.3中输送介质情况和柴油罐</w:t>
      </w:r>
      <w:r>
        <w:rPr>
          <w:rFonts w:hint="eastAsia" w:ascii="Times New Roman" w:cs="Times New Roman"/>
        </w:rPr>
        <w:t>、凝析油</w:t>
      </w:r>
      <w:r>
        <w:rPr>
          <w:rFonts w:ascii="Times New Roman" w:cs="Times New Roman"/>
        </w:rPr>
        <w:t>设置情况</w:t>
      </w:r>
      <w:r>
        <w:rPr>
          <w:rFonts w:hint="eastAsia" w:ascii="Times New Roman" w:cs="Times New Roman"/>
        </w:rPr>
        <w:t>，</w:t>
      </w:r>
      <w:r>
        <w:rPr>
          <w:rFonts w:ascii="Times New Roman" w:cs="Times New Roman"/>
        </w:rPr>
        <w:t>从而得到本项目评价单元内</w:t>
      </w:r>
      <w:r>
        <w:rPr>
          <w:rFonts w:hint="eastAsia" w:ascii="Times New Roman" w:cs="Times New Roman"/>
        </w:rPr>
        <w:t>各危险物质的</w:t>
      </w:r>
      <w:r>
        <w:rPr>
          <w:rFonts w:ascii="Times New Roman" w:cs="Times New Roman"/>
        </w:rPr>
        <w:t>最大</w:t>
      </w:r>
      <w:r>
        <w:rPr>
          <w:rFonts w:hint="eastAsia" w:ascii="Times New Roman" w:cs="Times New Roman"/>
        </w:rPr>
        <w:t>存在</w:t>
      </w:r>
      <w:r>
        <w:rPr>
          <w:rFonts w:ascii="Times New Roman" w:cs="Times New Roman"/>
        </w:rPr>
        <w:t>总量。</w:t>
      </w:r>
    </w:p>
    <w:p>
      <w:pPr>
        <w:pStyle w:val="37"/>
        <w:ind w:firstLine="480"/>
        <w:rPr>
          <w:rFonts w:cs="Times New Roman"/>
        </w:rPr>
      </w:pPr>
      <w:r>
        <w:rPr>
          <w:rFonts w:cs="Times New Roman"/>
        </w:rPr>
        <w:t>表7.4-</w:t>
      </w:r>
      <w:r>
        <w:rPr>
          <w:rFonts w:hint="eastAsia" w:cs="Times New Roman"/>
        </w:rPr>
        <w:t>3</w:t>
      </w:r>
      <w:r>
        <w:rPr>
          <w:rFonts w:cs="Times New Roman"/>
        </w:rPr>
        <w:t xml:space="preserve">  </w:t>
      </w:r>
      <w:r>
        <w:rPr>
          <w:rFonts w:hint="eastAsia" w:cs="Times New Roman"/>
        </w:rPr>
        <w:t>井喷（15min）</w:t>
      </w:r>
      <w:r>
        <w:rPr>
          <w:rFonts w:cs="Times New Roman"/>
        </w:rPr>
        <w:t>危险物质数量与临界值比值计算表</w:t>
      </w:r>
    </w:p>
    <w:tbl>
      <w:tblPr>
        <w:tblStyle w:val="57"/>
        <w:tblW w:w="853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63"/>
        <w:gridCol w:w="1348"/>
        <w:gridCol w:w="2126"/>
        <w:gridCol w:w="1276"/>
        <w:gridCol w:w="13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788" w:type="dxa"/>
            <w:tcBorders>
              <w:top w:val="single" w:color="auto" w:sz="12" w:space="0"/>
            </w:tcBorders>
            <w:shd w:val="clear" w:color="auto" w:fill="auto"/>
            <w:vAlign w:val="center"/>
          </w:tcPr>
          <w:p>
            <w:pPr>
              <w:pStyle w:val="132"/>
              <w:rPr>
                <w:b/>
                <w:bCs/>
              </w:rPr>
            </w:pPr>
            <w:r>
              <w:rPr>
                <w:b/>
                <w:bCs/>
              </w:rPr>
              <w:t>序号</w:t>
            </w:r>
          </w:p>
        </w:tc>
        <w:tc>
          <w:tcPr>
            <w:tcW w:w="1663" w:type="dxa"/>
            <w:tcBorders>
              <w:top w:val="single" w:color="auto" w:sz="12" w:space="0"/>
            </w:tcBorders>
            <w:shd w:val="clear" w:color="auto" w:fill="auto"/>
            <w:vAlign w:val="center"/>
          </w:tcPr>
          <w:p>
            <w:pPr>
              <w:pStyle w:val="132"/>
              <w:rPr>
                <w:b/>
                <w:bCs/>
              </w:rPr>
            </w:pPr>
            <w:r>
              <w:rPr>
                <w:b/>
                <w:bCs/>
              </w:rPr>
              <w:t>危险物质名称</w:t>
            </w:r>
          </w:p>
        </w:tc>
        <w:tc>
          <w:tcPr>
            <w:tcW w:w="1348" w:type="dxa"/>
            <w:tcBorders>
              <w:top w:val="single" w:color="auto" w:sz="12" w:space="0"/>
            </w:tcBorders>
            <w:shd w:val="clear" w:color="auto" w:fill="auto"/>
            <w:vAlign w:val="center"/>
          </w:tcPr>
          <w:p>
            <w:pPr>
              <w:pStyle w:val="132"/>
              <w:rPr>
                <w:b/>
                <w:bCs/>
              </w:rPr>
            </w:pPr>
            <w:r>
              <w:rPr>
                <w:b/>
                <w:bCs/>
              </w:rPr>
              <w:t>CAS号</w:t>
            </w:r>
          </w:p>
        </w:tc>
        <w:tc>
          <w:tcPr>
            <w:tcW w:w="2126" w:type="dxa"/>
            <w:tcBorders>
              <w:top w:val="single" w:color="auto" w:sz="12" w:space="0"/>
            </w:tcBorders>
            <w:shd w:val="clear" w:color="auto" w:fill="auto"/>
            <w:vAlign w:val="center"/>
          </w:tcPr>
          <w:p>
            <w:pPr>
              <w:pStyle w:val="132"/>
              <w:rPr>
                <w:b/>
                <w:bCs/>
              </w:rPr>
            </w:pPr>
            <w:r>
              <w:rPr>
                <w:b/>
                <w:bCs/>
              </w:rPr>
              <w:t>最大存在总量qn/t</w:t>
            </w:r>
          </w:p>
        </w:tc>
        <w:tc>
          <w:tcPr>
            <w:tcW w:w="1276" w:type="dxa"/>
            <w:tcBorders>
              <w:top w:val="single" w:color="auto" w:sz="12" w:space="0"/>
            </w:tcBorders>
            <w:shd w:val="clear" w:color="auto" w:fill="auto"/>
            <w:vAlign w:val="center"/>
          </w:tcPr>
          <w:p>
            <w:pPr>
              <w:pStyle w:val="132"/>
              <w:rPr>
                <w:b/>
                <w:bCs/>
              </w:rPr>
            </w:pPr>
            <w:r>
              <w:rPr>
                <w:b/>
                <w:bCs/>
              </w:rPr>
              <w:t>临界量Qn/t</w:t>
            </w:r>
          </w:p>
        </w:tc>
        <w:tc>
          <w:tcPr>
            <w:tcW w:w="1331" w:type="dxa"/>
            <w:tcBorders>
              <w:top w:val="single" w:color="auto" w:sz="12" w:space="0"/>
            </w:tcBorders>
            <w:shd w:val="clear" w:color="auto" w:fill="auto"/>
            <w:vAlign w:val="center"/>
          </w:tcPr>
          <w:p>
            <w:pPr>
              <w:pStyle w:val="132"/>
              <w:rPr>
                <w:b/>
                <w:bCs/>
              </w:rPr>
            </w:pPr>
            <w:r>
              <w:rPr>
                <w:b/>
                <w:bCs/>
              </w:rPr>
              <w:t>qn/Qn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788" w:type="dxa"/>
            <w:shd w:val="clear" w:color="auto" w:fill="auto"/>
            <w:vAlign w:val="center"/>
          </w:tcPr>
          <w:p>
            <w:pPr>
              <w:pStyle w:val="132"/>
            </w:pPr>
            <w:r>
              <w:t>1</w:t>
            </w:r>
          </w:p>
        </w:tc>
        <w:tc>
          <w:tcPr>
            <w:tcW w:w="1663" w:type="dxa"/>
            <w:shd w:val="clear" w:color="auto" w:fill="auto"/>
            <w:vAlign w:val="center"/>
          </w:tcPr>
          <w:p>
            <w:pPr>
              <w:pStyle w:val="132"/>
            </w:pPr>
            <w:r>
              <w:t>甲烷</w:t>
            </w:r>
          </w:p>
        </w:tc>
        <w:tc>
          <w:tcPr>
            <w:tcW w:w="1348" w:type="dxa"/>
            <w:shd w:val="clear" w:color="auto" w:fill="auto"/>
            <w:vAlign w:val="center"/>
          </w:tcPr>
          <w:p>
            <w:pPr>
              <w:pStyle w:val="132"/>
            </w:pPr>
            <w:r>
              <w:t>74-82-8</w:t>
            </w:r>
          </w:p>
        </w:tc>
        <w:tc>
          <w:tcPr>
            <w:tcW w:w="2126" w:type="dxa"/>
            <w:shd w:val="clear" w:color="auto" w:fill="auto"/>
            <w:vAlign w:val="center"/>
          </w:tcPr>
          <w:p>
            <w:pPr>
              <w:pStyle w:val="132"/>
            </w:pPr>
            <w:r>
              <w:t>9.86</w:t>
            </w:r>
          </w:p>
        </w:tc>
        <w:tc>
          <w:tcPr>
            <w:tcW w:w="1276" w:type="dxa"/>
            <w:shd w:val="clear" w:color="auto" w:fill="auto"/>
            <w:vAlign w:val="center"/>
          </w:tcPr>
          <w:p>
            <w:pPr>
              <w:pStyle w:val="132"/>
            </w:pPr>
            <w:r>
              <w:t>10</w:t>
            </w:r>
          </w:p>
        </w:tc>
        <w:tc>
          <w:tcPr>
            <w:tcW w:w="1331" w:type="dxa"/>
            <w:shd w:val="clear" w:color="auto" w:fill="auto"/>
          </w:tcPr>
          <w:p>
            <w:pPr>
              <w:pStyle w:val="132"/>
            </w:pPr>
            <w:r>
              <w:rPr>
                <w:rFonts w:hint="eastAsia"/>
              </w:rPr>
              <w:t>0.986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99" w:type="dxa"/>
            <w:gridSpan w:val="3"/>
            <w:tcBorders>
              <w:bottom w:val="single" w:color="auto" w:sz="12" w:space="0"/>
            </w:tcBorders>
            <w:shd w:val="clear" w:color="auto" w:fill="auto"/>
            <w:vAlign w:val="center"/>
          </w:tcPr>
          <w:p>
            <w:pPr>
              <w:pStyle w:val="132"/>
            </w:pPr>
            <w:r>
              <w:t>合计</w:t>
            </w:r>
          </w:p>
        </w:tc>
        <w:tc>
          <w:tcPr>
            <w:tcW w:w="2126" w:type="dxa"/>
            <w:tcBorders>
              <w:bottom w:val="single" w:color="auto" w:sz="12" w:space="0"/>
            </w:tcBorders>
            <w:shd w:val="clear" w:color="auto" w:fill="auto"/>
            <w:vAlign w:val="center"/>
          </w:tcPr>
          <w:p>
            <w:pPr>
              <w:pStyle w:val="132"/>
            </w:pPr>
            <w:r>
              <w:t>—</w:t>
            </w:r>
          </w:p>
        </w:tc>
        <w:tc>
          <w:tcPr>
            <w:tcW w:w="1276" w:type="dxa"/>
            <w:tcBorders>
              <w:bottom w:val="single" w:color="auto" w:sz="12" w:space="0"/>
            </w:tcBorders>
            <w:shd w:val="clear" w:color="auto" w:fill="auto"/>
            <w:vAlign w:val="center"/>
          </w:tcPr>
          <w:p>
            <w:pPr>
              <w:pStyle w:val="132"/>
            </w:pPr>
            <w:r>
              <w:t>—</w:t>
            </w:r>
          </w:p>
        </w:tc>
        <w:tc>
          <w:tcPr>
            <w:tcW w:w="1331" w:type="dxa"/>
            <w:tcBorders>
              <w:bottom w:val="single" w:color="auto" w:sz="12" w:space="0"/>
            </w:tcBorders>
            <w:shd w:val="clear" w:color="auto" w:fill="auto"/>
            <w:vAlign w:val="center"/>
          </w:tcPr>
          <w:p>
            <w:pPr>
              <w:pStyle w:val="132"/>
            </w:pPr>
            <w:r>
              <w:rPr>
                <w:rFonts w:hint="eastAsia"/>
              </w:rPr>
              <w:t>0.986</w:t>
            </w:r>
          </w:p>
        </w:tc>
      </w:tr>
    </w:tbl>
    <w:p>
      <w:pPr>
        <w:pStyle w:val="37"/>
        <w:ind w:firstLine="480"/>
        <w:rPr>
          <w:rFonts w:cs="Times New Roman"/>
          <w:color w:val="FF0000"/>
        </w:rPr>
      </w:pPr>
      <w:r>
        <w:rPr>
          <w:rFonts w:cs="Times New Roman"/>
        </w:rPr>
        <w:t>表7.4-</w:t>
      </w:r>
      <w:r>
        <w:rPr>
          <w:rFonts w:hint="eastAsia" w:cs="Times New Roman"/>
        </w:rPr>
        <w:t>4</w:t>
      </w:r>
      <w:r>
        <w:rPr>
          <w:rFonts w:cs="Times New Roman"/>
        </w:rPr>
        <w:t xml:space="preserve">  </w:t>
      </w:r>
      <w:r>
        <w:rPr>
          <w:rFonts w:cs="Times New Roman"/>
          <w:color w:val="FF0000"/>
        </w:rPr>
        <w:t>管道危险物质数量与临界值比值计算表</w:t>
      </w:r>
    </w:p>
    <w:tbl>
      <w:tblPr>
        <w:tblStyle w:val="57"/>
        <w:tblW w:w="853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63"/>
        <w:gridCol w:w="1348"/>
        <w:gridCol w:w="2126"/>
        <w:gridCol w:w="1276"/>
        <w:gridCol w:w="13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788" w:type="dxa"/>
            <w:tcBorders>
              <w:top w:val="single" w:color="auto" w:sz="12" w:space="0"/>
            </w:tcBorders>
            <w:shd w:val="clear" w:color="auto" w:fill="auto"/>
            <w:vAlign w:val="center"/>
          </w:tcPr>
          <w:p>
            <w:pPr>
              <w:pStyle w:val="132"/>
              <w:rPr>
                <w:b/>
                <w:bCs/>
              </w:rPr>
            </w:pPr>
            <w:r>
              <w:rPr>
                <w:b/>
                <w:bCs/>
              </w:rPr>
              <w:t>序号</w:t>
            </w:r>
          </w:p>
        </w:tc>
        <w:tc>
          <w:tcPr>
            <w:tcW w:w="1663" w:type="dxa"/>
            <w:tcBorders>
              <w:top w:val="single" w:color="auto" w:sz="12" w:space="0"/>
            </w:tcBorders>
            <w:shd w:val="clear" w:color="auto" w:fill="auto"/>
            <w:vAlign w:val="center"/>
          </w:tcPr>
          <w:p>
            <w:pPr>
              <w:pStyle w:val="132"/>
              <w:rPr>
                <w:b/>
                <w:bCs/>
              </w:rPr>
            </w:pPr>
            <w:r>
              <w:rPr>
                <w:b/>
                <w:bCs/>
              </w:rPr>
              <w:t>危险物质名称</w:t>
            </w:r>
          </w:p>
        </w:tc>
        <w:tc>
          <w:tcPr>
            <w:tcW w:w="1348" w:type="dxa"/>
            <w:tcBorders>
              <w:top w:val="single" w:color="auto" w:sz="12" w:space="0"/>
            </w:tcBorders>
            <w:shd w:val="clear" w:color="auto" w:fill="auto"/>
            <w:vAlign w:val="center"/>
          </w:tcPr>
          <w:p>
            <w:pPr>
              <w:pStyle w:val="132"/>
              <w:rPr>
                <w:b/>
                <w:bCs/>
              </w:rPr>
            </w:pPr>
            <w:r>
              <w:rPr>
                <w:b/>
                <w:bCs/>
              </w:rPr>
              <w:t>CAS号</w:t>
            </w:r>
          </w:p>
        </w:tc>
        <w:tc>
          <w:tcPr>
            <w:tcW w:w="2126" w:type="dxa"/>
            <w:tcBorders>
              <w:top w:val="single" w:color="auto" w:sz="12" w:space="0"/>
            </w:tcBorders>
            <w:shd w:val="clear" w:color="auto" w:fill="auto"/>
            <w:vAlign w:val="center"/>
          </w:tcPr>
          <w:p>
            <w:pPr>
              <w:pStyle w:val="132"/>
              <w:rPr>
                <w:b/>
                <w:bCs/>
              </w:rPr>
            </w:pPr>
            <w:r>
              <w:rPr>
                <w:b/>
                <w:bCs/>
              </w:rPr>
              <w:t>最大存在总量qn/t</w:t>
            </w:r>
          </w:p>
        </w:tc>
        <w:tc>
          <w:tcPr>
            <w:tcW w:w="1276" w:type="dxa"/>
            <w:tcBorders>
              <w:top w:val="single" w:color="auto" w:sz="12" w:space="0"/>
            </w:tcBorders>
            <w:shd w:val="clear" w:color="auto" w:fill="auto"/>
            <w:vAlign w:val="center"/>
          </w:tcPr>
          <w:p>
            <w:pPr>
              <w:pStyle w:val="132"/>
              <w:rPr>
                <w:b/>
                <w:bCs/>
              </w:rPr>
            </w:pPr>
            <w:r>
              <w:rPr>
                <w:b/>
                <w:bCs/>
              </w:rPr>
              <w:t>临界量Qn/t</w:t>
            </w:r>
          </w:p>
        </w:tc>
        <w:tc>
          <w:tcPr>
            <w:tcW w:w="1331" w:type="dxa"/>
            <w:tcBorders>
              <w:top w:val="single" w:color="auto" w:sz="12" w:space="0"/>
            </w:tcBorders>
            <w:shd w:val="clear" w:color="auto" w:fill="auto"/>
            <w:vAlign w:val="center"/>
          </w:tcPr>
          <w:p>
            <w:pPr>
              <w:pStyle w:val="132"/>
              <w:rPr>
                <w:b/>
                <w:bCs/>
              </w:rPr>
            </w:pPr>
            <w:r>
              <w:rPr>
                <w:b/>
                <w:bCs/>
              </w:rPr>
              <w:t>qn/Qn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788" w:type="dxa"/>
            <w:shd w:val="clear" w:color="auto" w:fill="auto"/>
            <w:vAlign w:val="center"/>
          </w:tcPr>
          <w:p>
            <w:pPr>
              <w:pStyle w:val="132"/>
            </w:pPr>
            <w:r>
              <w:t>1</w:t>
            </w:r>
          </w:p>
        </w:tc>
        <w:tc>
          <w:tcPr>
            <w:tcW w:w="1663" w:type="dxa"/>
            <w:shd w:val="clear" w:color="auto" w:fill="auto"/>
            <w:vAlign w:val="center"/>
          </w:tcPr>
          <w:p>
            <w:pPr>
              <w:pStyle w:val="132"/>
            </w:pPr>
            <w:r>
              <w:t>甲烷</w:t>
            </w:r>
          </w:p>
        </w:tc>
        <w:tc>
          <w:tcPr>
            <w:tcW w:w="1348" w:type="dxa"/>
            <w:shd w:val="clear" w:color="auto" w:fill="auto"/>
            <w:vAlign w:val="center"/>
          </w:tcPr>
          <w:p>
            <w:pPr>
              <w:pStyle w:val="132"/>
            </w:pPr>
            <w:r>
              <w:t>74-82-8</w:t>
            </w:r>
          </w:p>
        </w:tc>
        <w:tc>
          <w:tcPr>
            <w:tcW w:w="2126" w:type="dxa"/>
            <w:shd w:val="clear" w:color="auto" w:fill="auto"/>
            <w:vAlign w:val="center"/>
          </w:tcPr>
          <w:p>
            <w:pPr>
              <w:pStyle w:val="132"/>
            </w:pPr>
            <w:r>
              <w:rPr>
                <w:rFonts w:hint="eastAsia"/>
              </w:rPr>
              <w:t>0.7</w:t>
            </w:r>
          </w:p>
        </w:tc>
        <w:tc>
          <w:tcPr>
            <w:tcW w:w="1276" w:type="dxa"/>
            <w:shd w:val="clear" w:color="auto" w:fill="auto"/>
            <w:vAlign w:val="center"/>
          </w:tcPr>
          <w:p>
            <w:pPr>
              <w:pStyle w:val="132"/>
            </w:pPr>
            <w:r>
              <w:t>10</w:t>
            </w:r>
          </w:p>
        </w:tc>
        <w:tc>
          <w:tcPr>
            <w:tcW w:w="1331" w:type="dxa"/>
            <w:shd w:val="clear" w:color="auto" w:fill="auto"/>
          </w:tcPr>
          <w:p>
            <w:pPr>
              <w:pStyle w:val="132"/>
            </w:pPr>
            <w:r>
              <w:t>0.</w:t>
            </w:r>
            <w:r>
              <w:rPr>
                <w:rFonts w:hint="eastAsia"/>
              </w:rPr>
              <w:t>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99" w:type="dxa"/>
            <w:gridSpan w:val="3"/>
            <w:tcBorders>
              <w:bottom w:val="single" w:color="auto" w:sz="12" w:space="0"/>
            </w:tcBorders>
            <w:shd w:val="clear" w:color="auto" w:fill="auto"/>
            <w:vAlign w:val="center"/>
          </w:tcPr>
          <w:p>
            <w:pPr>
              <w:pStyle w:val="132"/>
            </w:pPr>
            <w:r>
              <w:t>合计</w:t>
            </w:r>
          </w:p>
        </w:tc>
        <w:tc>
          <w:tcPr>
            <w:tcW w:w="2126" w:type="dxa"/>
            <w:tcBorders>
              <w:bottom w:val="single" w:color="auto" w:sz="12" w:space="0"/>
            </w:tcBorders>
            <w:shd w:val="clear" w:color="auto" w:fill="auto"/>
            <w:vAlign w:val="center"/>
          </w:tcPr>
          <w:p>
            <w:pPr>
              <w:pStyle w:val="132"/>
            </w:pPr>
            <w:r>
              <w:t>—</w:t>
            </w:r>
          </w:p>
        </w:tc>
        <w:tc>
          <w:tcPr>
            <w:tcW w:w="1276" w:type="dxa"/>
            <w:tcBorders>
              <w:bottom w:val="single" w:color="auto" w:sz="12" w:space="0"/>
            </w:tcBorders>
            <w:shd w:val="clear" w:color="auto" w:fill="auto"/>
            <w:vAlign w:val="center"/>
          </w:tcPr>
          <w:p>
            <w:pPr>
              <w:pStyle w:val="132"/>
            </w:pPr>
            <w:r>
              <w:t>—</w:t>
            </w:r>
          </w:p>
        </w:tc>
        <w:tc>
          <w:tcPr>
            <w:tcW w:w="1331" w:type="dxa"/>
            <w:tcBorders>
              <w:bottom w:val="single" w:color="auto" w:sz="12" w:space="0"/>
            </w:tcBorders>
            <w:shd w:val="clear" w:color="auto" w:fill="auto"/>
            <w:vAlign w:val="center"/>
          </w:tcPr>
          <w:p>
            <w:pPr>
              <w:pStyle w:val="132"/>
            </w:pPr>
            <w:r>
              <w:t>0.</w:t>
            </w:r>
            <w:r>
              <w:rPr>
                <w:rFonts w:hint="eastAsia"/>
              </w:rPr>
              <w:t>07</w:t>
            </w:r>
          </w:p>
        </w:tc>
      </w:tr>
    </w:tbl>
    <w:p>
      <w:pPr>
        <w:pStyle w:val="37"/>
        <w:ind w:firstLine="480"/>
        <w:rPr>
          <w:rFonts w:cs="Times New Roman"/>
        </w:rPr>
      </w:pPr>
      <w:r>
        <w:rPr>
          <w:rFonts w:cs="Times New Roman"/>
          <w:color w:val="0000FF"/>
        </w:rPr>
        <w:t>表7.4-</w:t>
      </w:r>
      <w:r>
        <w:rPr>
          <w:rFonts w:hint="eastAsia" w:cs="Times New Roman"/>
          <w:color w:val="0000FF"/>
        </w:rPr>
        <w:t>5</w:t>
      </w:r>
      <w:r>
        <w:rPr>
          <w:rFonts w:cs="Times New Roman"/>
        </w:rPr>
        <w:t xml:space="preserve">  </w:t>
      </w:r>
      <w:r>
        <w:rPr>
          <w:rFonts w:hint="eastAsia" w:cs="Times New Roman"/>
        </w:rPr>
        <w:t>柴油罐</w:t>
      </w:r>
      <w:r>
        <w:rPr>
          <w:rFonts w:cs="Times New Roman"/>
        </w:rPr>
        <w:t>危险物质数量与临界值比值计算表</w:t>
      </w:r>
    </w:p>
    <w:tbl>
      <w:tblPr>
        <w:tblStyle w:val="57"/>
        <w:tblW w:w="853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63"/>
        <w:gridCol w:w="1348"/>
        <w:gridCol w:w="2126"/>
        <w:gridCol w:w="1276"/>
        <w:gridCol w:w="13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788" w:type="dxa"/>
            <w:tcBorders>
              <w:top w:val="single" w:color="auto" w:sz="12" w:space="0"/>
            </w:tcBorders>
            <w:shd w:val="clear" w:color="auto" w:fill="auto"/>
            <w:vAlign w:val="center"/>
          </w:tcPr>
          <w:p>
            <w:pPr>
              <w:pStyle w:val="132"/>
              <w:rPr>
                <w:b/>
                <w:bCs/>
              </w:rPr>
            </w:pPr>
            <w:r>
              <w:rPr>
                <w:b/>
                <w:bCs/>
              </w:rPr>
              <w:t>序号</w:t>
            </w:r>
          </w:p>
        </w:tc>
        <w:tc>
          <w:tcPr>
            <w:tcW w:w="1663" w:type="dxa"/>
            <w:tcBorders>
              <w:top w:val="single" w:color="auto" w:sz="12" w:space="0"/>
            </w:tcBorders>
            <w:shd w:val="clear" w:color="auto" w:fill="auto"/>
            <w:vAlign w:val="center"/>
          </w:tcPr>
          <w:p>
            <w:pPr>
              <w:pStyle w:val="132"/>
              <w:rPr>
                <w:b/>
                <w:bCs/>
              </w:rPr>
            </w:pPr>
            <w:r>
              <w:rPr>
                <w:b/>
                <w:bCs/>
              </w:rPr>
              <w:t>危险物质名称</w:t>
            </w:r>
          </w:p>
        </w:tc>
        <w:tc>
          <w:tcPr>
            <w:tcW w:w="1348" w:type="dxa"/>
            <w:tcBorders>
              <w:top w:val="single" w:color="auto" w:sz="12" w:space="0"/>
            </w:tcBorders>
            <w:shd w:val="clear" w:color="auto" w:fill="auto"/>
            <w:vAlign w:val="center"/>
          </w:tcPr>
          <w:p>
            <w:pPr>
              <w:pStyle w:val="132"/>
              <w:rPr>
                <w:b/>
                <w:bCs/>
              </w:rPr>
            </w:pPr>
            <w:r>
              <w:rPr>
                <w:b/>
                <w:bCs/>
              </w:rPr>
              <w:t>CAS号</w:t>
            </w:r>
          </w:p>
        </w:tc>
        <w:tc>
          <w:tcPr>
            <w:tcW w:w="2126" w:type="dxa"/>
            <w:tcBorders>
              <w:top w:val="single" w:color="auto" w:sz="12" w:space="0"/>
            </w:tcBorders>
            <w:shd w:val="clear" w:color="auto" w:fill="auto"/>
            <w:vAlign w:val="center"/>
          </w:tcPr>
          <w:p>
            <w:pPr>
              <w:pStyle w:val="132"/>
              <w:rPr>
                <w:b/>
                <w:bCs/>
              </w:rPr>
            </w:pPr>
            <w:r>
              <w:rPr>
                <w:b/>
                <w:bCs/>
              </w:rPr>
              <w:t>最大存在总量qn/t</w:t>
            </w:r>
          </w:p>
        </w:tc>
        <w:tc>
          <w:tcPr>
            <w:tcW w:w="1276" w:type="dxa"/>
            <w:tcBorders>
              <w:top w:val="single" w:color="auto" w:sz="12" w:space="0"/>
            </w:tcBorders>
            <w:shd w:val="clear" w:color="auto" w:fill="auto"/>
            <w:vAlign w:val="center"/>
          </w:tcPr>
          <w:p>
            <w:pPr>
              <w:pStyle w:val="132"/>
              <w:rPr>
                <w:b/>
                <w:bCs/>
              </w:rPr>
            </w:pPr>
            <w:r>
              <w:rPr>
                <w:b/>
                <w:bCs/>
              </w:rPr>
              <w:t>临界量Qn/t</w:t>
            </w:r>
          </w:p>
        </w:tc>
        <w:tc>
          <w:tcPr>
            <w:tcW w:w="1331" w:type="dxa"/>
            <w:tcBorders>
              <w:top w:val="single" w:color="auto" w:sz="12" w:space="0"/>
            </w:tcBorders>
            <w:shd w:val="clear" w:color="auto" w:fill="auto"/>
            <w:vAlign w:val="center"/>
          </w:tcPr>
          <w:p>
            <w:pPr>
              <w:pStyle w:val="132"/>
              <w:rPr>
                <w:b/>
                <w:bCs/>
              </w:rPr>
            </w:pPr>
            <w:r>
              <w:rPr>
                <w:b/>
                <w:bCs/>
              </w:rPr>
              <w:t>qn/Qn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788" w:type="dxa"/>
            <w:shd w:val="clear" w:color="auto" w:fill="auto"/>
            <w:vAlign w:val="center"/>
          </w:tcPr>
          <w:p>
            <w:pPr>
              <w:pStyle w:val="132"/>
            </w:pPr>
            <w:r>
              <w:t>1</w:t>
            </w:r>
          </w:p>
        </w:tc>
        <w:tc>
          <w:tcPr>
            <w:tcW w:w="1663" w:type="dxa"/>
            <w:shd w:val="clear" w:color="auto" w:fill="auto"/>
            <w:vAlign w:val="center"/>
          </w:tcPr>
          <w:p>
            <w:pPr>
              <w:pStyle w:val="132"/>
            </w:pPr>
            <w:r>
              <w:rPr>
                <w:rFonts w:hint="eastAsia"/>
              </w:rPr>
              <w:t>柴油</w:t>
            </w:r>
          </w:p>
        </w:tc>
        <w:tc>
          <w:tcPr>
            <w:tcW w:w="1348" w:type="dxa"/>
            <w:shd w:val="clear" w:color="auto" w:fill="auto"/>
            <w:vAlign w:val="center"/>
          </w:tcPr>
          <w:p>
            <w:pPr>
              <w:pStyle w:val="132"/>
            </w:pPr>
            <w:r>
              <w:rPr>
                <w:rFonts w:hint="eastAsia"/>
              </w:rPr>
              <w:t>68344</w:t>
            </w:r>
            <w:r>
              <w:t>-</w:t>
            </w:r>
            <w:r>
              <w:rPr>
                <w:rFonts w:hint="eastAsia"/>
              </w:rPr>
              <w:t>30</w:t>
            </w:r>
            <w:r>
              <w:t>-</w:t>
            </w:r>
            <w:r>
              <w:rPr>
                <w:rFonts w:hint="eastAsia"/>
              </w:rPr>
              <w:t>5</w:t>
            </w:r>
          </w:p>
        </w:tc>
        <w:tc>
          <w:tcPr>
            <w:tcW w:w="2126" w:type="dxa"/>
            <w:shd w:val="clear" w:color="auto" w:fill="auto"/>
            <w:vAlign w:val="center"/>
          </w:tcPr>
          <w:p>
            <w:pPr>
              <w:pStyle w:val="132"/>
            </w:pPr>
            <w:r>
              <w:rPr>
                <w:rFonts w:hint="eastAsia"/>
              </w:rPr>
              <w:t>16.8</w:t>
            </w:r>
          </w:p>
        </w:tc>
        <w:tc>
          <w:tcPr>
            <w:tcW w:w="1276" w:type="dxa"/>
            <w:shd w:val="clear" w:color="auto" w:fill="auto"/>
            <w:vAlign w:val="center"/>
          </w:tcPr>
          <w:p>
            <w:pPr>
              <w:pStyle w:val="132"/>
            </w:pPr>
            <w:r>
              <w:rPr>
                <w:rFonts w:hint="eastAsia"/>
              </w:rPr>
              <w:t>250</w:t>
            </w:r>
            <w:r>
              <w:t>0</w:t>
            </w:r>
          </w:p>
        </w:tc>
        <w:tc>
          <w:tcPr>
            <w:tcW w:w="1331" w:type="dxa"/>
            <w:shd w:val="clear" w:color="auto" w:fill="auto"/>
            <w:vAlign w:val="center"/>
          </w:tcPr>
          <w:p>
            <w:pPr>
              <w:pStyle w:val="132"/>
            </w:pPr>
            <w:r>
              <w:t>0.0</w:t>
            </w:r>
            <w:r>
              <w:rPr>
                <w:rFonts w:hint="eastAsia"/>
              </w:rPr>
              <w:t>067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99" w:type="dxa"/>
            <w:gridSpan w:val="3"/>
            <w:tcBorders>
              <w:bottom w:val="single" w:color="auto" w:sz="12" w:space="0"/>
            </w:tcBorders>
            <w:shd w:val="clear" w:color="auto" w:fill="auto"/>
            <w:vAlign w:val="center"/>
          </w:tcPr>
          <w:p>
            <w:pPr>
              <w:pStyle w:val="132"/>
            </w:pPr>
            <w:r>
              <w:t>合计</w:t>
            </w:r>
          </w:p>
        </w:tc>
        <w:tc>
          <w:tcPr>
            <w:tcW w:w="2126" w:type="dxa"/>
            <w:tcBorders>
              <w:bottom w:val="single" w:color="auto" w:sz="12" w:space="0"/>
            </w:tcBorders>
            <w:shd w:val="clear" w:color="auto" w:fill="auto"/>
            <w:vAlign w:val="center"/>
          </w:tcPr>
          <w:p>
            <w:pPr>
              <w:pStyle w:val="132"/>
            </w:pPr>
            <w:r>
              <w:t>—</w:t>
            </w:r>
          </w:p>
        </w:tc>
        <w:tc>
          <w:tcPr>
            <w:tcW w:w="1276" w:type="dxa"/>
            <w:tcBorders>
              <w:bottom w:val="single" w:color="auto" w:sz="12" w:space="0"/>
            </w:tcBorders>
            <w:shd w:val="clear" w:color="auto" w:fill="auto"/>
            <w:vAlign w:val="center"/>
          </w:tcPr>
          <w:p>
            <w:pPr>
              <w:pStyle w:val="132"/>
            </w:pPr>
            <w:r>
              <w:t>—</w:t>
            </w:r>
          </w:p>
        </w:tc>
        <w:tc>
          <w:tcPr>
            <w:tcW w:w="1331" w:type="dxa"/>
            <w:tcBorders>
              <w:bottom w:val="single" w:color="auto" w:sz="12" w:space="0"/>
            </w:tcBorders>
            <w:shd w:val="clear" w:color="auto" w:fill="auto"/>
            <w:vAlign w:val="center"/>
          </w:tcPr>
          <w:p>
            <w:pPr>
              <w:pStyle w:val="132"/>
            </w:pPr>
            <w:r>
              <w:t>0.0</w:t>
            </w:r>
            <w:r>
              <w:rPr>
                <w:rFonts w:hint="eastAsia"/>
              </w:rPr>
              <w:t>067</w:t>
            </w:r>
          </w:p>
        </w:tc>
      </w:tr>
    </w:tbl>
    <w:p>
      <w:pPr>
        <w:pStyle w:val="37"/>
        <w:ind w:firstLine="480"/>
        <w:rPr>
          <w:rFonts w:cs="Times New Roman"/>
        </w:rPr>
      </w:pPr>
      <w:r>
        <w:rPr>
          <w:rFonts w:cs="Times New Roman"/>
        </w:rPr>
        <w:t>表7.4-</w:t>
      </w:r>
      <w:r>
        <w:rPr>
          <w:rFonts w:hint="eastAsia" w:cs="Times New Roman"/>
        </w:rPr>
        <w:t>6</w:t>
      </w:r>
      <w:r>
        <w:rPr>
          <w:rFonts w:cs="Times New Roman"/>
        </w:rPr>
        <w:t xml:space="preserve">  </w:t>
      </w:r>
      <w:r>
        <w:rPr>
          <w:rFonts w:hint="eastAsia" w:cs="Times New Roman"/>
          <w:color w:val="0000FF"/>
        </w:rPr>
        <w:t>凝析油储罐</w:t>
      </w:r>
      <w:r>
        <w:rPr>
          <w:rFonts w:cs="Times New Roman"/>
        </w:rPr>
        <w:t>危险物质数量与临界值比值计算表</w:t>
      </w:r>
    </w:p>
    <w:tbl>
      <w:tblPr>
        <w:tblStyle w:val="57"/>
        <w:tblW w:w="853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63"/>
        <w:gridCol w:w="1348"/>
        <w:gridCol w:w="2126"/>
        <w:gridCol w:w="1276"/>
        <w:gridCol w:w="13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788" w:type="dxa"/>
            <w:tcBorders>
              <w:top w:val="single" w:color="auto" w:sz="12" w:space="0"/>
            </w:tcBorders>
            <w:shd w:val="clear" w:color="auto" w:fill="auto"/>
            <w:vAlign w:val="center"/>
          </w:tcPr>
          <w:p>
            <w:pPr>
              <w:pStyle w:val="132"/>
              <w:rPr>
                <w:b/>
                <w:bCs/>
              </w:rPr>
            </w:pPr>
            <w:r>
              <w:rPr>
                <w:b/>
                <w:bCs/>
              </w:rPr>
              <w:t>序号</w:t>
            </w:r>
          </w:p>
        </w:tc>
        <w:tc>
          <w:tcPr>
            <w:tcW w:w="1663" w:type="dxa"/>
            <w:tcBorders>
              <w:top w:val="single" w:color="auto" w:sz="12" w:space="0"/>
            </w:tcBorders>
            <w:shd w:val="clear" w:color="auto" w:fill="auto"/>
            <w:vAlign w:val="center"/>
          </w:tcPr>
          <w:p>
            <w:pPr>
              <w:pStyle w:val="132"/>
              <w:rPr>
                <w:b/>
                <w:bCs/>
              </w:rPr>
            </w:pPr>
            <w:r>
              <w:rPr>
                <w:b/>
                <w:bCs/>
              </w:rPr>
              <w:t>危险物质名称</w:t>
            </w:r>
          </w:p>
        </w:tc>
        <w:tc>
          <w:tcPr>
            <w:tcW w:w="1348" w:type="dxa"/>
            <w:tcBorders>
              <w:top w:val="single" w:color="auto" w:sz="12" w:space="0"/>
            </w:tcBorders>
            <w:shd w:val="clear" w:color="auto" w:fill="auto"/>
            <w:vAlign w:val="center"/>
          </w:tcPr>
          <w:p>
            <w:pPr>
              <w:pStyle w:val="132"/>
              <w:rPr>
                <w:b/>
                <w:bCs/>
              </w:rPr>
            </w:pPr>
            <w:r>
              <w:rPr>
                <w:b/>
                <w:bCs/>
              </w:rPr>
              <w:t>CAS号</w:t>
            </w:r>
          </w:p>
        </w:tc>
        <w:tc>
          <w:tcPr>
            <w:tcW w:w="2126" w:type="dxa"/>
            <w:tcBorders>
              <w:top w:val="single" w:color="auto" w:sz="12" w:space="0"/>
            </w:tcBorders>
            <w:shd w:val="clear" w:color="auto" w:fill="auto"/>
            <w:vAlign w:val="center"/>
          </w:tcPr>
          <w:p>
            <w:pPr>
              <w:pStyle w:val="132"/>
              <w:rPr>
                <w:b/>
                <w:bCs/>
              </w:rPr>
            </w:pPr>
            <w:r>
              <w:rPr>
                <w:b/>
                <w:bCs/>
              </w:rPr>
              <w:t>最大存在总量qn/t</w:t>
            </w:r>
          </w:p>
        </w:tc>
        <w:tc>
          <w:tcPr>
            <w:tcW w:w="1276" w:type="dxa"/>
            <w:tcBorders>
              <w:top w:val="single" w:color="auto" w:sz="12" w:space="0"/>
            </w:tcBorders>
            <w:shd w:val="clear" w:color="auto" w:fill="auto"/>
            <w:vAlign w:val="center"/>
          </w:tcPr>
          <w:p>
            <w:pPr>
              <w:pStyle w:val="132"/>
              <w:rPr>
                <w:b/>
                <w:bCs/>
              </w:rPr>
            </w:pPr>
            <w:r>
              <w:rPr>
                <w:b/>
                <w:bCs/>
              </w:rPr>
              <w:t>临界量Qn/t</w:t>
            </w:r>
          </w:p>
        </w:tc>
        <w:tc>
          <w:tcPr>
            <w:tcW w:w="1331" w:type="dxa"/>
            <w:tcBorders>
              <w:top w:val="single" w:color="auto" w:sz="12" w:space="0"/>
            </w:tcBorders>
            <w:shd w:val="clear" w:color="auto" w:fill="auto"/>
            <w:vAlign w:val="center"/>
          </w:tcPr>
          <w:p>
            <w:pPr>
              <w:pStyle w:val="132"/>
              <w:rPr>
                <w:b/>
                <w:bCs/>
              </w:rPr>
            </w:pPr>
            <w:r>
              <w:rPr>
                <w:b/>
                <w:bCs/>
              </w:rPr>
              <w:t>qn/Qn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788" w:type="dxa"/>
            <w:shd w:val="clear" w:color="auto" w:fill="auto"/>
            <w:vAlign w:val="center"/>
          </w:tcPr>
          <w:p>
            <w:pPr>
              <w:pStyle w:val="132"/>
            </w:pPr>
            <w:r>
              <w:t>1</w:t>
            </w:r>
          </w:p>
        </w:tc>
        <w:tc>
          <w:tcPr>
            <w:tcW w:w="1663" w:type="dxa"/>
            <w:shd w:val="clear" w:color="auto" w:fill="auto"/>
            <w:vAlign w:val="center"/>
          </w:tcPr>
          <w:p>
            <w:pPr>
              <w:pStyle w:val="132"/>
            </w:pPr>
            <w:r>
              <w:rPr>
                <w:rFonts w:hint="eastAsia"/>
              </w:rPr>
              <w:t>凝析油</w:t>
            </w:r>
          </w:p>
        </w:tc>
        <w:tc>
          <w:tcPr>
            <w:tcW w:w="1348" w:type="dxa"/>
            <w:shd w:val="clear" w:color="auto" w:fill="auto"/>
            <w:vAlign w:val="center"/>
          </w:tcPr>
          <w:p>
            <w:pPr>
              <w:pStyle w:val="132"/>
            </w:pPr>
            <w:r>
              <w:rPr>
                <w:rFonts w:hint="eastAsia"/>
              </w:rPr>
              <w:t>/</w:t>
            </w:r>
          </w:p>
        </w:tc>
        <w:tc>
          <w:tcPr>
            <w:tcW w:w="2126" w:type="dxa"/>
            <w:shd w:val="clear" w:color="auto" w:fill="auto"/>
            <w:vAlign w:val="center"/>
          </w:tcPr>
          <w:p>
            <w:pPr>
              <w:pStyle w:val="132"/>
            </w:pPr>
            <w:r>
              <w:rPr>
                <w:rFonts w:hint="eastAsia"/>
              </w:rPr>
              <w:t>40</w:t>
            </w:r>
          </w:p>
        </w:tc>
        <w:tc>
          <w:tcPr>
            <w:tcW w:w="1276" w:type="dxa"/>
            <w:shd w:val="clear" w:color="auto" w:fill="auto"/>
            <w:vAlign w:val="center"/>
          </w:tcPr>
          <w:p>
            <w:pPr>
              <w:pStyle w:val="132"/>
            </w:pPr>
            <w:r>
              <w:rPr>
                <w:rFonts w:hint="eastAsia"/>
              </w:rPr>
              <w:t>250</w:t>
            </w:r>
            <w:r>
              <w:t>0</w:t>
            </w:r>
          </w:p>
        </w:tc>
        <w:tc>
          <w:tcPr>
            <w:tcW w:w="1331" w:type="dxa"/>
            <w:shd w:val="clear" w:color="auto" w:fill="auto"/>
            <w:vAlign w:val="center"/>
          </w:tcPr>
          <w:p>
            <w:pPr>
              <w:pStyle w:val="132"/>
            </w:pPr>
            <w:r>
              <w:t>0.0</w:t>
            </w:r>
            <w:r>
              <w:rPr>
                <w:rFonts w:hint="eastAsia"/>
              </w:rPr>
              <w:t>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99" w:type="dxa"/>
            <w:gridSpan w:val="3"/>
            <w:tcBorders>
              <w:bottom w:val="single" w:color="auto" w:sz="12" w:space="0"/>
            </w:tcBorders>
            <w:shd w:val="clear" w:color="auto" w:fill="auto"/>
            <w:vAlign w:val="center"/>
          </w:tcPr>
          <w:p>
            <w:pPr>
              <w:pStyle w:val="132"/>
            </w:pPr>
            <w:r>
              <w:t>合计</w:t>
            </w:r>
          </w:p>
        </w:tc>
        <w:tc>
          <w:tcPr>
            <w:tcW w:w="2126" w:type="dxa"/>
            <w:tcBorders>
              <w:bottom w:val="single" w:color="auto" w:sz="12" w:space="0"/>
            </w:tcBorders>
            <w:shd w:val="clear" w:color="auto" w:fill="auto"/>
            <w:vAlign w:val="center"/>
          </w:tcPr>
          <w:p>
            <w:pPr>
              <w:pStyle w:val="132"/>
            </w:pPr>
            <w:r>
              <w:t>—</w:t>
            </w:r>
          </w:p>
        </w:tc>
        <w:tc>
          <w:tcPr>
            <w:tcW w:w="1276" w:type="dxa"/>
            <w:tcBorders>
              <w:bottom w:val="single" w:color="auto" w:sz="12" w:space="0"/>
            </w:tcBorders>
            <w:shd w:val="clear" w:color="auto" w:fill="auto"/>
            <w:vAlign w:val="center"/>
          </w:tcPr>
          <w:p>
            <w:pPr>
              <w:pStyle w:val="132"/>
            </w:pPr>
            <w:r>
              <w:t>—</w:t>
            </w:r>
          </w:p>
        </w:tc>
        <w:tc>
          <w:tcPr>
            <w:tcW w:w="1331" w:type="dxa"/>
            <w:tcBorders>
              <w:bottom w:val="single" w:color="auto" w:sz="12" w:space="0"/>
            </w:tcBorders>
            <w:shd w:val="clear" w:color="auto" w:fill="auto"/>
            <w:vAlign w:val="center"/>
          </w:tcPr>
          <w:p>
            <w:pPr>
              <w:pStyle w:val="132"/>
            </w:pPr>
            <w:r>
              <w:t>0.0</w:t>
            </w:r>
            <w:r>
              <w:rPr>
                <w:rFonts w:hint="eastAsia"/>
              </w:rPr>
              <w:t>16</w:t>
            </w:r>
          </w:p>
        </w:tc>
      </w:tr>
    </w:tbl>
    <w:p>
      <w:pPr>
        <w:pStyle w:val="112"/>
        <w:ind w:firstLine="480"/>
      </w:pPr>
      <w:r>
        <w:t>根据《建设项目风险评价技术导则》（HJ169-2018），附录C进行Q值计算，本项目危险</w:t>
      </w:r>
      <w:r>
        <w:rPr>
          <w:rFonts w:hint="eastAsia"/>
        </w:rPr>
        <w:t>物质</w:t>
      </w:r>
      <w:r>
        <w:t>最大存在量Q=</w:t>
      </w:r>
      <w:r>
        <w:rPr>
          <w:rFonts w:hint="eastAsia"/>
        </w:rPr>
        <w:t>1.0787，Q值划分为（1）1＜Q≤10</w:t>
      </w:r>
      <w:r>
        <w:t>。</w:t>
      </w:r>
    </w:p>
    <w:p>
      <w:pPr>
        <w:widowControl/>
        <w:topLinePunct w:val="0"/>
        <w:snapToGrid w:val="0"/>
        <w:spacing w:line="331" w:lineRule="auto"/>
        <w:ind w:firstLine="482"/>
        <w:rPr>
          <w:rFonts w:ascii="Times New Roman" w:cs="Times New Roman"/>
          <w:b/>
          <w:kern w:val="2"/>
        </w:rPr>
      </w:pPr>
      <w:r>
        <w:rPr>
          <w:rFonts w:hint="eastAsia" w:ascii="Times New Roman" w:cs="Times New Roman"/>
          <w:b/>
        </w:rPr>
        <w:t>（2）</w:t>
      </w:r>
      <w:r>
        <w:rPr>
          <w:rFonts w:ascii="Times New Roman" w:cs="Times New Roman"/>
          <w:b/>
        </w:rPr>
        <w:t>行业及生产工艺特点（M）</w:t>
      </w:r>
    </w:p>
    <w:p>
      <w:pPr>
        <w:widowControl/>
        <w:topLinePunct w:val="0"/>
        <w:snapToGrid w:val="0"/>
        <w:spacing w:line="331" w:lineRule="auto"/>
        <w:ind w:firstLine="480"/>
        <w:rPr>
          <w:rFonts w:ascii="Times New Roman" w:cs="Times New Roman"/>
          <w:kern w:val="2"/>
        </w:rPr>
      </w:pPr>
      <w:r>
        <w:rPr>
          <w:rFonts w:hint="eastAsia" w:ascii="Times New Roman" w:cs="Times New Roman"/>
          <w:kern w:val="2"/>
        </w:rPr>
        <w:t>拟建项目属于石油天然气行业，且涉及危险物质（柴油、凝析油）储存，</w:t>
      </w:r>
      <w:r>
        <w:rPr>
          <w:rFonts w:ascii="Times New Roman" w:cs="Times New Roman"/>
          <w:kern w:val="2"/>
        </w:rPr>
        <w:t>根据《建设项目环境风险评价技术导则》（HJ169-2018）附录C中表C.1计算结果，本项目行业及生产工艺M为</w:t>
      </w:r>
      <w:r>
        <w:rPr>
          <w:rFonts w:hint="eastAsia" w:ascii="Times New Roman" w:cs="Times New Roman"/>
          <w:kern w:val="2"/>
        </w:rPr>
        <w:t>15</w:t>
      </w:r>
      <w:r>
        <w:rPr>
          <w:rFonts w:ascii="Times New Roman" w:cs="Times New Roman"/>
          <w:kern w:val="2"/>
        </w:rPr>
        <w:t>，属于</w:t>
      </w:r>
      <w:r>
        <w:rPr>
          <w:rFonts w:hint="eastAsia" w:ascii="Times New Roman" w:cs="Times New Roman"/>
          <w:kern w:val="2"/>
        </w:rPr>
        <w:t>（2）</w:t>
      </w:r>
      <w:r>
        <w:rPr>
          <w:rFonts w:ascii="Times New Roman" w:cs="Times New Roman"/>
          <w:kern w:val="2"/>
        </w:rPr>
        <w:t>10＜M≤20</w:t>
      </w:r>
      <w:r>
        <w:rPr>
          <w:rFonts w:hint="eastAsia" w:ascii="Times New Roman" w:cs="Times New Roman"/>
          <w:kern w:val="2"/>
        </w:rPr>
        <w:t>（以</w:t>
      </w:r>
      <w:r>
        <w:rPr>
          <w:rFonts w:ascii="Times New Roman" w:cs="Times New Roman"/>
          <w:kern w:val="2"/>
        </w:rPr>
        <w:t>M</w:t>
      </w:r>
      <w:r>
        <w:rPr>
          <w:rFonts w:hint="eastAsia" w:ascii="Times New Roman" w:cs="Times New Roman"/>
          <w:kern w:val="2"/>
        </w:rPr>
        <w:t>2表示）。</w:t>
      </w:r>
    </w:p>
    <w:p>
      <w:pPr>
        <w:topLinePunct w:val="0"/>
        <w:adjustRightInd/>
        <w:ind w:firstLine="0" w:firstLineChars="0"/>
        <w:jc w:val="center"/>
        <w:rPr>
          <w:rFonts w:ascii="Times New Roman" w:cs="Times New Roman"/>
          <w:b/>
          <w:bCs/>
          <w:kern w:val="2"/>
          <w:sz w:val="21"/>
        </w:rPr>
      </w:pPr>
      <w:r>
        <w:rPr>
          <w:rFonts w:ascii="Times New Roman" w:cs="Times New Roman"/>
          <w:b/>
          <w:kern w:val="2"/>
          <w:sz w:val="21"/>
        </w:rPr>
        <w:t>表</w:t>
      </w:r>
      <w:r>
        <w:rPr>
          <w:rFonts w:hint="eastAsia" w:ascii="Times New Roman" w:cs="Times New Roman"/>
          <w:b/>
          <w:kern w:val="2"/>
          <w:sz w:val="21"/>
        </w:rPr>
        <w:t>7.4</w:t>
      </w:r>
      <w:r>
        <w:rPr>
          <w:rFonts w:ascii="Times New Roman" w:cs="Times New Roman"/>
          <w:b/>
          <w:kern w:val="2"/>
          <w:sz w:val="21"/>
        </w:rPr>
        <w:t>-</w:t>
      </w:r>
      <w:r>
        <w:rPr>
          <w:rFonts w:hint="eastAsia" w:ascii="Times New Roman" w:cs="Times New Roman"/>
          <w:b/>
          <w:kern w:val="2"/>
          <w:sz w:val="21"/>
        </w:rPr>
        <w:t>7</w:t>
      </w:r>
      <w:r>
        <w:rPr>
          <w:rFonts w:ascii="Times New Roman" w:cs="Times New Roman"/>
          <w:b/>
          <w:kern w:val="2"/>
          <w:sz w:val="21"/>
        </w:rPr>
        <w:t xml:space="preserve">   </w:t>
      </w:r>
      <w:r>
        <w:rPr>
          <w:rFonts w:ascii="Times New Roman" w:cs="Times New Roman"/>
          <w:b/>
          <w:bCs/>
          <w:kern w:val="2"/>
          <w:sz w:val="21"/>
        </w:rPr>
        <w:t>建设项目M值确定表</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1885"/>
        <w:gridCol w:w="3525"/>
        <w:gridCol w:w="17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339" w:type="dxa"/>
            <w:vAlign w:val="center"/>
          </w:tcPr>
          <w:p>
            <w:pPr>
              <w:topLinePunct w:val="0"/>
              <w:adjustRightInd/>
              <w:spacing w:line="240" w:lineRule="atLeast"/>
              <w:ind w:firstLine="0" w:firstLineChars="0"/>
              <w:jc w:val="center"/>
              <w:rPr>
                <w:rFonts w:ascii="Times New Roman" w:cs="Times New Roman"/>
                <w:b/>
                <w:kern w:val="2"/>
                <w:sz w:val="21"/>
                <w:szCs w:val="21"/>
              </w:rPr>
            </w:pPr>
            <w:r>
              <w:rPr>
                <w:rFonts w:ascii="Times New Roman" w:cs="Times New Roman"/>
                <w:b/>
                <w:kern w:val="2"/>
                <w:sz w:val="21"/>
                <w:szCs w:val="21"/>
              </w:rPr>
              <w:t>序号</w:t>
            </w:r>
          </w:p>
        </w:tc>
        <w:tc>
          <w:tcPr>
            <w:tcW w:w="1885" w:type="dxa"/>
            <w:vAlign w:val="center"/>
          </w:tcPr>
          <w:p>
            <w:pPr>
              <w:topLinePunct w:val="0"/>
              <w:adjustRightInd/>
              <w:spacing w:line="240" w:lineRule="atLeast"/>
              <w:ind w:firstLine="0" w:firstLineChars="0"/>
              <w:jc w:val="center"/>
              <w:rPr>
                <w:rFonts w:ascii="Times New Roman" w:cs="Times New Roman"/>
                <w:b/>
                <w:kern w:val="2"/>
                <w:sz w:val="21"/>
                <w:szCs w:val="21"/>
              </w:rPr>
            </w:pPr>
            <w:r>
              <w:rPr>
                <w:rFonts w:ascii="Times New Roman" w:cs="Times New Roman"/>
                <w:b/>
                <w:kern w:val="2"/>
                <w:sz w:val="21"/>
                <w:szCs w:val="21"/>
              </w:rPr>
              <w:t>工艺单元名称</w:t>
            </w:r>
          </w:p>
        </w:tc>
        <w:tc>
          <w:tcPr>
            <w:tcW w:w="3525" w:type="dxa"/>
            <w:vAlign w:val="center"/>
          </w:tcPr>
          <w:p>
            <w:pPr>
              <w:topLinePunct w:val="0"/>
              <w:adjustRightInd/>
              <w:spacing w:line="240" w:lineRule="atLeast"/>
              <w:ind w:firstLine="0" w:firstLineChars="0"/>
              <w:jc w:val="center"/>
              <w:rPr>
                <w:rFonts w:ascii="Times New Roman" w:cs="Times New Roman"/>
                <w:b/>
                <w:kern w:val="2"/>
                <w:sz w:val="21"/>
                <w:szCs w:val="21"/>
              </w:rPr>
            </w:pPr>
            <w:r>
              <w:rPr>
                <w:rFonts w:ascii="Times New Roman" w:cs="Times New Roman"/>
                <w:b/>
                <w:kern w:val="2"/>
                <w:sz w:val="21"/>
                <w:szCs w:val="21"/>
              </w:rPr>
              <w:t>生产工艺</w:t>
            </w:r>
          </w:p>
        </w:tc>
        <w:tc>
          <w:tcPr>
            <w:tcW w:w="1773" w:type="dxa"/>
            <w:vAlign w:val="center"/>
          </w:tcPr>
          <w:p>
            <w:pPr>
              <w:topLinePunct w:val="0"/>
              <w:adjustRightInd/>
              <w:spacing w:line="240" w:lineRule="atLeast"/>
              <w:ind w:firstLine="0" w:firstLineChars="0"/>
              <w:jc w:val="center"/>
              <w:rPr>
                <w:rFonts w:ascii="Times New Roman" w:cs="Times New Roman"/>
                <w:b/>
                <w:kern w:val="2"/>
                <w:sz w:val="21"/>
                <w:szCs w:val="21"/>
              </w:rPr>
            </w:pPr>
            <w:r>
              <w:rPr>
                <w:rFonts w:ascii="Times New Roman" w:cs="Times New Roman"/>
                <w:b/>
                <w:kern w:val="2"/>
                <w:sz w:val="21"/>
                <w:szCs w:val="21"/>
              </w:rPr>
              <w:t>M分值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339" w:type="dxa"/>
            <w:vAlign w:val="center"/>
          </w:tcPr>
          <w:p>
            <w:pPr>
              <w:topLinePunct w:val="0"/>
              <w:adjustRightInd/>
              <w:spacing w:line="240" w:lineRule="atLeast"/>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1885" w:type="dxa"/>
            <w:vAlign w:val="center"/>
          </w:tcPr>
          <w:p>
            <w:pPr>
              <w:topLinePunct w:val="0"/>
              <w:adjustRightInd/>
              <w:spacing w:line="240" w:lineRule="atLeast"/>
              <w:ind w:firstLine="0" w:firstLineChars="0"/>
              <w:jc w:val="center"/>
              <w:rPr>
                <w:rFonts w:ascii="Times New Roman" w:cs="Times New Roman"/>
                <w:kern w:val="2"/>
                <w:sz w:val="21"/>
                <w:szCs w:val="21"/>
              </w:rPr>
            </w:pPr>
            <w:r>
              <w:rPr>
                <w:rFonts w:hint="eastAsia" w:ascii="Times New Roman" w:cs="Times New Roman"/>
                <w:kern w:val="2"/>
                <w:sz w:val="21"/>
                <w:szCs w:val="21"/>
              </w:rPr>
              <w:t>石油天然气</w:t>
            </w:r>
          </w:p>
        </w:tc>
        <w:tc>
          <w:tcPr>
            <w:tcW w:w="3525" w:type="dxa"/>
            <w:vAlign w:val="center"/>
          </w:tcPr>
          <w:p>
            <w:pPr>
              <w:topLinePunct w:val="0"/>
              <w:adjustRightInd/>
              <w:spacing w:line="240" w:lineRule="atLeast"/>
              <w:ind w:firstLine="0" w:firstLineChars="0"/>
              <w:jc w:val="center"/>
              <w:rPr>
                <w:rFonts w:ascii="Times New Roman" w:cs="Times New Roman"/>
                <w:kern w:val="2"/>
                <w:sz w:val="21"/>
                <w:szCs w:val="21"/>
              </w:rPr>
            </w:pPr>
            <w:r>
              <w:rPr>
                <w:rFonts w:hint="eastAsia" w:ascii="Times New Roman" w:cs="Times New Roman"/>
                <w:kern w:val="2"/>
                <w:sz w:val="21"/>
                <w:szCs w:val="21"/>
              </w:rPr>
              <w:t>石油、</w:t>
            </w:r>
            <w:r>
              <w:rPr>
                <w:rFonts w:ascii="Times New Roman" w:cs="Times New Roman"/>
                <w:kern w:val="2"/>
                <w:sz w:val="21"/>
                <w:szCs w:val="21"/>
              </w:rPr>
              <w:t>天然气</w:t>
            </w:r>
            <w:r>
              <w:rPr>
                <w:rFonts w:hint="eastAsia" w:ascii="Times New Roman" w:cs="Times New Roman"/>
                <w:kern w:val="2"/>
                <w:sz w:val="21"/>
                <w:szCs w:val="21"/>
              </w:rPr>
              <w:t>、</w:t>
            </w:r>
            <w:r>
              <w:rPr>
                <w:rFonts w:ascii="Times New Roman" w:cs="Times New Roman"/>
                <w:kern w:val="2"/>
                <w:sz w:val="21"/>
                <w:szCs w:val="21"/>
              </w:rPr>
              <w:t>页岩气开采</w:t>
            </w:r>
            <w:r>
              <w:rPr>
                <w:rFonts w:hint="eastAsia" w:ascii="Times New Roman" w:cs="Times New Roman"/>
                <w:kern w:val="2"/>
                <w:sz w:val="21"/>
                <w:szCs w:val="21"/>
              </w:rPr>
              <w:t>（含净化）、气库（不含加气站的气库）、油库（不含加气站的油库）、油气管线（不含城镇燃气管线）</w:t>
            </w:r>
          </w:p>
        </w:tc>
        <w:tc>
          <w:tcPr>
            <w:tcW w:w="1773" w:type="dxa"/>
            <w:vAlign w:val="center"/>
          </w:tcPr>
          <w:p>
            <w:pPr>
              <w:topLinePunct w:val="0"/>
              <w:adjustRightInd/>
              <w:spacing w:line="240" w:lineRule="atLeast"/>
              <w:ind w:firstLine="0" w:firstLineChars="0"/>
              <w:jc w:val="center"/>
              <w:rPr>
                <w:rFonts w:ascii="Times New Roman" w:cs="Times New Roman"/>
                <w:kern w:val="2"/>
                <w:sz w:val="21"/>
                <w:szCs w:val="21"/>
              </w:rPr>
            </w:pPr>
            <w:r>
              <w:rPr>
                <w:rFonts w:hint="eastAsia" w:ascii="Times New Roman" w:cs="Times New Roman"/>
                <w:kern w:val="2"/>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339" w:type="dxa"/>
            <w:vAlign w:val="center"/>
          </w:tcPr>
          <w:p>
            <w:pPr>
              <w:topLinePunct w:val="0"/>
              <w:adjustRightInd/>
              <w:spacing w:line="240" w:lineRule="atLeast"/>
              <w:ind w:firstLine="0" w:firstLineChars="0"/>
              <w:jc w:val="center"/>
              <w:rPr>
                <w:rFonts w:ascii="Times New Roman" w:cs="Times New Roman"/>
                <w:kern w:val="2"/>
                <w:sz w:val="21"/>
                <w:szCs w:val="21"/>
              </w:rPr>
            </w:pPr>
            <w:r>
              <w:rPr>
                <w:rFonts w:hint="eastAsia" w:ascii="Times New Roman" w:cs="Times New Roman"/>
                <w:kern w:val="2"/>
                <w:sz w:val="21"/>
                <w:szCs w:val="21"/>
              </w:rPr>
              <w:t>2</w:t>
            </w:r>
          </w:p>
        </w:tc>
        <w:tc>
          <w:tcPr>
            <w:tcW w:w="1885" w:type="dxa"/>
            <w:vAlign w:val="center"/>
          </w:tcPr>
          <w:p>
            <w:pPr>
              <w:topLinePunct w:val="0"/>
              <w:adjustRightInd/>
              <w:spacing w:line="240" w:lineRule="atLeast"/>
              <w:ind w:firstLine="0" w:firstLineChars="0"/>
              <w:jc w:val="center"/>
              <w:rPr>
                <w:rFonts w:ascii="Times New Roman" w:cs="Times New Roman"/>
                <w:kern w:val="2"/>
                <w:sz w:val="21"/>
                <w:szCs w:val="21"/>
              </w:rPr>
            </w:pPr>
            <w:r>
              <w:rPr>
                <w:rFonts w:hint="eastAsia" w:ascii="Times New Roman" w:cs="Times New Roman"/>
                <w:kern w:val="2"/>
                <w:sz w:val="21"/>
                <w:szCs w:val="21"/>
              </w:rPr>
              <w:t>其他</w:t>
            </w:r>
          </w:p>
        </w:tc>
        <w:tc>
          <w:tcPr>
            <w:tcW w:w="3525" w:type="dxa"/>
            <w:vAlign w:val="center"/>
          </w:tcPr>
          <w:p>
            <w:pPr>
              <w:topLinePunct w:val="0"/>
              <w:adjustRightInd/>
              <w:spacing w:line="240" w:lineRule="atLeast"/>
              <w:ind w:firstLine="0" w:firstLineChars="0"/>
              <w:jc w:val="center"/>
              <w:rPr>
                <w:rFonts w:ascii="Times New Roman" w:cs="Times New Roman"/>
                <w:kern w:val="2"/>
                <w:sz w:val="21"/>
                <w:szCs w:val="21"/>
              </w:rPr>
            </w:pPr>
            <w:r>
              <w:rPr>
                <w:rFonts w:hint="eastAsia" w:ascii="Times New Roman" w:cs="Times New Roman"/>
                <w:kern w:val="2"/>
                <w:sz w:val="21"/>
                <w:szCs w:val="21"/>
              </w:rPr>
              <w:t>涉及危险物质使用、储存的项目</w:t>
            </w:r>
          </w:p>
        </w:tc>
        <w:tc>
          <w:tcPr>
            <w:tcW w:w="1773" w:type="dxa"/>
            <w:vAlign w:val="center"/>
          </w:tcPr>
          <w:p>
            <w:pPr>
              <w:topLinePunct w:val="0"/>
              <w:adjustRightInd/>
              <w:spacing w:line="240" w:lineRule="atLeast"/>
              <w:ind w:firstLine="0" w:firstLineChars="0"/>
              <w:jc w:val="center"/>
              <w:rPr>
                <w:rFonts w:ascii="Times New Roman" w:cs="Times New Roman"/>
                <w:kern w:val="2"/>
                <w:sz w:val="21"/>
                <w:szCs w:val="21"/>
              </w:rPr>
            </w:pPr>
            <w:r>
              <w:rPr>
                <w:rFonts w:hint="eastAsia" w:ascii="Times New Roman" w:cs="Times New Roman"/>
                <w:kern w:val="2"/>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6749" w:type="dxa"/>
            <w:gridSpan w:val="3"/>
            <w:vAlign w:val="center"/>
          </w:tcPr>
          <w:p>
            <w:pPr>
              <w:topLinePunct w:val="0"/>
              <w:adjustRightInd/>
              <w:spacing w:line="240" w:lineRule="atLeast"/>
              <w:ind w:firstLine="0" w:firstLineChars="0"/>
              <w:jc w:val="center"/>
              <w:rPr>
                <w:rFonts w:ascii="Times New Roman" w:cs="Times New Roman"/>
                <w:kern w:val="2"/>
                <w:sz w:val="21"/>
                <w:szCs w:val="21"/>
              </w:rPr>
            </w:pPr>
            <w:r>
              <w:rPr>
                <w:rFonts w:ascii="Times New Roman" w:cs="Times New Roman"/>
                <w:b/>
                <w:kern w:val="2"/>
                <w:sz w:val="21"/>
                <w:szCs w:val="21"/>
              </w:rPr>
              <w:t>M</w:t>
            </w:r>
            <w:r>
              <w:rPr>
                <w:rFonts w:ascii="Times New Roman" w:cs="Times New Roman"/>
                <w:b/>
                <w:kern w:val="2"/>
                <w:sz w:val="21"/>
                <w:szCs w:val="21"/>
                <w:vertAlign w:val="subscript"/>
              </w:rPr>
              <w:t>总</w:t>
            </w:r>
          </w:p>
        </w:tc>
        <w:tc>
          <w:tcPr>
            <w:tcW w:w="1773" w:type="dxa"/>
            <w:vAlign w:val="center"/>
          </w:tcPr>
          <w:p>
            <w:pPr>
              <w:topLinePunct w:val="0"/>
              <w:adjustRightInd/>
              <w:spacing w:line="240" w:lineRule="atLeast"/>
              <w:ind w:firstLine="0" w:firstLineChars="0"/>
              <w:jc w:val="center"/>
              <w:rPr>
                <w:rFonts w:ascii="Times New Roman" w:cs="Times New Roman"/>
                <w:kern w:val="2"/>
                <w:sz w:val="21"/>
                <w:szCs w:val="21"/>
              </w:rPr>
            </w:pPr>
            <w:r>
              <w:rPr>
                <w:rFonts w:hint="eastAsia" w:ascii="Times New Roman" w:cs="Times New Roman"/>
                <w:kern w:val="2"/>
                <w:sz w:val="21"/>
                <w:szCs w:val="21"/>
              </w:rPr>
              <w:t>15</w:t>
            </w:r>
          </w:p>
        </w:tc>
      </w:tr>
    </w:tbl>
    <w:p>
      <w:pPr>
        <w:widowControl/>
        <w:topLinePunct w:val="0"/>
        <w:snapToGrid w:val="0"/>
        <w:spacing w:line="331" w:lineRule="auto"/>
        <w:ind w:firstLine="420"/>
        <w:rPr>
          <w:rFonts w:ascii="Times New Roman" w:cs="Times New Roman"/>
          <w:kern w:val="2"/>
          <w:sz w:val="21"/>
          <w:szCs w:val="21"/>
        </w:rPr>
      </w:pPr>
      <w:r>
        <w:rPr>
          <w:rFonts w:ascii="Times New Roman" w:cs="Times New Roman"/>
          <w:kern w:val="2"/>
          <w:sz w:val="21"/>
          <w:szCs w:val="21"/>
        </w:rPr>
        <w:t>备注：M值划分为（1）M&gt;20，（2）10＜M≤20；（3）5＜M≤10；（4）M=5，分别以M1、M2、M3和M4表示。</w:t>
      </w:r>
    </w:p>
    <w:p>
      <w:pPr>
        <w:widowControl/>
        <w:topLinePunct w:val="0"/>
        <w:snapToGrid w:val="0"/>
        <w:spacing w:line="331" w:lineRule="auto"/>
        <w:ind w:firstLine="480"/>
        <w:rPr>
          <w:rFonts w:ascii="Times New Roman" w:cs="Times New Roman"/>
          <w:kern w:val="2"/>
        </w:rPr>
      </w:pPr>
      <w:r>
        <w:rPr>
          <w:rFonts w:ascii="Times New Roman" w:cs="Times New Roman"/>
          <w:kern w:val="2"/>
        </w:rPr>
        <w:t>综上</w:t>
      </w:r>
      <w:r>
        <w:rPr>
          <w:rFonts w:hint="eastAsia" w:ascii="Times New Roman" w:cs="Times New Roman"/>
          <w:kern w:val="2"/>
        </w:rPr>
        <w:t>，</w:t>
      </w:r>
      <w:r>
        <w:rPr>
          <w:rFonts w:ascii="Times New Roman" w:cs="Times New Roman"/>
          <w:kern w:val="2"/>
        </w:rPr>
        <w:t>根据《建设项目环境风险评价技术导则》（HJ169-2018）附录C中表C.2判断危险物质及工艺系统危险性（P）分级。</w:t>
      </w:r>
    </w:p>
    <w:p>
      <w:pPr>
        <w:pStyle w:val="125"/>
        <w:rPr>
          <w:rFonts w:eastAsia="宋体"/>
        </w:rPr>
      </w:pPr>
      <w:r>
        <w:rPr>
          <w:rFonts w:eastAsia="宋体"/>
        </w:rPr>
        <w:t>表7.4-</w:t>
      </w:r>
      <w:r>
        <w:rPr>
          <w:rFonts w:hint="eastAsia" w:eastAsia="宋体"/>
        </w:rPr>
        <w:t>8</w:t>
      </w:r>
      <w:r>
        <w:rPr>
          <w:rFonts w:eastAsia="宋体"/>
        </w:rPr>
        <w:t xml:space="preserve">  危险物质及工艺系统危险性等级（P）判定</w:t>
      </w:r>
    </w:p>
    <w:tbl>
      <w:tblPr>
        <w:tblStyle w:val="57"/>
        <w:tblW w:w="8453" w:type="dxa"/>
        <w:jc w:val="center"/>
        <w:tblLayout w:type="fixed"/>
        <w:tblCellMar>
          <w:top w:w="0" w:type="dxa"/>
          <w:left w:w="0" w:type="dxa"/>
          <w:bottom w:w="0" w:type="dxa"/>
          <w:right w:w="0" w:type="dxa"/>
        </w:tblCellMar>
      </w:tblPr>
      <w:tblGrid>
        <w:gridCol w:w="1688"/>
        <w:gridCol w:w="1690"/>
        <w:gridCol w:w="1689"/>
        <w:gridCol w:w="1694"/>
        <w:gridCol w:w="1692"/>
      </w:tblGrid>
      <w:tr>
        <w:tblPrEx>
          <w:tblCellMar>
            <w:top w:w="0" w:type="dxa"/>
            <w:left w:w="0" w:type="dxa"/>
            <w:bottom w:w="0" w:type="dxa"/>
            <w:right w:w="0" w:type="dxa"/>
          </w:tblCellMar>
        </w:tblPrEx>
        <w:trPr>
          <w:trHeight w:val="19" w:hRule="atLeast"/>
          <w:jc w:val="center"/>
        </w:trPr>
        <w:tc>
          <w:tcPr>
            <w:tcW w:w="1688" w:type="dxa"/>
            <w:vMerge w:val="restart"/>
            <w:tcBorders>
              <w:top w:val="single" w:color="000000" w:sz="12" w:space="0"/>
              <w:left w:val="nil"/>
              <w:bottom w:val="single" w:color="000000" w:sz="4" w:space="0"/>
              <w:right w:val="single" w:color="000000" w:sz="4" w:space="0"/>
            </w:tcBorders>
            <w:vAlign w:val="center"/>
          </w:tcPr>
          <w:p>
            <w:pPr>
              <w:pStyle w:val="132"/>
              <w:rPr>
                <w:b/>
              </w:rPr>
            </w:pPr>
            <w:r>
              <w:rPr>
                <w:b/>
              </w:rPr>
              <w:t>危险物质数量与临界值比值（Q）</w:t>
            </w:r>
          </w:p>
        </w:tc>
        <w:tc>
          <w:tcPr>
            <w:tcW w:w="6765" w:type="dxa"/>
            <w:gridSpan w:val="4"/>
            <w:tcBorders>
              <w:top w:val="single" w:color="000000" w:sz="12" w:space="0"/>
              <w:left w:val="single" w:color="000000" w:sz="4" w:space="0"/>
              <w:bottom w:val="single" w:color="000000" w:sz="4" w:space="0"/>
              <w:right w:val="nil"/>
            </w:tcBorders>
            <w:vAlign w:val="center"/>
          </w:tcPr>
          <w:p>
            <w:pPr>
              <w:pStyle w:val="132"/>
              <w:rPr>
                <w:b/>
              </w:rPr>
            </w:pPr>
            <w:r>
              <w:rPr>
                <w:b/>
              </w:rPr>
              <w:t>行业及生产工艺（M）</w:t>
            </w:r>
          </w:p>
        </w:tc>
      </w:tr>
      <w:tr>
        <w:tblPrEx>
          <w:tblCellMar>
            <w:top w:w="0" w:type="dxa"/>
            <w:left w:w="0" w:type="dxa"/>
            <w:bottom w:w="0" w:type="dxa"/>
            <w:right w:w="0" w:type="dxa"/>
          </w:tblCellMar>
        </w:tblPrEx>
        <w:trPr>
          <w:trHeight w:val="19" w:hRule="atLeast"/>
          <w:jc w:val="center"/>
        </w:trPr>
        <w:tc>
          <w:tcPr>
            <w:tcW w:w="1688" w:type="dxa"/>
            <w:vMerge w:val="continue"/>
            <w:tcBorders>
              <w:top w:val="single" w:color="000000" w:sz="12" w:space="0"/>
              <w:left w:val="nil"/>
              <w:bottom w:val="single" w:color="000000" w:sz="4" w:space="0"/>
              <w:right w:val="single" w:color="000000" w:sz="4" w:space="0"/>
            </w:tcBorders>
            <w:vAlign w:val="center"/>
          </w:tcPr>
          <w:p>
            <w:pPr>
              <w:pStyle w:val="132"/>
              <w:rPr>
                <w:b/>
              </w:rPr>
            </w:pPr>
          </w:p>
        </w:tc>
        <w:tc>
          <w:tcPr>
            <w:tcW w:w="1690" w:type="dxa"/>
            <w:tcBorders>
              <w:top w:val="single" w:color="000000" w:sz="4" w:space="0"/>
              <w:left w:val="single" w:color="000000" w:sz="4" w:space="0"/>
              <w:bottom w:val="single" w:color="000000" w:sz="4" w:space="0"/>
              <w:right w:val="single" w:color="000000" w:sz="4" w:space="0"/>
            </w:tcBorders>
            <w:vAlign w:val="center"/>
          </w:tcPr>
          <w:p>
            <w:pPr>
              <w:pStyle w:val="132"/>
              <w:rPr>
                <w:b/>
              </w:rPr>
            </w:pPr>
            <w:r>
              <w:rPr>
                <w:b/>
              </w:rPr>
              <w:t>M1</w:t>
            </w:r>
          </w:p>
        </w:tc>
        <w:tc>
          <w:tcPr>
            <w:tcW w:w="1689" w:type="dxa"/>
            <w:tcBorders>
              <w:top w:val="single" w:color="000000" w:sz="4" w:space="0"/>
              <w:left w:val="single" w:color="000000" w:sz="4" w:space="0"/>
              <w:bottom w:val="single" w:color="000000" w:sz="4" w:space="0"/>
              <w:right w:val="single" w:color="000000" w:sz="4" w:space="0"/>
            </w:tcBorders>
            <w:vAlign w:val="center"/>
          </w:tcPr>
          <w:p>
            <w:pPr>
              <w:pStyle w:val="132"/>
              <w:rPr>
                <w:b/>
              </w:rPr>
            </w:pPr>
            <w:r>
              <w:rPr>
                <w:b/>
              </w:rPr>
              <w:t>M2</w:t>
            </w:r>
          </w:p>
        </w:tc>
        <w:tc>
          <w:tcPr>
            <w:tcW w:w="1694" w:type="dxa"/>
            <w:tcBorders>
              <w:top w:val="single" w:color="000000" w:sz="4" w:space="0"/>
              <w:left w:val="single" w:color="000000" w:sz="4" w:space="0"/>
              <w:bottom w:val="single" w:color="000000" w:sz="4" w:space="0"/>
              <w:right w:val="single" w:color="000000" w:sz="4" w:space="0"/>
            </w:tcBorders>
            <w:vAlign w:val="center"/>
          </w:tcPr>
          <w:p>
            <w:pPr>
              <w:pStyle w:val="132"/>
              <w:rPr>
                <w:b/>
              </w:rPr>
            </w:pPr>
            <w:r>
              <w:rPr>
                <w:b/>
              </w:rPr>
              <w:t>M3</w:t>
            </w:r>
          </w:p>
        </w:tc>
        <w:tc>
          <w:tcPr>
            <w:tcW w:w="1690" w:type="dxa"/>
            <w:tcBorders>
              <w:top w:val="single" w:color="000000" w:sz="4" w:space="0"/>
              <w:left w:val="single" w:color="000000" w:sz="4" w:space="0"/>
              <w:bottom w:val="single" w:color="000000" w:sz="4" w:space="0"/>
              <w:right w:val="nil"/>
            </w:tcBorders>
            <w:vAlign w:val="center"/>
          </w:tcPr>
          <w:p>
            <w:pPr>
              <w:pStyle w:val="132"/>
              <w:rPr>
                <w:b/>
              </w:rPr>
            </w:pPr>
            <w:r>
              <w:rPr>
                <w:b/>
              </w:rPr>
              <w:t>M4</w:t>
            </w:r>
          </w:p>
        </w:tc>
      </w:tr>
      <w:tr>
        <w:tblPrEx>
          <w:tblCellMar>
            <w:top w:w="0" w:type="dxa"/>
            <w:left w:w="0" w:type="dxa"/>
            <w:bottom w:w="0" w:type="dxa"/>
            <w:right w:w="0" w:type="dxa"/>
          </w:tblCellMar>
        </w:tblPrEx>
        <w:trPr>
          <w:trHeight w:val="19" w:hRule="atLeast"/>
          <w:jc w:val="center"/>
        </w:trPr>
        <w:tc>
          <w:tcPr>
            <w:tcW w:w="1688" w:type="dxa"/>
            <w:tcBorders>
              <w:top w:val="single" w:color="000000" w:sz="4" w:space="0"/>
              <w:left w:val="nil"/>
              <w:bottom w:val="single" w:color="000000" w:sz="4" w:space="0"/>
              <w:right w:val="single" w:color="000000" w:sz="4" w:space="0"/>
            </w:tcBorders>
            <w:vAlign w:val="center"/>
          </w:tcPr>
          <w:p>
            <w:pPr>
              <w:pStyle w:val="132"/>
            </w:pPr>
            <w:r>
              <w:t>Q≥100</w:t>
            </w:r>
          </w:p>
        </w:tc>
        <w:tc>
          <w:tcPr>
            <w:tcW w:w="1690" w:type="dxa"/>
            <w:tcBorders>
              <w:top w:val="single" w:color="000000" w:sz="4" w:space="0"/>
              <w:left w:val="single" w:color="000000" w:sz="4" w:space="0"/>
              <w:bottom w:val="single" w:color="000000" w:sz="4" w:space="0"/>
              <w:right w:val="single" w:color="000000" w:sz="4" w:space="0"/>
            </w:tcBorders>
            <w:vAlign w:val="center"/>
          </w:tcPr>
          <w:p>
            <w:pPr>
              <w:pStyle w:val="132"/>
            </w:pPr>
            <w:r>
              <w:t>P1</w:t>
            </w:r>
          </w:p>
        </w:tc>
        <w:tc>
          <w:tcPr>
            <w:tcW w:w="1689" w:type="dxa"/>
            <w:tcBorders>
              <w:top w:val="single" w:color="000000" w:sz="4" w:space="0"/>
              <w:left w:val="single" w:color="000000" w:sz="4" w:space="0"/>
              <w:bottom w:val="single" w:color="000000" w:sz="4" w:space="0"/>
              <w:right w:val="single" w:color="000000" w:sz="4" w:space="0"/>
            </w:tcBorders>
            <w:vAlign w:val="center"/>
          </w:tcPr>
          <w:p>
            <w:pPr>
              <w:pStyle w:val="132"/>
            </w:pPr>
            <w:r>
              <w:t>P1</w:t>
            </w:r>
          </w:p>
        </w:tc>
        <w:tc>
          <w:tcPr>
            <w:tcW w:w="1694" w:type="dxa"/>
            <w:tcBorders>
              <w:top w:val="single" w:color="000000" w:sz="4" w:space="0"/>
              <w:left w:val="single" w:color="000000" w:sz="4" w:space="0"/>
              <w:bottom w:val="single" w:color="000000" w:sz="4" w:space="0"/>
              <w:right w:val="single" w:color="000000" w:sz="4" w:space="0"/>
            </w:tcBorders>
            <w:vAlign w:val="center"/>
          </w:tcPr>
          <w:p>
            <w:pPr>
              <w:pStyle w:val="132"/>
            </w:pPr>
            <w:r>
              <w:t>P2</w:t>
            </w:r>
          </w:p>
        </w:tc>
        <w:tc>
          <w:tcPr>
            <w:tcW w:w="1690" w:type="dxa"/>
            <w:tcBorders>
              <w:top w:val="single" w:color="000000" w:sz="4" w:space="0"/>
              <w:left w:val="single" w:color="000000" w:sz="4" w:space="0"/>
              <w:bottom w:val="single" w:color="000000" w:sz="4" w:space="0"/>
              <w:right w:val="nil"/>
            </w:tcBorders>
            <w:vAlign w:val="center"/>
          </w:tcPr>
          <w:p>
            <w:pPr>
              <w:pStyle w:val="132"/>
            </w:pPr>
            <w:r>
              <w:t>P3</w:t>
            </w:r>
          </w:p>
        </w:tc>
      </w:tr>
      <w:tr>
        <w:tblPrEx>
          <w:tblCellMar>
            <w:top w:w="0" w:type="dxa"/>
            <w:left w:w="0" w:type="dxa"/>
            <w:bottom w:w="0" w:type="dxa"/>
            <w:right w:w="0" w:type="dxa"/>
          </w:tblCellMar>
        </w:tblPrEx>
        <w:trPr>
          <w:trHeight w:val="19" w:hRule="atLeast"/>
          <w:jc w:val="center"/>
        </w:trPr>
        <w:tc>
          <w:tcPr>
            <w:tcW w:w="1688" w:type="dxa"/>
            <w:tcBorders>
              <w:top w:val="single" w:color="000000" w:sz="4" w:space="0"/>
              <w:left w:val="nil"/>
              <w:bottom w:val="single" w:color="000000" w:sz="4" w:space="0"/>
              <w:right w:val="single" w:color="000000" w:sz="4" w:space="0"/>
            </w:tcBorders>
            <w:vAlign w:val="center"/>
          </w:tcPr>
          <w:p>
            <w:pPr>
              <w:pStyle w:val="132"/>
            </w:pPr>
            <w:r>
              <w:t>10≤Q＜100</w:t>
            </w:r>
          </w:p>
        </w:tc>
        <w:tc>
          <w:tcPr>
            <w:tcW w:w="1690" w:type="dxa"/>
            <w:tcBorders>
              <w:top w:val="single" w:color="000000" w:sz="4" w:space="0"/>
              <w:left w:val="single" w:color="000000" w:sz="4" w:space="0"/>
              <w:bottom w:val="single" w:color="000000" w:sz="4" w:space="0"/>
              <w:right w:val="single" w:color="000000" w:sz="4" w:space="0"/>
            </w:tcBorders>
            <w:vAlign w:val="center"/>
          </w:tcPr>
          <w:p>
            <w:pPr>
              <w:pStyle w:val="132"/>
            </w:pPr>
            <w:r>
              <w:t>P1</w:t>
            </w:r>
          </w:p>
        </w:tc>
        <w:tc>
          <w:tcPr>
            <w:tcW w:w="1689" w:type="dxa"/>
            <w:tcBorders>
              <w:top w:val="single" w:color="000000" w:sz="4" w:space="0"/>
              <w:left w:val="single" w:color="000000" w:sz="4" w:space="0"/>
              <w:bottom w:val="single" w:color="000000" w:sz="4" w:space="0"/>
              <w:right w:val="single" w:color="000000" w:sz="4" w:space="0"/>
            </w:tcBorders>
            <w:vAlign w:val="center"/>
          </w:tcPr>
          <w:p>
            <w:pPr>
              <w:pStyle w:val="132"/>
            </w:pPr>
            <w:r>
              <w:t>P2</w:t>
            </w:r>
          </w:p>
        </w:tc>
        <w:tc>
          <w:tcPr>
            <w:tcW w:w="1694" w:type="dxa"/>
            <w:tcBorders>
              <w:top w:val="single" w:color="000000" w:sz="4" w:space="0"/>
              <w:left w:val="single" w:color="000000" w:sz="4" w:space="0"/>
              <w:bottom w:val="single" w:color="000000" w:sz="4" w:space="0"/>
              <w:right w:val="single" w:color="000000" w:sz="4" w:space="0"/>
            </w:tcBorders>
            <w:vAlign w:val="center"/>
          </w:tcPr>
          <w:p>
            <w:pPr>
              <w:pStyle w:val="132"/>
            </w:pPr>
            <w:r>
              <w:t>P3</w:t>
            </w:r>
          </w:p>
        </w:tc>
        <w:tc>
          <w:tcPr>
            <w:tcW w:w="1690" w:type="dxa"/>
            <w:tcBorders>
              <w:top w:val="single" w:color="000000" w:sz="4" w:space="0"/>
              <w:left w:val="single" w:color="000000" w:sz="4" w:space="0"/>
              <w:bottom w:val="single" w:color="000000" w:sz="4" w:space="0"/>
              <w:right w:val="nil"/>
            </w:tcBorders>
            <w:vAlign w:val="center"/>
          </w:tcPr>
          <w:p>
            <w:pPr>
              <w:pStyle w:val="132"/>
            </w:pPr>
            <w:r>
              <w:t>P4</w:t>
            </w:r>
          </w:p>
        </w:tc>
      </w:tr>
      <w:tr>
        <w:tblPrEx>
          <w:tblCellMar>
            <w:top w:w="0" w:type="dxa"/>
            <w:left w:w="0" w:type="dxa"/>
            <w:bottom w:w="0" w:type="dxa"/>
            <w:right w:w="0" w:type="dxa"/>
          </w:tblCellMar>
        </w:tblPrEx>
        <w:trPr>
          <w:trHeight w:val="19" w:hRule="atLeast"/>
          <w:jc w:val="center"/>
        </w:trPr>
        <w:tc>
          <w:tcPr>
            <w:tcW w:w="1688" w:type="dxa"/>
            <w:tcBorders>
              <w:top w:val="single" w:color="000000" w:sz="4" w:space="0"/>
              <w:left w:val="nil"/>
              <w:bottom w:val="single" w:color="auto" w:sz="12" w:space="0"/>
              <w:right w:val="single" w:color="000000" w:sz="4" w:space="0"/>
            </w:tcBorders>
            <w:vAlign w:val="center"/>
          </w:tcPr>
          <w:p>
            <w:pPr>
              <w:pStyle w:val="132"/>
            </w:pPr>
            <w:r>
              <w:t>1≤Q＜10</w:t>
            </w:r>
          </w:p>
        </w:tc>
        <w:tc>
          <w:tcPr>
            <w:tcW w:w="1690" w:type="dxa"/>
            <w:tcBorders>
              <w:top w:val="single" w:color="000000" w:sz="4" w:space="0"/>
              <w:left w:val="single" w:color="000000" w:sz="4" w:space="0"/>
              <w:bottom w:val="single" w:color="auto" w:sz="12" w:space="0"/>
              <w:right w:val="single" w:color="000000" w:sz="4" w:space="0"/>
            </w:tcBorders>
            <w:vAlign w:val="center"/>
          </w:tcPr>
          <w:p>
            <w:pPr>
              <w:pStyle w:val="132"/>
            </w:pPr>
            <w:r>
              <w:t>P2</w:t>
            </w:r>
          </w:p>
        </w:tc>
        <w:tc>
          <w:tcPr>
            <w:tcW w:w="1689" w:type="dxa"/>
            <w:tcBorders>
              <w:top w:val="single" w:color="000000" w:sz="4" w:space="0"/>
              <w:left w:val="single" w:color="000000" w:sz="4" w:space="0"/>
              <w:bottom w:val="single" w:color="auto" w:sz="12" w:space="0"/>
              <w:right w:val="single" w:color="000000" w:sz="4" w:space="0"/>
            </w:tcBorders>
            <w:vAlign w:val="center"/>
          </w:tcPr>
          <w:p>
            <w:pPr>
              <w:pStyle w:val="132"/>
            </w:pPr>
            <w:r>
              <w:t>P3</w:t>
            </w:r>
            <w:r>
              <w:rPr>
                <w:b/>
              </w:rPr>
              <w:t>（</w:t>
            </w:r>
            <w:r>
              <w:rPr>
                <w:rFonts w:hint="eastAsia"/>
                <w:b/>
              </w:rPr>
              <w:t>本</w:t>
            </w:r>
            <w:r>
              <w:rPr>
                <w:b/>
              </w:rPr>
              <w:t>项目分级）</w:t>
            </w:r>
          </w:p>
        </w:tc>
        <w:tc>
          <w:tcPr>
            <w:tcW w:w="1694" w:type="dxa"/>
            <w:tcBorders>
              <w:top w:val="single" w:color="000000" w:sz="4" w:space="0"/>
              <w:left w:val="single" w:color="000000" w:sz="4" w:space="0"/>
              <w:bottom w:val="single" w:color="auto" w:sz="12" w:space="0"/>
              <w:right w:val="single" w:color="000000" w:sz="4" w:space="0"/>
            </w:tcBorders>
            <w:vAlign w:val="center"/>
          </w:tcPr>
          <w:p>
            <w:pPr>
              <w:pStyle w:val="132"/>
            </w:pPr>
            <w:r>
              <w:t>P4</w:t>
            </w:r>
          </w:p>
        </w:tc>
        <w:tc>
          <w:tcPr>
            <w:tcW w:w="1690" w:type="dxa"/>
            <w:tcBorders>
              <w:top w:val="single" w:color="000000" w:sz="4" w:space="0"/>
              <w:left w:val="single" w:color="000000" w:sz="4" w:space="0"/>
              <w:bottom w:val="single" w:color="auto" w:sz="12" w:space="0"/>
              <w:right w:val="nil"/>
            </w:tcBorders>
            <w:vAlign w:val="center"/>
          </w:tcPr>
          <w:p>
            <w:pPr>
              <w:pStyle w:val="132"/>
            </w:pPr>
            <w:r>
              <w:t>P4</w:t>
            </w:r>
          </w:p>
        </w:tc>
      </w:tr>
    </w:tbl>
    <w:p>
      <w:pPr>
        <w:widowControl/>
        <w:topLinePunct w:val="0"/>
        <w:snapToGrid w:val="0"/>
        <w:spacing w:line="331" w:lineRule="auto"/>
        <w:ind w:firstLine="420"/>
        <w:rPr>
          <w:rFonts w:ascii="Times New Roman" w:cs="Times New Roman"/>
          <w:sz w:val="21"/>
          <w:szCs w:val="21"/>
        </w:rPr>
      </w:pPr>
      <w:r>
        <w:rPr>
          <w:rFonts w:ascii="Times New Roman" w:cs="Times New Roman"/>
          <w:sz w:val="21"/>
          <w:szCs w:val="21"/>
        </w:rPr>
        <w:t>注：当Q＜1时，该项目环境风险潜势为Ⅰ。</w:t>
      </w:r>
    </w:p>
    <w:p>
      <w:pPr>
        <w:widowControl/>
        <w:topLinePunct w:val="0"/>
        <w:snapToGrid w:val="0"/>
        <w:spacing w:line="331" w:lineRule="auto"/>
        <w:ind w:firstLine="482"/>
        <w:rPr>
          <w:rFonts w:ascii="Times New Roman" w:cs="Times New Roman"/>
          <w:b/>
          <w:kern w:val="2"/>
        </w:rPr>
      </w:pPr>
      <w:r>
        <w:rPr>
          <w:rFonts w:ascii="Times New Roman" w:cs="Times New Roman"/>
          <w:b/>
          <w:kern w:val="2"/>
        </w:rPr>
        <w:t>2</w:t>
      </w:r>
      <w:r>
        <w:rPr>
          <w:rFonts w:ascii="Times New Roman" w:hAnsi="宋体" w:cs="Times New Roman"/>
          <w:b/>
          <w:kern w:val="2"/>
        </w:rPr>
        <w:t>、</w:t>
      </w:r>
      <w:r>
        <w:rPr>
          <w:rFonts w:ascii="Times New Roman" w:cs="Times New Roman"/>
          <w:b/>
          <w:kern w:val="2"/>
        </w:rPr>
        <w:t>E</w:t>
      </w:r>
      <w:r>
        <w:rPr>
          <w:rFonts w:ascii="Times New Roman" w:hAnsi="宋体" w:cs="Times New Roman"/>
          <w:b/>
          <w:kern w:val="2"/>
        </w:rPr>
        <w:t>的分级确定</w:t>
      </w:r>
    </w:p>
    <w:p>
      <w:pPr>
        <w:widowControl/>
        <w:topLinePunct w:val="0"/>
        <w:snapToGrid w:val="0"/>
        <w:spacing w:line="331" w:lineRule="auto"/>
        <w:ind w:firstLine="480"/>
        <w:rPr>
          <w:rFonts w:ascii="Times New Roman" w:cs="Times New Roman"/>
          <w:kern w:val="2"/>
        </w:rPr>
      </w:pPr>
      <w:r>
        <w:rPr>
          <w:rFonts w:ascii="Times New Roman" w:hAnsi="宋体" w:cs="Times New Roman"/>
          <w:kern w:val="2"/>
        </w:rPr>
        <w:t>根据《建设项目环境风险评价技术导则》（</w:t>
      </w:r>
      <w:r>
        <w:rPr>
          <w:rFonts w:ascii="Times New Roman" w:cs="Times New Roman"/>
          <w:kern w:val="2"/>
        </w:rPr>
        <w:t>HJ169-2018</w:t>
      </w:r>
      <w:r>
        <w:rPr>
          <w:rFonts w:ascii="Times New Roman" w:hAnsi="宋体" w:cs="Times New Roman"/>
          <w:kern w:val="2"/>
        </w:rPr>
        <w:t>）附录</w:t>
      </w:r>
      <w:r>
        <w:rPr>
          <w:rFonts w:ascii="Times New Roman" w:cs="Times New Roman"/>
          <w:kern w:val="2"/>
        </w:rPr>
        <w:t>D</w:t>
      </w:r>
      <w:r>
        <w:rPr>
          <w:rFonts w:hint="eastAsia" w:ascii="Times New Roman" w:hAnsi="宋体" w:cs="Times New Roman"/>
          <w:kern w:val="2"/>
        </w:rPr>
        <w:t>判定环境敏感程度（E）分级。拟建项目周边500m范围内总人数为50人，小于500人，因此</w:t>
      </w:r>
      <w:r>
        <w:rPr>
          <w:rFonts w:ascii="Times New Roman" w:cs="Times New Roman"/>
          <w:kern w:val="2"/>
        </w:rPr>
        <w:t>本项目大气环境敏感程度为E</w:t>
      </w:r>
      <w:r>
        <w:rPr>
          <w:rFonts w:hint="eastAsia" w:ascii="Times New Roman" w:cs="Times New Roman"/>
          <w:kern w:val="2"/>
        </w:rPr>
        <w:t>3</w:t>
      </w:r>
      <w:r>
        <w:rPr>
          <w:rFonts w:ascii="Times New Roman" w:cs="Times New Roman"/>
          <w:kern w:val="2"/>
        </w:rPr>
        <w:t>；拟建项目地表水功能敏感性为F2</w:t>
      </w:r>
      <w:r>
        <w:rPr>
          <w:rFonts w:hint="eastAsia" w:ascii="Times New Roman" w:cs="Times New Roman"/>
          <w:kern w:val="2"/>
        </w:rPr>
        <w:t>（</w:t>
      </w:r>
      <w:r>
        <w:rPr>
          <w:rFonts w:ascii="Times New Roman" w:cs="Times New Roman"/>
          <w:kern w:val="2"/>
        </w:rPr>
        <w:t>排放点进入地表水环境功能为</w:t>
      </w:r>
      <w:r>
        <w:rPr>
          <w:rFonts w:hint="eastAsia" w:ascii="Times New Roman" w:cs="Times New Roman"/>
          <w:kern w:val="2"/>
        </w:rPr>
        <w:t>Ⅲ类）</w:t>
      </w:r>
      <w:r>
        <w:rPr>
          <w:rFonts w:ascii="Times New Roman" w:cs="Times New Roman"/>
          <w:kern w:val="2"/>
        </w:rPr>
        <w:t>、地表水环境敏感目标为S3</w:t>
      </w:r>
      <w:r>
        <w:rPr>
          <w:rFonts w:hint="eastAsia" w:ascii="Times New Roman" w:cs="Times New Roman"/>
          <w:kern w:val="2"/>
        </w:rPr>
        <w:t>（后河及中河下游10km范围内不含饮用水源保护区等地表水敏感保护目标）</w:t>
      </w:r>
      <w:r>
        <w:rPr>
          <w:rFonts w:ascii="Times New Roman" w:cs="Times New Roman"/>
          <w:kern w:val="2"/>
        </w:rPr>
        <w:t>，因此</w:t>
      </w:r>
      <w:r>
        <w:rPr>
          <w:rFonts w:hint="eastAsia" w:ascii="Times New Roman" w:cs="Times New Roman"/>
          <w:kern w:val="2"/>
        </w:rPr>
        <w:t>本</w:t>
      </w:r>
      <w:r>
        <w:rPr>
          <w:rFonts w:ascii="Times New Roman" w:cs="Times New Roman"/>
          <w:kern w:val="2"/>
        </w:rPr>
        <w:t>项目地表水环境敏感程度为E2；</w:t>
      </w:r>
      <w:r>
        <w:rPr>
          <w:rFonts w:hint="eastAsia" w:ascii="Times New Roman" w:cs="Times New Roman"/>
          <w:kern w:val="2"/>
        </w:rPr>
        <w:t>本</w:t>
      </w:r>
      <w:r>
        <w:rPr>
          <w:rFonts w:ascii="Times New Roman" w:cs="Times New Roman"/>
          <w:kern w:val="2"/>
        </w:rPr>
        <w:t>项目地下水功能敏感性为G2、包气带防污性能分级为D3，因此</w:t>
      </w:r>
      <w:r>
        <w:rPr>
          <w:rFonts w:hint="eastAsia" w:ascii="Times New Roman" w:cs="Times New Roman"/>
          <w:kern w:val="2"/>
        </w:rPr>
        <w:t>本</w:t>
      </w:r>
      <w:r>
        <w:rPr>
          <w:rFonts w:ascii="Times New Roman" w:cs="Times New Roman"/>
          <w:kern w:val="2"/>
        </w:rPr>
        <w:t>项目地下水环境敏感程度为E3</w:t>
      </w:r>
      <w:r>
        <w:rPr>
          <w:rFonts w:ascii="Times New Roman" w:hAnsi="宋体" w:cs="Times New Roman"/>
          <w:kern w:val="2"/>
        </w:rPr>
        <w:t>。</w:t>
      </w:r>
    </w:p>
    <w:p>
      <w:pPr>
        <w:widowControl/>
        <w:topLinePunct w:val="0"/>
        <w:snapToGrid w:val="0"/>
        <w:spacing w:line="331" w:lineRule="auto"/>
        <w:ind w:firstLine="482"/>
        <w:rPr>
          <w:rFonts w:ascii="Times New Roman" w:cs="Times New Roman"/>
          <w:b/>
          <w:kern w:val="2"/>
        </w:rPr>
      </w:pPr>
      <w:r>
        <w:rPr>
          <w:rFonts w:ascii="Times New Roman" w:cs="Times New Roman"/>
          <w:b/>
          <w:kern w:val="2"/>
        </w:rPr>
        <w:t>3</w:t>
      </w:r>
      <w:r>
        <w:rPr>
          <w:rFonts w:ascii="Times New Roman" w:hAnsi="宋体" w:cs="Times New Roman"/>
          <w:b/>
          <w:kern w:val="2"/>
        </w:rPr>
        <w:t>、风险潜势的划分</w:t>
      </w:r>
    </w:p>
    <w:p>
      <w:pPr>
        <w:widowControl/>
        <w:topLinePunct w:val="0"/>
        <w:snapToGrid w:val="0"/>
        <w:spacing w:line="331" w:lineRule="auto"/>
        <w:ind w:firstLine="480"/>
        <w:rPr>
          <w:rFonts w:ascii="Times New Roman" w:cs="Times New Roman"/>
          <w:kern w:val="2"/>
        </w:rPr>
      </w:pPr>
      <w:r>
        <w:rPr>
          <w:rFonts w:ascii="Times New Roman" w:cs="Times New Roman"/>
          <w:kern w:val="2"/>
        </w:rPr>
        <w:t>综上，本项目危险物质及工艺系统危险性等级（P）划分为</w:t>
      </w:r>
      <w:r>
        <w:rPr>
          <w:rFonts w:hint="eastAsia" w:ascii="Times New Roman" w:cs="Times New Roman"/>
          <w:kern w:val="2"/>
        </w:rPr>
        <w:t>P3，</w:t>
      </w:r>
      <w:r>
        <w:rPr>
          <w:rFonts w:ascii="Times New Roman" w:cs="Times New Roman"/>
          <w:kern w:val="2"/>
        </w:rPr>
        <w:t>大气环境敏感程度为E</w:t>
      </w:r>
      <w:r>
        <w:rPr>
          <w:rFonts w:hint="eastAsia" w:ascii="Times New Roman" w:cs="Times New Roman"/>
          <w:kern w:val="2"/>
        </w:rPr>
        <w:t>3，</w:t>
      </w:r>
      <w:r>
        <w:rPr>
          <w:rFonts w:ascii="Times New Roman" w:cs="Times New Roman"/>
          <w:kern w:val="2"/>
        </w:rPr>
        <w:t>地表水环境敏感程度为E2</w:t>
      </w:r>
      <w:r>
        <w:rPr>
          <w:rFonts w:hint="eastAsia" w:ascii="Times New Roman" w:cs="Times New Roman"/>
          <w:kern w:val="2"/>
        </w:rPr>
        <w:t>，</w:t>
      </w:r>
      <w:r>
        <w:rPr>
          <w:rFonts w:ascii="Times New Roman" w:cs="Times New Roman"/>
          <w:kern w:val="2"/>
        </w:rPr>
        <w:t>地下水环境敏感程度为E3</w:t>
      </w:r>
      <w:r>
        <w:rPr>
          <w:rFonts w:hint="eastAsia" w:ascii="Times New Roman" w:cs="Times New Roman"/>
          <w:kern w:val="2"/>
        </w:rPr>
        <w:t>。根据</w:t>
      </w:r>
      <w:r>
        <w:rPr>
          <w:rFonts w:ascii="Times New Roman" w:cs="Times New Roman"/>
          <w:kern w:val="2"/>
        </w:rPr>
        <w:t>表7.4-1</w:t>
      </w:r>
      <w:r>
        <w:rPr>
          <w:rFonts w:hint="eastAsia" w:ascii="Times New Roman" w:cs="Times New Roman"/>
          <w:bCs/>
          <w:kern w:val="2"/>
        </w:rPr>
        <w:t>，</w:t>
      </w:r>
      <w:r>
        <w:rPr>
          <w:rFonts w:ascii="Times New Roman" w:cs="Times New Roman"/>
          <w:kern w:val="2"/>
        </w:rPr>
        <w:t>各环境要素环境敏感程度分级及根据导则要求的环境潜势划分情况见下表。</w:t>
      </w:r>
    </w:p>
    <w:p>
      <w:pPr>
        <w:topLinePunct w:val="0"/>
        <w:adjustRightInd/>
        <w:ind w:firstLine="0" w:firstLineChars="0"/>
        <w:jc w:val="center"/>
        <w:rPr>
          <w:rFonts w:ascii="Times New Roman" w:cs="Times New Roman"/>
          <w:b/>
          <w:bCs/>
          <w:kern w:val="2"/>
          <w:sz w:val="21"/>
        </w:rPr>
      </w:pPr>
      <w:r>
        <w:rPr>
          <w:rFonts w:ascii="Times New Roman" w:cs="Times New Roman"/>
          <w:b/>
          <w:kern w:val="2"/>
          <w:sz w:val="21"/>
        </w:rPr>
        <w:t>表</w:t>
      </w:r>
      <w:r>
        <w:rPr>
          <w:rFonts w:hint="eastAsia" w:ascii="Times New Roman" w:cs="Times New Roman"/>
          <w:b/>
          <w:kern w:val="2"/>
          <w:sz w:val="21"/>
        </w:rPr>
        <w:t>7.4-9</w:t>
      </w:r>
      <w:r>
        <w:rPr>
          <w:rFonts w:ascii="Times New Roman" w:cs="Times New Roman"/>
          <w:b/>
          <w:kern w:val="2"/>
          <w:sz w:val="21"/>
        </w:rPr>
        <w:t xml:space="preserve">   </w:t>
      </w:r>
      <w:r>
        <w:rPr>
          <w:rFonts w:ascii="Times New Roman" w:cs="Times New Roman"/>
          <w:b/>
          <w:bCs/>
          <w:kern w:val="2"/>
          <w:sz w:val="21"/>
        </w:rPr>
        <w:t>项目各环境要素环境敏感程度分级及环境潜势划分情况</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318"/>
        <w:gridCol w:w="1478"/>
        <w:gridCol w:w="1478"/>
        <w:gridCol w:w="1478"/>
        <w:gridCol w:w="277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27" w:hRule="atLeast"/>
          <w:jc w:val="center"/>
        </w:trPr>
        <w:tc>
          <w:tcPr>
            <w:tcW w:w="1419" w:type="dxa"/>
            <w:vAlign w:val="center"/>
          </w:tcPr>
          <w:p>
            <w:pPr>
              <w:topLinePunct w:val="0"/>
              <w:snapToGrid w:val="0"/>
              <w:spacing w:line="240" w:lineRule="exact"/>
              <w:ind w:firstLine="0" w:firstLineChars="0"/>
              <w:jc w:val="center"/>
              <w:rPr>
                <w:rFonts w:ascii="Times New Roman" w:cs="Times New Roman"/>
                <w:b/>
                <w:kern w:val="2"/>
                <w:sz w:val="21"/>
                <w:szCs w:val="21"/>
              </w:rPr>
            </w:pPr>
            <w:r>
              <w:rPr>
                <w:rFonts w:ascii="Times New Roman" w:cs="Times New Roman"/>
                <w:b/>
                <w:kern w:val="2"/>
                <w:sz w:val="21"/>
                <w:szCs w:val="21"/>
              </w:rPr>
              <w:t>环境要素</w:t>
            </w:r>
          </w:p>
        </w:tc>
        <w:tc>
          <w:tcPr>
            <w:tcW w:w="1593" w:type="dxa"/>
            <w:vAlign w:val="center"/>
          </w:tcPr>
          <w:p>
            <w:pPr>
              <w:topLinePunct w:val="0"/>
              <w:snapToGrid w:val="0"/>
              <w:spacing w:line="240" w:lineRule="exact"/>
              <w:ind w:firstLine="0" w:firstLineChars="0"/>
              <w:jc w:val="center"/>
              <w:rPr>
                <w:rFonts w:ascii="Times New Roman" w:cs="Times New Roman"/>
                <w:b/>
                <w:kern w:val="2"/>
                <w:sz w:val="21"/>
                <w:szCs w:val="21"/>
              </w:rPr>
            </w:pPr>
            <w:r>
              <w:rPr>
                <w:rFonts w:ascii="Times New Roman" w:cs="Times New Roman"/>
                <w:b/>
                <w:kern w:val="2"/>
                <w:sz w:val="21"/>
                <w:szCs w:val="21"/>
              </w:rPr>
              <w:t>大气环境</w:t>
            </w:r>
          </w:p>
        </w:tc>
        <w:tc>
          <w:tcPr>
            <w:tcW w:w="1594" w:type="dxa"/>
            <w:vAlign w:val="center"/>
          </w:tcPr>
          <w:p>
            <w:pPr>
              <w:topLinePunct w:val="0"/>
              <w:snapToGrid w:val="0"/>
              <w:spacing w:line="240" w:lineRule="exact"/>
              <w:ind w:firstLine="0" w:firstLineChars="0"/>
              <w:jc w:val="center"/>
              <w:rPr>
                <w:rFonts w:ascii="Times New Roman" w:cs="Times New Roman"/>
                <w:b/>
                <w:kern w:val="2"/>
                <w:sz w:val="21"/>
                <w:szCs w:val="21"/>
              </w:rPr>
            </w:pPr>
            <w:r>
              <w:rPr>
                <w:rFonts w:ascii="Times New Roman" w:cs="Times New Roman"/>
                <w:b/>
                <w:kern w:val="2"/>
                <w:sz w:val="21"/>
                <w:szCs w:val="21"/>
              </w:rPr>
              <w:t>地表水环境</w:t>
            </w:r>
          </w:p>
        </w:tc>
        <w:tc>
          <w:tcPr>
            <w:tcW w:w="1593" w:type="dxa"/>
            <w:vAlign w:val="center"/>
          </w:tcPr>
          <w:p>
            <w:pPr>
              <w:topLinePunct w:val="0"/>
              <w:snapToGrid w:val="0"/>
              <w:spacing w:line="240" w:lineRule="exact"/>
              <w:ind w:firstLine="0" w:firstLineChars="0"/>
              <w:jc w:val="center"/>
              <w:rPr>
                <w:rFonts w:ascii="Times New Roman" w:cs="Times New Roman"/>
                <w:b/>
                <w:kern w:val="2"/>
                <w:sz w:val="21"/>
                <w:szCs w:val="21"/>
              </w:rPr>
            </w:pPr>
            <w:r>
              <w:rPr>
                <w:rFonts w:ascii="Times New Roman" w:cs="Times New Roman"/>
                <w:b/>
                <w:kern w:val="2"/>
                <w:sz w:val="21"/>
                <w:szCs w:val="21"/>
              </w:rPr>
              <w:t>地下水环境</w:t>
            </w:r>
          </w:p>
        </w:tc>
        <w:tc>
          <w:tcPr>
            <w:tcW w:w="3009" w:type="dxa"/>
            <w:vMerge w:val="restart"/>
            <w:vAlign w:val="center"/>
          </w:tcPr>
          <w:p>
            <w:pPr>
              <w:topLinePunct w:val="0"/>
              <w:snapToGrid w:val="0"/>
              <w:spacing w:line="240" w:lineRule="exact"/>
              <w:ind w:firstLine="0" w:firstLineChars="0"/>
              <w:jc w:val="center"/>
              <w:rPr>
                <w:rFonts w:ascii="Times New Roman" w:cs="Times New Roman"/>
                <w:b/>
                <w:kern w:val="2"/>
                <w:sz w:val="21"/>
                <w:szCs w:val="21"/>
              </w:rPr>
            </w:pPr>
            <w:r>
              <w:rPr>
                <w:rFonts w:ascii="Times New Roman" w:cs="Times New Roman"/>
                <w:b/>
                <w:kern w:val="2"/>
                <w:sz w:val="21"/>
                <w:szCs w:val="21"/>
              </w:rPr>
              <w:t>本项目环境风险潜势综合等级（取各要素等级相对高值）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26" w:hRule="atLeast"/>
          <w:jc w:val="center"/>
        </w:trPr>
        <w:tc>
          <w:tcPr>
            <w:tcW w:w="1419"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ascii="Times New Roman" w:cs="Times New Roman"/>
                <w:kern w:val="2"/>
                <w:sz w:val="21"/>
                <w:szCs w:val="21"/>
              </w:rPr>
              <w:t>敏感度分级</w:t>
            </w:r>
          </w:p>
        </w:tc>
        <w:tc>
          <w:tcPr>
            <w:tcW w:w="1593"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ascii="Times New Roman" w:cs="Times New Roman"/>
                <w:kern w:val="2"/>
                <w:sz w:val="21"/>
                <w:szCs w:val="21"/>
              </w:rPr>
              <w:t>E</w:t>
            </w:r>
            <w:r>
              <w:rPr>
                <w:rFonts w:hint="eastAsia" w:ascii="Times New Roman" w:cs="Times New Roman"/>
                <w:kern w:val="2"/>
                <w:sz w:val="21"/>
                <w:szCs w:val="21"/>
              </w:rPr>
              <w:t>3</w:t>
            </w:r>
          </w:p>
        </w:tc>
        <w:tc>
          <w:tcPr>
            <w:tcW w:w="1594"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ascii="Times New Roman" w:cs="Times New Roman"/>
                <w:kern w:val="2"/>
                <w:sz w:val="21"/>
                <w:szCs w:val="21"/>
              </w:rPr>
              <w:t>E2</w:t>
            </w:r>
          </w:p>
        </w:tc>
        <w:tc>
          <w:tcPr>
            <w:tcW w:w="1593"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ascii="Times New Roman" w:cs="Times New Roman"/>
                <w:kern w:val="2"/>
                <w:sz w:val="21"/>
                <w:szCs w:val="21"/>
              </w:rPr>
              <w:t>E</w:t>
            </w:r>
            <w:r>
              <w:rPr>
                <w:rFonts w:hint="eastAsia" w:ascii="Times New Roman" w:cs="Times New Roman"/>
                <w:kern w:val="2"/>
                <w:sz w:val="21"/>
                <w:szCs w:val="21"/>
              </w:rPr>
              <w:t>3</w:t>
            </w:r>
          </w:p>
        </w:tc>
        <w:tc>
          <w:tcPr>
            <w:tcW w:w="0" w:type="auto"/>
            <w:vMerge w:val="continue"/>
            <w:vAlign w:val="center"/>
          </w:tcPr>
          <w:p>
            <w:pPr>
              <w:widowControl/>
              <w:topLinePunct w:val="0"/>
              <w:snapToGrid w:val="0"/>
              <w:spacing w:line="240" w:lineRule="exact"/>
              <w:ind w:firstLine="420"/>
              <w:jc w:val="center"/>
              <w:rPr>
                <w:rFonts w:ascii="Times New Roman"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84" w:hRule="atLeast"/>
          <w:jc w:val="center"/>
        </w:trPr>
        <w:tc>
          <w:tcPr>
            <w:tcW w:w="1419"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ascii="Times New Roman" w:cs="Times New Roman"/>
                <w:kern w:val="2"/>
                <w:sz w:val="21"/>
                <w:szCs w:val="21"/>
              </w:rPr>
              <w:t>环境潜势</w:t>
            </w:r>
          </w:p>
        </w:tc>
        <w:tc>
          <w:tcPr>
            <w:tcW w:w="1593"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hint="eastAsia" w:hAnsi="宋体"/>
                <w:kern w:val="2"/>
                <w:sz w:val="21"/>
                <w:szCs w:val="21"/>
              </w:rPr>
              <w:t>Ⅱ</w:t>
            </w:r>
          </w:p>
        </w:tc>
        <w:tc>
          <w:tcPr>
            <w:tcW w:w="1594"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hint="eastAsia" w:hAnsi="宋体"/>
                <w:kern w:val="2"/>
                <w:sz w:val="21"/>
                <w:szCs w:val="21"/>
              </w:rPr>
              <w:t>Ⅲ</w:t>
            </w:r>
          </w:p>
        </w:tc>
        <w:tc>
          <w:tcPr>
            <w:tcW w:w="1593" w:type="dxa"/>
            <w:vAlign w:val="center"/>
          </w:tcPr>
          <w:p>
            <w:pPr>
              <w:topLinePunct w:val="0"/>
              <w:snapToGrid w:val="0"/>
              <w:spacing w:line="240" w:lineRule="exact"/>
              <w:ind w:firstLine="0" w:firstLineChars="0"/>
              <w:jc w:val="center"/>
              <w:rPr>
                <w:rFonts w:ascii="Times New Roman" w:cs="Times New Roman"/>
                <w:kern w:val="2"/>
                <w:sz w:val="21"/>
                <w:szCs w:val="21"/>
              </w:rPr>
            </w:pPr>
            <w:r>
              <w:rPr>
                <w:rFonts w:hint="eastAsia" w:hAnsi="宋体"/>
                <w:kern w:val="2"/>
                <w:sz w:val="21"/>
                <w:szCs w:val="21"/>
              </w:rPr>
              <w:t>Ⅱ</w:t>
            </w:r>
          </w:p>
        </w:tc>
        <w:tc>
          <w:tcPr>
            <w:tcW w:w="3009" w:type="dxa"/>
            <w:vAlign w:val="center"/>
          </w:tcPr>
          <w:p>
            <w:pPr>
              <w:topLinePunct w:val="0"/>
              <w:snapToGrid w:val="0"/>
              <w:spacing w:line="240" w:lineRule="exact"/>
              <w:ind w:firstLine="0" w:firstLineChars="0"/>
              <w:jc w:val="center"/>
              <w:rPr>
                <w:rFonts w:ascii="Times New Roman" w:cs="Times New Roman"/>
                <w:b/>
                <w:kern w:val="2"/>
                <w:sz w:val="21"/>
                <w:szCs w:val="21"/>
              </w:rPr>
            </w:pPr>
            <w:r>
              <w:rPr>
                <w:rFonts w:hint="eastAsia" w:hAnsi="宋体"/>
                <w:b/>
                <w:kern w:val="2"/>
                <w:sz w:val="21"/>
                <w:szCs w:val="21"/>
              </w:rPr>
              <w:t>Ⅲ</w:t>
            </w:r>
          </w:p>
        </w:tc>
      </w:tr>
    </w:tbl>
    <w:p>
      <w:pPr>
        <w:pStyle w:val="3"/>
        <w:spacing w:before="120"/>
        <w:rPr>
          <w:rFonts w:cs="Times New Roman"/>
        </w:rPr>
      </w:pPr>
      <w:bookmarkStart w:id="522" w:name="_Toc81515297"/>
      <w:bookmarkStart w:id="523" w:name="_Toc12288725"/>
      <w:bookmarkStart w:id="524" w:name="_Toc19816099"/>
      <w:r>
        <w:rPr>
          <w:rFonts w:cs="Times New Roman"/>
        </w:rPr>
        <w:t>7.5 评价等级及评价范围</w:t>
      </w:r>
      <w:bookmarkEnd w:id="522"/>
      <w:bookmarkEnd w:id="523"/>
      <w:bookmarkEnd w:id="524"/>
    </w:p>
    <w:p>
      <w:pPr>
        <w:pStyle w:val="4"/>
        <w:rPr>
          <w:rFonts w:eastAsia="宋体"/>
        </w:rPr>
      </w:pPr>
      <w:bookmarkStart w:id="525" w:name="_Toc19816100"/>
      <w:bookmarkStart w:id="526" w:name="_Toc12288726"/>
      <w:r>
        <w:rPr>
          <w:rFonts w:eastAsia="宋体"/>
        </w:rPr>
        <w:t>7.5.1 环境风险评价等级</w:t>
      </w:r>
      <w:bookmarkEnd w:id="525"/>
      <w:bookmarkEnd w:id="526"/>
    </w:p>
    <w:p>
      <w:pPr>
        <w:pStyle w:val="6"/>
        <w:ind w:firstLine="480"/>
        <w:rPr>
          <w:rFonts w:ascii="Times New Roman" w:cs="Times New Roman"/>
        </w:rPr>
      </w:pPr>
      <w:r>
        <w:rPr>
          <w:rFonts w:ascii="Times New Roman" w:cs="Times New Roman"/>
        </w:rPr>
        <w:t>根据《建设项目环境风险评价技术导则》（HJ169-2018）中关于环境风险评价工作等级的划分方法，风险潜势为Ⅳ及以上，进行一级评价；风险潜势为Ⅲ，进行二级评价；风险潜势为Ⅱ，进行三级评价；风险潜势为Ⅰ，可展开简单分析。</w:t>
      </w:r>
    </w:p>
    <w:p>
      <w:pPr>
        <w:pStyle w:val="6"/>
        <w:ind w:firstLine="480"/>
        <w:rPr>
          <w:rFonts w:ascii="Times New Roman" w:cs="Times New Roman"/>
        </w:rPr>
      </w:pPr>
    </w:p>
    <w:p>
      <w:pPr>
        <w:pStyle w:val="37"/>
        <w:rPr>
          <w:rFonts w:cs="Times New Roman"/>
        </w:rPr>
      </w:pPr>
      <w:r>
        <w:rPr>
          <w:rFonts w:cs="Times New Roman"/>
        </w:rPr>
        <w:t>表7.5-1  环境风险评价工作等级划分</w:t>
      </w:r>
    </w:p>
    <w:tbl>
      <w:tblPr>
        <w:tblStyle w:val="57"/>
        <w:tblW w:w="8769" w:type="dxa"/>
        <w:jc w:val="center"/>
        <w:tblLayout w:type="fixed"/>
        <w:tblCellMar>
          <w:top w:w="0" w:type="dxa"/>
          <w:left w:w="0" w:type="dxa"/>
          <w:bottom w:w="0" w:type="dxa"/>
          <w:right w:w="0" w:type="dxa"/>
        </w:tblCellMar>
      </w:tblPr>
      <w:tblGrid>
        <w:gridCol w:w="1741"/>
        <w:gridCol w:w="1291"/>
        <w:gridCol w:w="2037"/>
        <w:gridCol w:w="1921"/>
        <w:gridCol w:w="1779"/>
      </w:tblGrid>
      <w:tr>
        <w:tblPrEx>
          <w:tblCellMar>
            <w:top w:w="0" w:type="dxa"/>
            <w:left w:w="0" w:type="dxa"/>
            <w:bottom w:w="0" w:type="dxa"/>
            <w:right w:w="0" w:type="dxa"/>
          </w:tblCellMar>
        </w:tblPrEx>
        <w:trPr>
          <w:trHeight w:val="326" w:hRule="atLeast"/>
          <w:jc w:val="center"/>
        </w:trPr>
        <w:tc>
          <w:tcPr>
            <w:tcW w:w="1741" w:type="dxa"/>
            <w:tcBorders>
              <w:top w:val="single" w:color="000000" w:sz="12" w:space="0"/>
              <w:left w:val="nil"/>
              <w:bottom w:val="single" w:color="000000" w:sz="4" w:space="0"/>
              <w:right w:val="single" w:color="000000" w:sz="4" w:space="0"/>
            </w:tcBorders>
            <w:vAlign w:val="center"/>
          </w:tcPr>
          <w:p>
            <w:pPr>
              <w:pStyle w:val="101"/>
              <w:spacing w:line="240" w:lineRule="auto"/>
              <w:ind w:firstLine="0" w:firstLineChars="0"/>
              <w:rPr>
                <w:rFonts w:ascii="Times New Roman" w:cs="Times New Roman"/>
                <w:b/>
                <w:bCs/>
                <w:kern w:val="2"/>
                <w:sz w:val="21"/>
                <w:szCs w:val="21"/>
              </w:rPr>
            </w:pPr>
            <w:r>
              <w:rPr>
                <w:rFonts w:ascii="Times New Roman" w:cs="Times New Roman"/>
                <w:b/>
                <w:bCs/>
                <w:kern w:val="2"/>
                <w:sz w:val="21"/>
                <w:szCs w:val="21"/>
              </w:rPr>
              <w:t>环境风险潜势</w:t>
            </w:r>
          </w:p>
        </w:tc>
        <w:tc>
          <w:tcPr>
            <w:tcW w:w="1291" w:type="dxa"/>
            <w:tcBorders>
              <w:top w:val="single" w:color="000000" w:sz="12" w:space="0"/>
              <w:left w:val="single" w:color="000000" w:sz="4" w:space="0"/>
              <w:bottom w:val="single" w:color="000000" w:sz="4" w:space="0"/>
              <w:right w:val="single" w:color="000000" w:sz="4" w:space="0"/>
            </w:tcBorders>
            <w:vAlign w:val="center"/>
          </w:tcPr>
          <w:p>
            <w:pPr>
              <w:pStyle w:val="101"/>
              <w:spacing w:line="240" w:lineRule="auto"/>
              <w:ind w:firstLine="0" w:firstLineChars="0"/>
              <w:rPr>
                <w:rFonts w:ascii="Times New Roman" w:cs="Times New Roman"/>
                <w:b/>
                <w:bCs/>
                <w:kern w:val="2"/>
                <w:sz w:val="21"/>
                <w:szCs w:val="21"/>
              </w:rPr>
            </w:pPr>
            <w:r>
              <w:rPr>
                <w:rFonts w:ascii="Times New Roman" w:cs="Times New Roman"/>
                <w:b/>
                <w:bCs/>
                <w:kern w:val="2"/>
                <w:sz w:val="21"/>
                <w:szCs w:val="21"/>
              </w:rPr>
              <w:t>Ⅳ、Ⅳ＋</w:t>
            </w:r>
          </w:p>
        </w:tc>
        <w:tc>
          <w:tcPr>
            <w:tcW w:w="2037" w:type="dxa"/>
            <w:tcBorders>
              <w:top w:val="single" w:color="000000" w:sz="12" w:space="0"/>
              <w:left w:val="single" w:color="000000" w:sz="4" w:space="0"/>
              <w:bottom w:val="single" w:color="000000" w:sz="4" w:space="0"/>
              <w:right w:val="single" w:color="000000" w:sz="4" w:space="0"/>
            </w:tcBorders>
            <w:vAlign w:val="center"/>
          </w:tcPr>
          <w:p>
            <w:pPr>
              <w:pStyle w:val="101"/>
              <w:spacing w:line="240" w:lineRule="auto"/>
              <w:ind w:firstLine="0" w:firstLineChars="0"/>
              <w:rPr>
                <w:rFonts w:ascii="Times New Roman" w:cs="Times New Roman"/>
                <w:b/>
                <w:bCs/>
                <w:kern w:val="2"/>
                <w:sz w:val="21"/>
                <w:szCs w:val="21"/>
              </w:rPr>
            </w:pPr>
            <w:r>
              <w:rPr>
                <w:rFonts w:ascii="Times New Roman" w:cs="Times New Roman"/>
                <w:b/>
                <w:bCs/>
                <w:kern w:val="2"/>
                <w:sz w:val="21"/>
                <w:szCs w:val="21"/>
              </w:rPr>
              <w:t>Ⅲ</w:t>
            </w:r>
          </w:p>
        </w:tc>
        <w:tc>
          <w:tcPr>
            <w:tcW w:w="1921" w:type="dxa"/>
            <w:tcBorders>
              <w:top w:val="single" w:color="000000" w:sz="12" w:space="0"/>
              <w:left w:val="single" w:color="000000" w:sz="4" w:space="0"/>
              <w:bottom w:val="single" w:color="000000" w:sz="4" w:space="0"/>
              <w:right w:val="single" w:color="000000" w:sz="4" w:space="0"/>
            </w:tcBorders>
            <w:vAlign w:val="center"/>
          </w:tcPr>
          <w:p>
            <w:pPr>
              <w:pStyle w:val="101"/>
              <w:spacing w:line="240" w:lineRule="auto"/>
              <w:ind w:firstLine="0" w:firstLineChars="0"/>
              <w:rPr>
                <w:rFonts w:ascii="Times New Roman" w:cs="Times New Roman"/>
                <w:b/>
                <w:bCs/>
                <w:kern w:val="2"/>
                <w:sz w:val="21"/>
                <w:szCs w:val="21"/>
              </w:rPr>
            </w:pPr>
            <w:r>
              <w:rPr>
                <w:rFonts w:ascii="Times New Roman" w:cs="Times New Roman"/>
                <w:b/>
                <w:bCs/>
                <w:kern w:val="2"/>
                <w:sz w:val="21"/>
                <w:szCs w:val="21"/>
              </w:rPr>
              <w:t>Ⅱ</w:t>
            </w:r>
          </w:p>
        </w:tc>
        <w:tc>
          <w:tcPr>
            <w:tcW w:w="1779" w:type="dxa"/>
            <w:tcBorders>
              <w:top w:val="single" w:color="000000" w:sz="12" w:space="0"/>
              <w:left w:val="single" w:color="000000" w:sz="4" w:space="0"/>
              <w:bottom w:val="single" w:color="000000" w:sz="4" w:space="0"/>
              <w:right w:val="nil"/>
            </w:tcBorders>
            <w:vAlign w:val="center"/>
          </w:tcPr>
          <w:p>
            <w:pPr>
              <w:pStyle w:val="101"/>
              <w:spacing w:line="240" w:lineRule="auto"/>
              <w:ind w:firstLine="0" w:firstLineChars="0"/>
              <w:rPr>
                <w:rFonts w:ascii="Times New Roman" w:cs="Times New Roman"/>
                <w:b/>
                <w:bCs/>
                <w:kern w:val="2"/>
                <w:sz w:val="21"/>
                <w:szCs w:val="21"/>
              </w:rPr>
            </w:pPr>
            <w:r>
              <w:rPr>
                <w:rFonts w:ascii="Times New Roman" w:cs="Times New Roman"/>
                <w:b/>
                <w:bCs/>
                <w:kern w:val="2"/>
                <w:sz w:val="21"/>
                <w:szCs w:val="21"/>
              </w:rPr>
              <w:t>Ⅰ</w:t>
            </w:r>
          </w:p>
        </w:tc>
      </w:tr>
      <w:tr>
        <w:tblPrEx>
          <w:tblCellMar>
            <w:top w:w="0" w:type="dxa"/>
            <w:left w:w="0" w:type="dxa"/>
            <w:bottom w:w="0" w:type="dxa"/>
            <w:right w:w="0" w:type="dxa"/>
          </w:tblCellMar>
        </w:tblPrEx>
        <w:trPr>
          <w:trHeight w:val="80" w:hRule="atLeast"/>
          <w:jc w:val="center"/>
        </w:trPr>
        <w:tc>
          <w:tcPr>
            <w:tcW w:w="1741" w:type="dxa"/>
            <w:tcBorders>
              <w:top w:val="single" w:color="000000" w:sz="4" w:space="0"/>
              <w:left w:val="nil"/>
              <w:bottom w:val="single" w:color="000000" w:sz="12" w:space="0"/>
              <w:right w:val="single" w:color="000000"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评价工作等级</w:t>
            </w:r>
          </w:p>
        </w:tc>
        <w:tc>
          <w:tcPr>
            <w:tcW w:w="1291" w:type="dxa"/>
            <w:tcBorders>
              <w:top w:val="single" w:color="000000" w:sz="4" w:space="0"/>
              <w:left w:val="single" w:color="000000" w:sz="4" w:space="0"/>
              <w:bottom w:val="single" w:color="000000" w:sz="12" w:space="0"/>
              <w:right w:val="single" w:color="000000"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一</w:t>
            </w:r>
          </w:p>
        </w:tc>
        <w:tc>
          <w:tcPr>
            <w:tcW w:w="2037" w:type="dxa"/>
            <w:tcBorders>
              <w:top w:val="single" w:color="000000" w:sz="4" w:space="0"/>
              <w:left w:val="single" w:color="000000" w:sz="4" w:space="0"/>
              <w:bottom w:val="single" w:color="000000" w:sz="12" w:space="0"/>
              <w:right w:val="single" w:color="000000" w:sz="4" w:space="0"/>
            </w:tcBorders>
            <w:shd w:val="clear" w:color="auto" w:fill="auto"/>
            <w:vAlign w:val="center"/>
          </w:tcPr>
          <w:p>
            <w:pPr>
              <w:pStyle w:val="101"/>
              <w:spacing w:line="240" w:lineRule="auto"/>
              <w:ind w:firstLine="0" w:firstLineChars="0"/>
              <w:rPr>
                <w:rFonts w:ascii="Times New Roman" w:cs="Times New Roman"/>
                <w:b/>
                <w:kern w:val="2"/>
                <w:sz w:val="21"/>
                <w:szCs w:val="21"/>
              </w:rPr>
            </w:pPr>
            <w:r>
              <w:rPr>
                <w:rFonts w:ascii="Times New Roman" w:cs="Times New Roman"/>
                <w:b/>
                <w:kern w:val="2"/>
                <w:sz w:val="21"/>
                <w:szCs w:val="21"/>
              </w:rPr>
              <w:t>二（√）</w:t>
            </w:r>
          </w:p>
        </w:tc>
        <w:tc>
          <w:tcPr>
            <w:tcW w:w="1921" w:type="dxa"/>
            <w:tcBorders>
              <w:top w:val="single" w:color="000000" w:sz="4" w:space="0"/>
              <w:left w:val="single" w:color="000000" w:sz="4" w:space="0"/>
              <w:bottom w:val="single" w:color="000000" w:sz="12" w:space="0"/>
              <w:right w:val="single" w:color="000000"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三</w:t>
            </w:r>
          </w:p>
        </w:tc>
        <w:tc>
          <w:tcPr>
            <w:tcW w:w="1779" w:type="dxa"/>
            <w:tcBorders>
              <w:top w:val="single" w:color="000000" w:sz="4" w:space="0"/>
              <w:left w:val="single" w:color="000000" w:sz="4" w:space="0"/>
              <w:bottom w:val="single" w:color="000000" w:sz="12" w:space="0"/>
              <w:right w:val="nil"/>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简单分析</w:t>
            </w:r>
          </w:p>
        </w:tc>
      </w:tr>
    </w:tbl>
    <w:p>
      <w:pPr>
        <w:pStyle w:val="112"/>
        <w:ind w:firstLine="480"/>
      </w:pPr>
      <w:r>
        <w:t>根据《建设项目环境风险评价技术导则》（HJ169-2018）中关于环境风险评价工作等级的划分方法，本项目风险潜势为Ⅲ，确定本项目环境风险评价等级为</w:t>
      </w:r>
      <w:r>
        <w:rPr>
          <w:rFonts w:hint="eastAsia"/>
        </w:rPr>
        <w:t>二级</w:t>
      </w:r>
      <w:r>
        <w:t>。</w:t>
      </w:r>
    </w:p>
    <w:p>
      <w:pPr>
        <w:pStyle w:val="4"/>
        <w:rPr>
          <w:rFonts w:eastAsia="宋体"/>
        </w:rPr>
      </w:pPr>
      <w:bookmarkStart w:id="527" w:name="_Toc19816101"/>
      <w:bookmarkStart w:id="528" w:name="_Toc12288727"/>
      <w:bookmarkStart w:id="529" w:name="_Hlk41385142"/>
      <w:r>
        <w:rPr>
          <w:rFonts w:eastAsia="宋体"/>
        </w:rPr>
        <w:t>7.5.2 环境风险评价范围</w:t>
      </w:r>
      <w:bookmarkEnd w:id="527"/>
      <w:bookmarkEnd w:id="528"/>
    </w:p>
    <w:bookmarkEnd w:id="529"/>
    <w:p>
      <w:pPr>
        <w:pStyle w:val="112"/>
        <w:ind w:firstLine="480"/>
        <w:rPr>
          <w:szCs w:val="24"/>
        </w:rPr>
      </w:pPr>
      <w:bookmarkStart w:id="530" w:name="bookmark60"/>
      <w:bookmarkEnd w:id="530"/>
      <w:bookmarkStart w:id="531" w:name="_Toc12288728"/>
      <w:bookmarkStart w:id="532" w:name="_Toc19816102"/>
      <w:r>
        <w:rPr>
          <w:szCs w:val="24"/>
        </w:rPr>
        <w:t>风险评价范围为沿管线两侧各</w:t>
      </w:r>
      <w:r>
        <w:rPr>
          <w:rFonts w:hint="eastAsia"/>
          <w:szCs w:val="24"/>
        </w:rPr>
        <w:t>2</w:t>
      </w:r>
      <w:r>
        <w:rPr>
          <w:szCs w:val="24"/>
        </w:rPr>
        <w:t>00m的带状区域和</w:t>
      </w:r>
      <w:r>
        <w:rPr>
          <w:rFonts w:hint="eastAsia"/>
          <w:szCs w:val="24"/>
        </w:rPr>
        <w:t>井场</w:t>
      </w:r>
      <w:r>
        <w:rPr>
          <w:szCs w:val="24"/>
        </w:rPr>
        <w:t>周边5</w:t>
      </w:r>
      <w:r>
        <w:rPr>
          <w:rFonts w:hint="eastAsia"/>
          <w:szCs w:val="24"/>
        </w:rPr>
        <w:t>k</w:t>
      </w:r>
      <w:r>
        <w:rPr>
          <w:szCs w:val="24"/>
        </w:rPr>
        <w:t>m区域。</w:t>
      </w:r>
    </w:p>
    <w:p>
      <w:pPr>
        <w:pStyle w:val="3"/>
        <w:spacing w:before="120"/>
        <w:rPr>
          <w:rFonts w:cs="Times New Roman"/>
        </w:rPr>
      </w:pPr>
      <w:bookmarkStart w:id="533" w:name="_Toc81515298"/>
      <w:r>
        <w:rPr>
          <w:rFonts w:cs="Times New Roman"/>
        </w:rPr>
        <w:t>7.6 风险识别</w:t>
      </w:r>
      <w:bookmarkEnd w:id="531"/>
      <w:bookmarkEnd w:id="532"/>
      <w:bookmarkEnd w:id="533"/>
    </w:p>
    <w:p>
      <w:pPr>
        <w:ind w:firstLine="480"/>
        <w:rPr>
          <w:rFonts w:ascii="Times New Roman" w:cs="Times New Roman"/>
        </w:rPr>
      </w:pPr>
      <w:bookmarkStart w:id="534" w:name="_Toc12288729"/>
      <w:bookmarkStart w:id="535" w:name="_Toc19816103"/>
      <w:r>
        <w:rPr>
          <w:rFonts w:ascii="Times New Roman" w:cs="Times New Roman"/>
        </w:rPr>
        <w:t>根据《建设项目环境风险评价技术导则》（HJ169-2018），环境风险识别内容包括生产过程中涉及的物质危险性识别、生产系统危险性识别、危险物质向环境转移的途径识别。</w:t>
      </w:r>
    </w:p>
    <w:p>
      <w:pPr>
        <w:pStyle w:val="4"/>
        <w:rPr>
          <w:rFonts w:eastAsia="宋体"/>
        </w:rPr>
      </w:pPr>
      <w:r>
        <w:rPr>
          <w:rFonts w:eastAsia="宋体"/>
        </w:rPr>
        <w:t>7.6.1 物质风险识别</w:t>
      </w:r>
      <w:bookmarkEnd w:id="534"/>
      <w:bookmarkEnd w:id="535"/>
    </w:p>
    <w:p>
      <w:pPr>
        <w:pStyle w:val="6"/>
        <w:ind w:firstLine="480"/>
        <w:rPr>
          <w:rFonts w:ascii="Times New Roman" w:cs="Times New Roman"/>
        </w:rPr>
      </w:pPr>
      <w:r>
        <w:rPr>
          <w:rFonts w:ascii="Times New Roman" w:cs="Times New Roman"/>
        </w:rPr>
        <w:t>按照《石油天然气工程设计防火规范》（GB50183-2004）标准，天然气属于甲B类火灾危险物质。</w:t>
      </w:r>
    </w:p>
    <w:p>
      <w:pPr>
        <w:pStyle w:val="112"/>
        <w:ind w:firstLine="480"/>
      </w:pPr>
      <w:r>
        <w:t>本工程涉及的危险物质主要是井喷及输送的天然气所含的甲烷</w:t>
      </w:r>
      <w:r>
        <w:rPr>
          <w:rFonts w:hint="eastAsia"/>
        </w:rPr>
        <w:t>以及柴油、凝析油、压裂、洗井废水、气田水</w:t>
      </w:r>
      <w:r>
        <w:t>。</w:t>
      </w:r>
    </w:p>
    <w:p>
      <w:pPr>
        <w:pStyle w:val="112"/>
        <w:ind w:firstLine="482"/>
        <w:rPr>
          <w:b/>
        </w:rPr>
      </w:pPr>
      <w:r>
        <w:rPr>
          <w:b/>
        </w:rPr>
        <w:t>1、甲烷</w:t>
      </w:r>
    </w:p>
    <w:p>
      <w:pPr>
        <w:pStyle w:val="112"/>
        <w:ind w:firstLine="480"/>
      </w:pPr>
      <w:r>
        <w:t>天然气是一种易燃易爆混合性气体，其主要成分为甲烷，与空气混合能形成爆炸性混合物，天然气本身具有闪点低、易扩散、受热后迅速汽化，强热时剧烈汽化而喷发远射、燃烧值大、燃烧温度高、爆炸范围较宽且爆炸下限低等特点。主要物质甲烷的物理化学特性如表7.6-1。</w:t>
      </w:r>
    </w:p>
    <w:p>
      <w:pPr>
        <w:pStyle w:val="125"/>
        <w:rPr>
          <w:rFonts w:eastAsia="宋体"/>
        </w:rPr>
      </w:pPr>
      <w:r>
        <w:rPr>
          <w:rFonts w:eastAsia="宋体"/>
        </w:rPr>
        <w:t>表7.6-1  甲烷物化性质表</w:t>
      </w:r>
    </w:p>
    <w:tbl>
      <w:tblPr>
        <w:tblStyle w:val="57"/>
        <w:tblW w:w="8727" w:type="dxa"/>
        <w:jc w:val="center"/>
        <w:tblLayout w:type="fixed"/>
        <w:tblCellMar>
          <w:top w:w="0" w:type="dxa"/>
          <w:left w:w="0" w:type="dxa"/>
          <w:bottom w:w="0" w:type="dxa"/>
          <w:right w:w="0" w:type="dxa"/>
        </w:tblCellMar>
      </w:tblPr>
      <w:tblGrid>
        <w:gridCol w:w="474"/>
        <w:gridCol w:w="2988"/>
        <w:gridCol w:w="2814"/>
        <w:gridCol w:w="2451"/>
      </w:tblGrid>
      <w:tr>
        <w:tblPrEx>
          <w:tblCellMar>
            <w:top w:w="0" w:type="dxa"/>
            <w:left w:w="0" w:type="dxa"/>
            <w:bottom w:w="0" w:type="dxa"/>
            <w:right w:w="0" w:type="dxa"/>
          </w:tblCellMar>
        </w:tblPrEx>
        <w:trPr>
          <w:trHeight w:val="20" w:hRule="atLeast"/>
          <w:jc w:val="center"/>
        </w:trPr>
        <w:tc>
          <w:tcPr>
            <w:tcW w:w="474" w:type="dxa"/>
            <w:vMerge w:val="restart"/>
            <w:tcBorders>
              <w:top w:val="single" w:color="000000" w:sz="12" w:space="0"/>
              <w:left w:val="nil"/>
              <w:bottom w:val="single" w:color="000000" w:sz="2" w:space="0"/>
              <w:right w:val="single" w:color="000000" w:sz="2" w:space="0"/>
            </w:tcBorders>
            <w:vAlign w:val="center"/>
          </w:tcPr>
          <w:p>
            <w:pPr>
              <w:pStyle w:val="132"/>
            </w:pPr>
            <w:r>
              <w:t>标识</w:t>
            </w:r>
          </w:p>
        </w:tc>
        <w:tc>
          <w:tcPr>
            <w:tcW w:w="2988" w:type="dxa"/>
            <w:tcBorders>
              <w:top w:val="single" w:color="000000" w:sz="12" w:space="0"/>
              <w:left w:val="single" w:color="000000" w:sz="2" w:space="0"/>
              <w:bottom w:val="single" w:color="000000" w:sz="2" w:space="0"/>
              <w:right w:val="single" w:color="000000" w:sz="2" w:space="0"/>
            </w:tcBorders>
            <w:vAlign w:val="center"/>
          </w:tcPr>
          <w:p>
            <w:pPr>
              <w:pStyle w:val="132"/>
              <w:jc w:val="left"/>
            </w:pPr>
            <w:r>
              <w:t>中文名：甲烷</w:t>
            </w:r>
          </w:p>
        </w:tc>
        <w:tc>
          <w:tcPr>
            <w:tcW w:w="5264" w:type="dxa"/>
            <w:gridSpan w:val="2"/>
            <w:tcBorders>
              <w:top w:val="single" w:color="000000" w:sz="12" w:space="0"/>
              <w:left w:val="single" w:color="000000" w:sz="2" w:space="0"/>
              <w:bottom w:val="single" w:color="000000" w:sz="2" w:space="0"/>
              <w:right w:val="nil"/>
            </w:tcBorders>
            <w:vAlign w:val="center"/>
          </w:tcPr>
          <w:p>
            <w:pPr>
              <w:pStyle w:val="132"/>
              <w:jc w:val="left"/>
            </w:pPr>
            <w:r>
              <w:t>英文名：Methane</w:t>
            </w:r>
          </w:p>
        </w:tc>
      </w:tr>
      <w:tr>
        <w:tblPrEx>
          <w:tblCellMar>
            <w:top w:w="0" w:type="dxa"/>
            <w:left w:w="0" w:type="dxa"/>
            <w:bottom w:w="0" w:type="dxa"/>
            <w:right w:w="0" w:type="dxa"/>
          </w:tblCellMar>
        </w:tblPrEx>
        <w:trPr>
          <w:trHeight w:val="20"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2"/>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2"/>
              <w:jc w:val="left"/>
            </w:pPr>
            <w:r>
              <w:t>分子式：CH</w:t>
            </w:r>
            <w:r>
              <w:rPr>
                <w:vertAlign w:val="subscript"/>
              </w:rPr>
              <w:t>4</w:t>
            </w:r>
          </w:p>
        </w:tc>
        <w:tc>
          <w:tcPr>
            <w:tcW w:w="2814" w:type="dxa"/>
            <w:tcBorders>
              <w:top w:val="single" w:color="000000" w:sz="2" w:space="0"/>
              <w:left w:val="single" w:color="000000" w:sz="2" w:space="0"/>
              <w:bottom w:val="single" w:color="000000" w:sz="2" w:space="0"/>
              <w:right w:val="single" w:color="000000" w:sz="2" w:space="0"/>
            </w:tcBorders>
            <w:vAlign w:val="center"/>
          </w:tcPr>
          <w:p>
            <w:pPr>
              <w:pStyle w:val="132"/>
              <w:jc w:val="left"/>
            </w:pPr>
            <w:r>
              <w:t>分子量：16.04</w:t>
            </w:r>
          </w:p>
        </w:tc>
        <w:tc>
          <w:tcPr>
            <w:tcW w:w="2450" w:type="dxa"/>
            <w:tcBorders>
              <w:top w:val="single" w:color="000000" w:sz="2" w:space="0"/>
              <w:left w:val="single" w:color="000000" w:sz="2" w:space="0"/>
              <w:bottom w:val="single" w:color="000000" w:sz="2" w:space="0"/>
              <w:right w:val="nil"/>
            </w:tcBorders>
            <w:vAlign w:val="center"/>
          </w:tcPr>
          <w:p>
            <w:pPr>
              <w:pStyle w:val="132"/>
              <w:jc w:val="left"/>
            </w:pPr>
            <w:r>
              <w:t>UN编号：1971</w:t>
            </w:r>
          </w:p>
        </w:tc>
      </w:tr>
      <w:tr>
        <w:tblPrEx>
          <w:tblCellMar>
            <w:top w:w="0" w:type="dxa"/>
            <w:left w:w="0" w:type="dxa"/>
            <w:bottom w:w="0" w:type="dxa"/>
            <w:right w:w="0" w:type="dxa"/>
          </w:tblCellMar>
        </w:tblPrEx>
        <w:trPr>
          <w:trHeight w:val="20"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2"/>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2"/>
              <w:jc w:val="left"/>
            </w:pPr>
            <w:r>
              <w:t>危规号：21007</w:t>
            </w:r>
          </w:p>
        </w:tc>
        <w:tc>
          <w:tcPr>
            <w:tcW w:w="2814" w:type="dxa"/>
            <w:tcBorders>
              <w:top w:val="single" w:color="000000" w:sz="2" w:space="0"/>
              <w:left w:val="single" w:color="000000" w:sz="2" w:space="0"/>
              <w:bottom w:val="single" w:color="000000" w:sz="2" w:space="0"/>
              <w:right w:val="single" w:color="000000" w:sz="2" w:space="0"/>
            </w:tcBorders>
            <w:vAlign w:val="center"/>
          </w:tcPr>
          <w:p>
            <w:pPr>
              <w:pStyle w:val="132"/>
              <w:jc w:val="left"/>
            </w:pPr>
            <w:r>
              <w:t>RTEC号：PA1490000</w:t>
            </w:r>
          </w:p>
        </w:tc>
        <w:tc>
          <w:tcPr>
            <w:tcW w:w="2450" w:type="dxa"/>
            <w:tcBorders>
              <w:top w:val="single" w:color="000000" w:sz="2" w:space="0"/>
              <w:left w:val="single" w:color="000000" w:sz="2" w:space="0"/>
              <w:bottom w:val="single" w:color="000000" w:sz="2" w:space="0"/>
              <w:right w:val="nil"/>
            </w:tcBorders>
            <w:vAlign w:val="center"/>
          </w:tcPr>
          <w:p>
            <w:pPr>
              <w:pStyle w:val="132"/>
              <w:jc w:val="left"/>
            </w:pPr>
            <w:r>
              <w:t>CAS号：74-82-8</w:t>
            </w:r>
          </w:p>
        </w:tc>
      </w:tr>
      <w:tr>
        <w:tblPrEx>
          <w:tblCellMar>
            <w:top w:w="0" w:type="dxa"/>
            <w:left w:w="0" w:type="dxa"/>
            <w:bottom w:w="0" w:type="dxa"/>
            <w:right w:w="0" w:type="dxa"/>
          </w:tblCellMar>
        </w:tblPrEx>
        <w:trPr>
          <w:trHeight w:val="20"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2"/>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2"/>
              <w:jc w:val="left"/>
            </w:pPr>
            <w:r>
              <w:t>危险性类别：第2.1类易燃气体</w:t>
            </w:r>
          </w:p>
        </w:tc>
        <w:tc>
          <w:tcPr>
            <w:tcW w:w="5264" w:type="dxa"/>
            <w:gridSpan w:val="2"/>
            <w:tcBorders>
              <w:top w:val="single" w:color="000000" w:sz="2" w:space="0"/>
              <w:left w:val="single" w:color="000000" w:sz="2" w:space="0"/>
              <w:bottom w:val="single" w:color="000000" w:sz="2" w:space="0"/>
              <w:right w:val="nil"/>
            </w:tcBorders>
            <w:vAlign w:val="center"/>
          </w:tcPr>
          <w:p>
            <w:pPr>
              <w:pStyle w:val="132"/>
              <w:jc w:val="left"/>
            </w:pPr>
            <w:r>
              <w:t>化学类别：烷烃</w:t>
            </w:r>
          </w:p>
        </w:tc>
      </w:tr>
      <w:tr>
        <w:tblPrEx>
          <w:tblCellMar>
            <w:top w:w="0" w:type="dxa"/>
            <w:left w:w="0" w:type="dxa"/>
            <w:bottom w:w="0" w:type="dxa"/>
            <w:right w:w="0" w:type="dxa"/>
          </w:tblCellMar>
        </w:tblPrEx>
        <w:trPr>
          <w:trHeight w:val="20" w:hRule="atLeast"/>
          <w:jc w:val="center"/>
        </w:trPr>
        <w:tc>
          <w:tcPr>
            <w:tcW w:w="474" w:type="dxa"/>
            <w:vMerge w:val="restart"/>
            <w:tcBorders>
              <w:top w:val="single" w:color="000000" w:sz="2" w:space="0"/>
              <w:left w:val="nil"/>
              <w:bottom w:val="single" w:color="000000" w:sz="2" w:space="0"/>
              <w:right w:val="single" w:color="000000" w:sz="2" w:space="0"/>
            </w:tcBorders>
            <w:vAlign w:val="center"/>
          </w:tcPr>
          <w:p>
            <w:pPr>
              <w:pStyle w:val="132"/>
            </w:pPr>
            <w:r>
              <w:t>理化性质</w:t>
            </w:r>
          </w:p>
        </w:tc>
        <w:tc>
          <w:tcPr>
            <w:tcW w:w="8253" w:type="dxa"/>
            <w:gridSpan w:val="3"/>
            <w:tcBorders>
              <w:top w:val="single" w:color="000000" w:sz="2" w:space="0"/>
              <w:left w:val="single" w:color="000000" w:sz="2" w:space="0"/>
              <w:bottom w:val="single" w:color="000000" w:sz="2" w:space="0"/>
              <w:right w:val="nil"/>
            </w:tcBorders>
            <w:vAlign w:val="center"/>
          </w:tcPr>
          <w:p>
            <w:pPr>
              <w:pStyle w:val="132"/>
              <w:jc w:val="left"/>
            </w:pPr>
            <w:r>
              <w:t>外观与性状：无色无臭气体</w:t>
            </w:r>
          </w:p>
        </w:tc>
      </w:tr>
      <w:tr>
        <w:tblPrEx>
          <w:tblCellMar>
            <w:top w:w="0" w:type="dxa"/>
            <w:left w:w="0" w:type="dxa"/>
            <w:bottom w:w="0" w:type="dxa"/>
            <w:right w:w="0" w:type="dxa"/>
          </w:tblCellMar>
        </w:tblPrEx>
        <w:trPr>
          <w:trHeight w:val="20"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2"/>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2"/>
              <w:jc w:val="left"/>
            </w:pPr>
            <w:r>
              <w:t>熔点（℃）：-182.5</w:t>
            </w:r>
          </w:p>
        </w:tc>
        <w:tc>
          <w:tcPr>
            <w:tcW w:w="5264" w:type="dxa"/>
            <w:gridSpan w:val="2"/>
            <w:tcBorders>
              <w:top w:val="single" w:color="000000" w:sz="2" w:space="0"/>
              <w:left w:val="single" w:color="000000" w:sz="2" w:space="0"/>
              <w:bottom w:val="single" w:color="000000" w:sz="2" w:space="0"/>
              <w:right w:val="nil"/>
            </w:tcBorders>
            <w:vAlign w:val="center"/>
          </w:tcPr>
          <w:p>
            <w:pPr>
              <w:pStyle w:val="132"/>
              <w:jc w:val="left"/>
            </w:pPr>
            <w:r>
              <w:t>溶解性：微溶于水，溶于乙醇、乙醚</w:t>
            </w:r>
          </w:p>
        </w:tc>
      </w:tr>
      <w:tr>
        <w:tblPrEx>
          <w:tblCellMar>
            <w:top w:w="0" w:type="dxa"/>
            <w:left w:w="0" w:type="dxa"/>
            <w:bottom w:w="0" w:type="dxa"/>
            <w:right w:w="0" w:type="dxa"/>
          </w:tblCellMar>
        </w:tblPrEx>
        <w:trPr>
          <w:trHeight w:val="20"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2"/>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2"/>
              <w:jc w:val="left"/>
            </w:pPr>
            <w:r>
              <w:t>沸点（℃）：-161.5</w:t>
            </w:r>
          </w:p>
        </w:tc>
        <w:tc>
          <w:tcPr>
            <w:tcW w:w="5264" w:type="dxa"/>
            <w:gridSpan w:val="2"/>
            <w:tcBorders>
              <w:top w:val="single" w:color="000000" w:sz="2" w:space="0"/>
              <w:left w:val="single" w:color="000000" w:sz="2" w:space="0"/>
              <w:bottom w:val="single" w:color="000000" w:sz="2" w:space="0"/>
              <w:right w:val="nil"/>
            </w:tcBorders>
            <w:vAlign w:val="center"/>
          </w:tcPr>
          <w:p>
            <w:pPr>
              <w:pStyle w:val="132"/>
              <w:jc w:val="left"/>
            </w:pPr>
            <w:r>
              <w:t>相对密度（水=1）：0.42/-164℃</w:t>
            </w:r>
          </w:p>
        </w:tc>
      </w:tr>
      <w:tr>
        <w:tblPrEx>
          <w:tblCellMar>
            <w:top w:w="0" w:type="dxa"/>
            <w:left w:w="0" w:type="dxa"/>
            <w:bottom w:w="0" w:type="dxa"/>
            <w:right w:w="0" w:type="dxa"/>
          </w:tblCellMar>
        </w:tblPrEx>
        <w:trPr>
          <w:trHeight w:val="20"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2"/>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2"/>
              <w:jc w:val="left"/>
            </w:pPr>
            <w:r>
              <w:t>饱和蒸气压（KPa）：53.32/-168.8</w:t>
            </w:r>
          </w:p>
        </w:tc>
        <w:tc>
          <w:tcPr>
            <w:tcW w:w="5264" w:type="dxa"/>
            <w:gridSpan w:val="2"/>
            <w:tcBorders>
              <w:top w:val="single" w:color="000000" w:sz="2" w:space="0"/>
              <w:left w:val="single" w:color="000000" w:sz="2" w:space="0"/>
              <w:bottom w:val="single" w:color="000000" w:sz="2" w:space="0"/>
              <w:right w:val="nil"/>
            </w:tcBorders>
            <w:vAlign w:val="center"/>
          </w:tcPr>
          <w:p>
            <w:pPr>
              <w:pStyle w:val="132"/>
              <w:jc w:val="left"/>
            </w:pPr>
            <w:r>
              <w:t>相对密度（空气=1）：0.55</w:t>
            </w:r>
          </w:p>
        </w:tc>
      </w:tr>
      <w:tr>
        <w:tblPrEx>
          <w:tblCellMar>
            <w:top w:w="0" w:type="dxa"/>
            <w:left w:w="0" w:type="dxa"/>
            <w:bottom w:w="0" w:type="dxa"/>
            <w:right w:w="0" w:type="dxa"/>
          </w:tblCellMar>
        </w:tblPrEx>
        <w:trPr>
          <w:trHeight w:val="20"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2"/>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2"/>
              <w:jc w:val="left"/>
            </w:pPr>
            <w:r>
              <w:t>临界温度（℃）：-82.6</w:t>
            </w:r>
          </w:p>
        </w:tc>
        <w:tc>
          <w:tcPr>
            <w:tcW w:w="5264" w:type="dxa"/>
            <w:gridSpan w:val="2"/>
            <w:tcBorders>
              <w:top w:val="single" w:color="000000" w:sz="2" w:space="0"/>
              <w:left w:val="single" w:color="000000" w:sz="2" w:space="0"/>
              <w:bottom w:val="single" w:color="000000" w:sz="2" w:space="0"/>
              <w:right w:val="nil"/>
            </w:tcBorders>
            <w:vAlign w:val="center"/>
          </w:tcPr>
          <w:p>
            <w:pPr>
              <w:pStyle w:val="132"/>
              <w:jc w:val="left"/>
            </w:pPr>
            <w:r>
              <w:t>燃烧热（kJ/mol）：889.5</w:t>
            </w:r>
          </w:p>
        </w:tc>
      </w:tr>
      <w:tr>
        <w:tblPrEx>
          <w:tblCellMar>
            <w:top w:w="0" w:type="dxa"/>
            <w:left w:w="0" w:type="dxa"/>
            <w:bottom w:w="0" w:type="dxa"/>
            <w:right w:w="0" w:type="dxa"/>
          </w:tblCellMar>
        </w:tblPrEx>
        <w:trPr>
          <w:trHeight w:val="20"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2"/>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2"/>
              <w:jc w:val="left"/>
            </w:pPr>
            <w:r>
              <w:t>临界压力（MPa）：4.59</w:t>
            </w:r>
          </w:p>
        </w:tc>
        <w:tc>
          <w:tcPr>
            <w:tcW w:w="5264" w:type="dxa"/>
            <w:gridSpan w:val="2"/>
            <w:tcBorders>
              <w:top w:val="single" w:color="000000" w:sz="2" w:space="0"/>
              <w:left w:val="single" w:color="000000" w:sz="2" w:space="0"/>
              <w:bottom w:val="single" w:color="000000" w:sz="2" w:space="0"/>
              <w:right w:val="nil"/>
            </w:tcBorders>
            <w:vAlign w:val="center"/>
          </w:tcPr>
          <w:p>
            <w:pPr>
              <w:pStyle w:val="132"/>
              <w:jc w:val="left"/>
            </w:pPr>
            <w:r>
              <w:t>最小引燃能量（mJ）：0.28</w:t>
            </w:r>
          </w:p>
        </w:tc>
      </w:tr>
      <w:tr>
        <w:tblPrEx>
          <w:tblCellMar>
            <w:top w:w="0" w:type="dxa"/>
            <w:left w:w="0" w:type="dxa"/>
            <w:bottom w:w="0" w:type="dxa"/>
            <w:right w:w="0" w:type="dxa"/>
          </w:tblCellMar>
        </w:tblPrEx>
        <w:trPr>
          <w:trHeight w:val="20" w:hRule="atLeast"/>
          <w:jc w:val="center"/>
        </w:trPr>
        <w:tc>
          <w:tcPr>
            <w:tcW w:w="474" w:type="dxa"/>
            <w:vMerge w:val="restart"/>
            <w:tcBorders>
              <w:top w:val="single" w:color="000000" w:sz="2" w:space="0"/>
              <w:left w:val="nil"/>
              <w:bottom w:val="single" w:color="000000" w:sz="2" w:space="0"/>
              <w:right w:val="single" w:color="000000" w:sz="2" w:space="0"/>
            </w:tcBorders>
            <w:vAlign w:val="center"/>
          </w:tcPr>
          <w:p>
            <w:pPr>
              <w:pStyle w:val="132"/>
            </w:pPr>
            <w:r>
              <w:t>燃烧爆炸危险性</w:t>
            </w: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2"/>
              <w:jc w:val="left"/>
            </w:pPr>
            <w:r>
              <w:t>燃烧性：易燃气体</w:t>
            </w:r>
          </w:p>
        </w:tc>
        <w:tc>
          <w:tcPr>
            <w:tcW w:w="5264" w:type="dxa"/>
            <w:gridSpan w:val="2"/>
            <w:tcBorders>
              <w:top w:val="single" w:color="000000" w:sz="2" w:space="0"/>
              <w:left w:val="single" w:color="000000" w:sz="2" w:space="0"/>
              <w:bottom w:val="single" w:color="000000" w:sz="2" w:space="0"/>
              <w:right w:val="nil"/>
            </w:tcBorders>
            <w:vAlign w:val="center"/>
          </w:tcPr>
          <w:p>
            <w:pPr>
              <w:pStyle w:val="132"/>
              <w:jc w:val="left"/>
            </w:pPr>
            <w:r>
              <w:t>燃烧分解产物：CO、CO</w:t>
            </w:r>
            <w:r>
              <w:rPr>
                <w:vertAlign w:val="subscript"/>
              </w:rPr>
              <w:t>2</w:t>
            </w:r>
            <w:r>
              <w:t>、H</w:t>
            </w:r>
            <w:r>
              <w:rPr>
                <w:vertAlign w:val="subscript"/>
              </w:rPr>
              <w:t>2</w:t>
            </w:r>
            <w:r>
              <w:t>O</w:t>
            </w:r>
          </w:p>
        </w:tc>
      </w:tr>
      <w:tr>
        <w:tblPrEx>
          <w:tblCellMar>
            <w:top w:w="0" w:type="dxa"/>
            <w:left w:w="0" w:type="dxa"/>
            <w:bottom w:w="0" w:type="dxa"/>
            <w:right w:w="0" w:type="dxa"/>
          </w:tblCellMar>
        </w:tblPrEx>
        <w:trPr>
          <w:trHeight w:val="20"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2"/>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2"/>
              <w:jc w:val="left"/>
            </w:pPr>
            <w:r>
              <w:t>闪点（℃）：＜-50</w:t>
            </w:r>
          </w:p>
        </w:tc>
        <w:tc>
          <w:tcPr>
            <w:tcW w:w="5264" w:type="dxa"/>
            <w:gridSpan w:val="2"/>
            <w:tcBorders>
              <w:top w:val="single" w:color="000000" w:sz="2" w:space="0"/>
              <w:left w:val="single" w:color="000000" w:sz="2" w:space="0"/>
              <w:bottom w:val="single" w:color="000000" w:sz="2" w:space="0"/>
              <w:right w:val="nil"/>
            </w:tcBorders>
            <w:vAlign w:val="center"/>
          </w:tcPr>
          <w:p>
            <w:pPr>
              <w:pStyle w:val="132"/>
              <w:jc w:val="left"/>
            </w:pPr>
            <w:r>
              <w:t>聚合危害：不会出现</w:t>
            </w:r>
          </w:p>
        </w:tc>
      </w:tr>
      <w:tr>
        <w:tblPrEx>
          <w:tblCellMar>
            <w:top w:w="0" w:type="dxa"/>
            <w:left w:w="0" w:type="dxa"/>
            <w:bottom w:w="0" w:type="dxa"/>
            <w:right w:w="0" w:type="dxa"/>
          </w:tblCellMar>
        </w:tblPrEx>
        <w:trPr>
          <w:trHeight w:val="20"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2"/>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2"/>
              <w:jc w:val="left"/>
            </w:pPr>
            <w:r>
              <w:t>爆炸极限（V％）：5.3～15</w:t>
            </w:r>
          </w:p>
        </w:tc>
        <w:tc>
          <w:tcPr>
            <w:tcW w:w="5264" w:type="dxa"/>
            <w:gridSpan w:val="2"/>
            <w:tcBorders>
              <w:top w:val="single" w:color="000000" w:sz="2" w:space="0"/>
              <w:left w:val="single" w:color="000000" w:sz="2" w:space="0"/>
              <w:bottom w:val="single" w:color="000000" w:sz="2" w:space="0"/>
              <w:right w:val="nil"/>
            </w:tcBorders>
            <w:vAlign w:val="center"/>
          </w:tcPr>
          <w:p>
            <w:pPr>
              <w:pStyle w:val="132"/>
              <w:jc w:val="left"/>
            </w:pPr>
            <w:r>
              <w:t>稳定性：稳定</w:t>
            </w:r>
          </w:p>
        </w:tc>
      </w:tr>
      <w:tr>
        <w:tblPrEx>
          <w:tblCellMar>
            <w:top w:w="0" w:type="dxa"/>
            <w:left w:w="0" w:type="dxa"/>
            <w:bottom w:w="0" w:type="dxa"/>
            <w:right w:w="0" w:type="dxa"/>
          </w:tblCellMar>
        </w:tblPrEx>
        <w:trPr>
          <w:trHeight w:val="20"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2"/>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2"/>
              <w:jc w:val="left"/>
            </w:pPr>
            <w:r>
              <w:t>自燃温度（℃）：538</w:t>
            </w:r>
          </w:p>
        </w:tc>
        <w:tc>
          <w:tcPr>
            <w:tcW w:w="5264" w:type="dxa"/>
            <w:gridSpan w:val="2"/>
            <w:tcBorders>
              <w:top w:val="single" w:color="000000" w:sz="2" w:space="0"/>
              <w:left w:val="single" w:color="000000" w:sz="2" w:space="0"/>
              <w:bottom w:val="single" w:color="000000" w:sz="2" w:space="0"/>
              <w:right w:val="nil"/>
            </w:tcBorders>
            <w:vAlign w:val="center"/>
          </w:tcPr>
          <w:p>
            <w:pPr>
              <w:pStyle w:val="132"/>
              <w:jc w:val="left"/>
            </w:pPr>
            <w:r>
              <w:t>禁忌物：强氧化剂、卤素</w:t>
            </w:r>
          </w:p>
        </w:tc>
      </w:tr>
      <w:tr>
        <w:tblPrEx>
          <w:tblCellMar>
            <w:top w:w="0" w:type="dxa"/>
            <w:left w:w="0" w:type="dxa"/>
            <w:bottom w:w="0" w:type="dxa"/>
            <w:right w:w="0" w:type="dxa"/>
          </w:tblCellMar>
        </w:tblPrEx>
        <w:trPr>
          <w:trHeight w:val="20"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2"/>
            </w:pPr>
          </w:p>
        </w:tc>
        <w:tc>
          <w:tcPr>
            <w:tcW w:w="8253" w:type="dxa"/>
            <w:gridSpan w:val="3"/>
            <w:tcBorders>
              <w:top w:val="single" w:color="000000" w:sz="2" w:space="0"/>
              <w:left w:val="single" w:color="000000" w:sz="2" w:space="0"/>
              <w:bottom w:val="single" w:color="000000" w:sz="2" w:space="0"/>
              <w:right w:val="nil"/>
            </w:tcBorders>
            <w:vAlign w:val="center"/>
          </w:tcPr>
          <w:p>
            <w:pPr>
              <w:pStyle w:val="132"/>
              <w:jc w:val="left"/>
            </w:pPr>
            <w:r>
              <w:t>危险特性：与空气混合形成爆炸性混合物，遇明火、高热能引起燃烧爆炸，与五氧化溴、氯气、次氯酸、三氟化氮及其它氧化剂接触剧烈反应。若遇高热，容器内压增大，有开裂和爆炸的危险。</w:t>
            </w:r>
          </w:p>
          <w:p>
            <w:pPr>
              <w:pStyle w:val="132"/>
              <w:jc w:val="left"/>
            </w:pPr>
            <w:r>
              <w:t>爆炸性气体分类、分级、分组：ⅡAT1</w:t>
            </w:r>
          </w:p>
        </w:tc>
      </w:tr>
      <w:tr>
        <w:tblPrEx>
          <w:tblCellMar>
            <w:top w:w="0" w:type="dxa"/>
            <w:left w:w="0" w:type="dxa"/>
            <w:bottom w:w="0" w:type="dxa"/>
            <w:right w:w="0" w:type="dxa"/>
          </w:tblCellMar>
        </w:tblPrEx>
        <w:trPr>
          <w:trHeight w:val="20"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2"/>
            </w:pPr>
          </w:p>
        </w:tc>
        <w:tc>
          <w:tcPr>
            <w:tcW w:w="8253" w:type="dxa"/>
            <w:gridSpan w:val="3"/>
            <w:tcBorders>
              <w:top w:val="single" w:color="000000" w:sz="2" w:space="0"/>
              <w:left w:val="single" w:color="000000" w:sz="2" w:space="0"/>
              <w:bottom w:val="single" w:color="000000" w:sz="2" w:space="0"/>
              <w:right w:val="nil"/>
            </w:tcBorders>
            <w:vAlign w:val="center"/>
          </w:tcPr>
          <w:p>
            <w:pPr>
              <w:pStyle w:val="132"/>
              <w:jc w:val="left"/>
            </w:pPr>
            <w:r>
              <w:t>灭火方法：切断气源。若不能立即切断气源，则不允许熄灭正在燃烧的气体。喷水冷却容器。</w:t>
            </w:r>
          </w:p>
          <w:p>
            <w:pPr>
              <w:pStyle w:val="132"/>
              <w:jc w:val="left"/>
            </w:pPr>
            <w:r>
              <w:t>灭火剂：雾状水、泡沫、二氧化碳、干粉。</w:t>
            </w:r>
          </w:p>
        </w:tc>
      </w:tr>
      <w:tr>
        <w:tblPrEx>
          <w:tblCellMar>
            <w:top w:w="0" w:type="dxa"/>
            <w:left w:w="0" w:type="dxa"/>
            <w:bottom w:w="0" w:type="dxa"/>
            <w:right w:w="0" w:type="dxa"/>
          </w:tblCellMar>
        </w:tblPrEx>
        <w:trPr>
          <w:trHeight w:val="20" w:hRule="atLeast"/>
          <w:jc w:val="center"/>
        </w:trPr>
        <w:tc>
          <w:tcPr>
            <w:tcW w:w="474" w:type="dxa"/>
            <w:vMerge w:val="restart"/>
            <w:tcBorders>
              <w:top w:val="single" w:color="000000" w:sz="2" w:space="0"/>
              <w:left w:val="nil"/>
              <w:bottom w:val="single" w:color="000000" w:sz="2" w:space="0"/>
              <w:right w:val="single" w:color="000000" w:sz="2" w:space="0"/>
            </w:tcBorders>
            <w:vAlign w:val="center"/>
          </w:tcPr>
          <w:p>
            <w:pPr>
              <w:pStyle w:val="132"/>
            </w:pPr>
            <w:r>
              <w:t>毒性</w:t>
            </w:r>
          </w:p>
        </w:tc>
        <w:tc>
          <w:tcPr>
            <w:tcW w:w="8253" w:type="dxa"/>
            <w:gridSpan w:val="3"/>
            <w:tcBorders>
              <w:top w:val="single" w:color="000000" w:sz="2" w:space="0"/>
              <w:left w:val="single" w:color="000000" w:sz="2" w:space="0"/>
              <w:bottom w:val="single" w:color="000000" w:sz="2" w:space="0"/>
              <w:right w:val="nil"/>
            </w:tcBorders>
            <w:vAlign w:val="center"/>
          </w:tcPr>
          <w:p>
            <w:pPr>
              <w:pStyle w:val="132"/>
              <w:jc w:val="left"/>
            </w:pPr>
            <w:r>
              <w:t>接触限值：中国：未制定前苏联MAC：300mg/m</w:t>
            </w:r>
            <w:r>
              <w:rPr>
                <w:vertAlign w:val="superscript"/>
              </w:rPr>
              <w:t>3</w:t>
            </w:r>
            <w:r>
              <w:t>美国TWA（ACGIH）：窒息性气体</w:t>
            </w:r>
          </w:p>
        </w:tc>
      </w:tr>
      <w:tr>
        <w:tblPrEx>
          <w:tblCellMar>
            <w:top w:w="0" w:type="dxa"/>
            <w:left w:w="0" w:type="dxa"/>
            <w:bottom w:w="0" w:type="dxa"/>
            <w:right w:w="0" w:type="dxa"/>
          </w:tblCellMar>
        </w:tblPrEx>
        <w:trPr>
          <w:trHeight w:val="20"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2"/>
            </w:pPr>
          </w:p>
        </w:tc>
        <w:tc>
          <w:tcPr>
            <w:tcW w:w="8253" w:type="dxa"/>
            <w:gridSpan w:val="3"/>
            <w:tcBorders>
              <w:top w:val="single" w:color="000000" w:sz="2" w:space="0"/>
              <w:left w:val="single" w:color="000000" w:sz="2" w:space="0"/>
              <w:bottom w:val="single" w:color="000000" w:sz="2" w:space="0"/>
              <w:right w:val="nil"/>
            </w:tcBorders>
            <w:vAlign w:val="center"/>
          </w:tcPr>
          <w:p>
            <w:pPr>
              <w:pStyle w:val="132"/>
              <w:jc w:val="left"/>
            </w:pPr>
            <w:r>
              <w:t>毒性：属低毒性</w:t>
            </w:r>
          </w:p>
        </w:tc>
      </w:tr>
      <w:tr>
        <w:tblPrEx>
          <w:tblCellMar>
            <w:top w:w="0" w:type="dxa"/>
            <w:left w:w="0" w:type="dxa"/>
            <w:bottom w:w="0" w:type="dxa"/>
            <w:right w:w="0" w:type="dxa"/>
          </w:tblCellMar>
        </w:tblPrEx>
        <w:trPr>
          <w:trHeight w:val="20"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2"/>
            </w:pPr>
          </w:p>
        </w:tc>
        <w:tc>
          <w:tcPr>
            <w:tcW w:w="8253" w:type="dxa"/>
            <w:gridSpan w:val="3"/>
            <w:tcBorders>
              <w:top w:val="single" w:color="000000" w:sz="2" w:space="0"/>
              <w:left w:val="single" w:color="000000" w:sz="2" w:space="0"/>
              <w:bottom w:val="single" w:color="000000" w:sz="2" w:space="0"/>
              <w:right w:val="nil"/>
            </w:tcBorders>
            <w:vAlign w:val="center"/>
          </w:tcPr>
          <w:p>
            <w:pPr>
              <w:pStyle w:val="132"/>
              <w:jc w:val="left"/>
            </w:pPr>
            <w:r>
              <w:t>侵入途径：吸入</w:t>
            </w:r>
          </w:p>
        </w:tc>
      </w:tr>
      <w:tr>
        <w:tblPrEx>
          <w:tblCellMar>
            <w:top w:w="0" w:type="dxa"/>
            <w:left w:w="0" w:type="dxa"/>
            <w:bottom w:w="0" w:type="dxa"/>
            <w:right w:w="0" w:type="dxa"/>
          </w:tblCellMar>
        </w:tblPrEx>
        <w:trPr>
          <w:trHeight w:val="20" w:hRule="atLeast"/>
          <w:jc w:val="center"/>
        </w:trPr>
        <w:tc>
          <w:tcPr>
            <w:tcW w:w="474" w:type="dxa"/>
            <w:tcBorders>
              <w:top w:val="single" w:color="000000" w:sz="2" w:space="0"/>
              <w:left w:val="nil"/>
              <w:bottom w:val="single" w:color="000000" w:sz="2" w:space="0"/>
              <w:right w:val="single" w:color="000000" w:sz="2" w:space="0"/>
            </w:tcBorders>
            <w:vAlign w:val="center"/>
          </w:tcPr>
          <w:p>
            <w:pPr>
              <w:pStyle w:val="132"/>
            </w:pPr>
            <w:r>
              <w:t>健康危害</w:t>
            </w:r>
          </w:p>
        </w:tc>
        <w:tc>
          <w:tcPr>
            <w:tcW w:w="8253" w:type="dxa"/>
            <w:gridSpan w:val="3"/>
            <w:tcBorders>
              <w:top w:val="single" w:color="000000" w:sz="2" w:space="0"/>
              <w:left w:val="single" w:color="000000" w:sz="2" w:space="0"/>
              <w:bottom w:val="single" w:color="000000" w:sz="2" w:space="0"/>
              <w:right w:val="nil"/>
            </w:tcBorders>
            <w:vAlign w:val="center"/>
          </w:tcPr>
          <w:p>
            <w:pPr>
              <w:pStyle w:val="132"/>
              <w:jc w:val="left"/>
            </w:pPr>
            <w:r>
              <w:t>空气中甲烷浓度过高，使人窒息，当空气中甲烷达25～30%时，可引起头痛、头晕乏力、注意力不集中、呼吸和心跳加快、精细动作障碍等，甚至因缺氧而窒息，昏迷，甲烷量高达2%时，工作人员应立即离开该区域。</w:t>
            </w:r>
          </w:p>
        </w:tc>
      </w:tr>
      <w:tr>
        <w:tblPrEx>
          <w:tblCellMar>
            <w:top w:w="0" w:type="dxa"/>
            <w:left w:w="0" w:type="dxa"/>
            <w:bottom w:w="0" w:type="dxa"/>
            <w:right w:w="0" w:type="dxa"/>
          </w:tblCellMar>
        </w:tblPrEx>
        <w:trPr>
          <w:trHeight w:val="20" w:hRule="atLeast"/>
          <w:jc w:val="center"/>
        </w:trPr>
        <w:tc>
          <w:tcPr>
            <w:tcW w:w="474" w:type="dxa"/>
            <w:tcBorders>
              <w:top w:val="single" w:color="000000" w:sz="2" w:space="0"/>
              <w:left w:val="nil"/>
              <w:bottom w:val="single" w:color="000000" w:sz="2" w:space="0"/>
              <w:right w:val="single" w:color="000000" w:sz="2" w:space="0"/>
            </w:tcBorders>
            <w:vAlign w:val="center"/>
          </w:tcPr>
          <w:p>
            <w:pPr>
              <w:pStyle w:val="132"/>
            </w:pPr>
            <w:r>
              <w:t>急救方案</w:t>
            </w:r>
          </w:p>
        </w:tc>
        <w:tc>
          <w:tcPr>
            <w:tcW w:w="8253" w:type="dxa"/>
            <w:gridSpan w:val="3"/>
            <w:tcBorders>
              <w:top w:val="single" w:color="000000" w:sz="2" w:space="0"/>
              <w:left w:val="single" w:color="000000" w:sz="2" w:space="0"/>
              <w:bottom w:val="single" w:color="000000" w:sz="2" w:space="0"/>
              <w:right w:val="nil"/>
            </w:tcBorders>
            <w:vAlign w:val="center"/>
          </w:tcPr>
          <w:p>
            <w:pPr>
              <w:pStyle w:val="132"/>
              <w:jc w:val="left"/>
            </w:pPr>
            <w:r>
              <w:t>吸入：应迅速离开现场至空气新鲜处，注意保暖，呼吸困难时给输氧。呼吸及心跳停止者应立即进行人工呼吸和心脏按压术。就医。对症治疗，注意防止脑水肿。</w:t>
            </w:r>
          </w:p>
          <w:p>
            <w:pPr>
              <w:pStyle w:val="132"/>
              <w:jc w:val="left"/>
            </w:pPr>
            <w:r>
              <w:t>皮肤接触：若有冻伤，就医治疗。</w:t>
            </w:r>
          </w:p>
        </w:tc>
      </w:tr>
      <w:tr>
        <w:tblPrEx>
          <w:tblCellMar>
            <w:top w:w="0" w:type="dxa"/>
            <w:left w:w="0" w:type="dxa"/>
            <w:bottom w:w="0" w:type="dxa"/>
            <w:right w:w="0" w:type="dxa"/>
          </w:tblCellMar>
        </w:tblPrEx>
        <w:trPr>
          <w:trHeight w:val="20" w:hRule="atLeast"/>
          <w:jc w:val="center"/>
        </w:trPr>
        <w:tc>
          <w:tcPr>
            <w:tcW w:w="474" w:type="dxa"/>
            <w:tcBorders>
              <w:top w:val="single" w:color="000000" w:sz="2" w:space="0"/>
              <w:left w:val="nil"/>
              <w:bottom w:val="single" w:color="000000" w:sz="2" w:space="0"/>
              <w:right w:val="single" w:color="000000" w:sz="2" w:space="0"/>
            </w:tcBorders>
            <w:vAlign w:val="center"/>
          </w:tcPr>
          <w:p>
            <w:pPr>
              <w:pStyle w:val="132"/>
            </w:pPr>
            <w:r>
              <w:t>防护措施</w:t>
            </w:r>
          </w:p>
        </w:tc>
        <w:tc>
          <w:tcPr>
            <w:tcW w:w="8253" w:type="dxa"/>
            <w:gridSpan w:val="3"/>
            <w:tcBorders>
              <w:top w:val="single" w:color="000000" w:sz="2" w:space="0"/>
              <w:left w:val="single" w:color="000000" w:sz="2" w:space="0"/>
              <w:bottom w:val="single" w:color="000000" w:sz="2" w:space="0"/>
              <w:right w:val="nil"/>
            </w:tcBorders>
            <w:vAlign w:val="center"/>
          </w:tcPr>
          <w:p>
            <w:pPr>
              <w:pStyle w:val="132"/>
              <w:jc w:val="left"/>
            </w:pPr>
            <w:r>
              <w:t>工程控制：生产过程密闭，全面通风。进入罐内或高浓度区作业，应有人监护。</w:t>
            </w:r>
          </w:p>
          <w:p>
            <w:pPr>
              <w:pStyle w:val="132"/>
              <w:jc w:val="left"/>
            </w:pPr>
            <w:r>
              <w:t>个体防护：高浓度环境，佩戴自给式呼吸器；一般可戴安全防护眼镜、防护手套、穿防静电工作服。</w:t>
            </w:r>
          </w:p>
          <w:p>
            <w:pPr>
              <w:pStyle w:val="132"/>
              <w:jc w:val="left"/>
            </w:pPr>
            <w:r>
              <w:t>其他：工作现场严禁吸烟。避免长期反复接触。进入限制性空间或其他高浓度作业区，须有人监护。</w:t>
            </w:r>
          </w:p>
        </w:tc>
      </w:tr>
      <w:tr>
        <w:tblPrEx>
          <w:tblCellMar>
            <w:top w:w="0" w:type="dxa"/>
            <w:left w:w="0" w:type="dxa"/>
            <w:bottom w:w="0" w:type="dxa"/>
            <w:right w:w="0" w:type="dxa"/>
          </w:tblCellMar>
        </w:tblPrEx>
        <w:trPr>
          <w:trHeight w:val="20" w:hRule="atLeast"/>
          <w:jc w:val="center"/>
        </w:trPr>
        <w:tc>
          <w:tcPr>
            <w:tcW w:w="474" w:type="dxa"/>
            <w:tcBorders>
              <w:top w:val="single" w:color="000000" w:sz="2" w:space="0"/>
              <w:left w:val="nil"/>
              <w:bottom w:val="single" w:color="000000" w:sz="12" w:space="0"/>
              <w:right w:val="single" w:color="000000" w:sz="2" w:space="0"/>
            </w:tcBorders>
            <w:vAlign w:val="center"/>
          </w:tcPr>
          <w:p>
            <w:pPr>
              <w:pStyle w:val="132"/>
            </w:pPr>
            <w:r>
              <w:t>泄漏处理</w:t>
            </w:r>
          </w:p>
        </w:tc>
        <w:tc>
          <w:tcPr>
            <w:tcW w:w="8253" w:type="dxa"/>
            <w:gridSpan w:val="3"/>
            <w:tcBorders>
              <w:top w:val="single" w:color="000000" w:sz="2" w:space="0"/>
              <w:left w:val="single" w:color="000000" w:sz="2" w:space="0"/>
              <w:bottom w:val="single" w:color="000000" w:sz="12" w:space="0"/>
              <w:right w:val="nil"/>
            </w:tcBorders>
            <w:vAlign w:val="center"/>
          </w:tcPr>
          <w:p>
            <w:pPr>
              <w:pStyle w:val="132"/>
              <w:jc w:val="left"/>
            </w:pPr>
            <w:r>
              <w:t>迅速撤离泄漏污染区人员至上风处，并进行隔离，严格限制出入。切断火源。尽可能切断泄漏源，合理通风，加速扩散。</w:t>
            </w:r>
          </w:p>
          <w:p>
            <w:pPr>
              <w:pStyle w:val="132"/>
              <w:jc w:val="left"/>
            </w:pPr>
            <w:r>
              <w:t>建议应急处理人员戴自给式呼吸器，穿一般消防防护服．切断气源，喷雾状水稀释、溶解，抽排（室内）或强力通风（室外）。如有可能，将漏出气用排风机送至空旷地方或装设适当喷头烧掉．也可以将漏气的容器移至空旷处，注意通风．漏气容器不能再用，且要经过技术处理以清除可能剩下的气体，修复、检验后再用。</w:t>
            </w:r>
          </w:p>
        </w:tc>
      </w:tr>
    </w:tbl>
    <w:p>
      <w:pPr>
        <w:pStyle w:val="112"/>
        <w:ind w:firstLine="480"/>
      </w:pPr>
      <w:r>
        <w:t>甲烷其危险有害因素分析如下：</w:t>
      </w:r>
    </w:p>
    <w:p>
      <w:pPr>
        <w:pStyle w:val="6"/>
        <w:ind w:firstLine="480"/>
        <w:rPr>
          <w:rFonts w:ascii="Times New Roman" w:cs="Times New Roman"/>
        </w:rPr>
      </w:pPr>
      <w:r>
        <w:rPr>
          <w:rFonts w:ascii="Times New Roman" w:cs="Times New Roman"/>
        </w:rPr>
        <w:t>（1）易燃性：天然气属于甲类火灾危险物质。对于石油蒸汽、天然气常常在作业场所或储存区弥散、扩散或在低洼处聚集，在空气中只要较小的点燃能量就会燃烧，因此具有较大的火灾危险性。</w:t>
      </w:r>
    </w:p>
    <w:p>
      <w:pPr>
        <w:pStyle w:val="6"/>
        <w:ind w:firstLine="480"/>
        <w:rPr>
          <w:rFonts w:ascii="Times New Roman" w:cs="Times New Roman"/>
        </w:rPr>
      </w:pPr>
      <w:r>
        <w:rPr>
          <w:rFonts w:ascii="Times New Roman" w:cs="Times New Roman"/>
        </w:rPr>
        <w:t>（2）易爆性：天然气与空气组成混合气体，其浓度处于一定范围时，连火即发生爆炸。天然气（甲烷）的爆炸极限范围为5%~14%，爆炸浓度极限范围愈宽，爆炸下限浓度值越低，物质爆炸危险性 就越大。上表列出了在0℃、101.325kPa条件下天然气主要成分的爆炸、燃烧特性。</w:t>
      </w:r>
    </w:p>
    <w:p>
      <w:pPr>
        <w:pStyle w:val="6"/>
        <w:ind w:firstLine="480"/>
        <w:rPr>
          <w:rFonts w:ascii="Times New Roman" w:cs="Times New Roman"/>
        </w:rPr>
      </w:pPr>
      <w:r>
        <w:rPr>
          <w:rFonts w:ascii="Times New Roman" w:cs="Times New Roman"/>
        </w:rPr>
        <w:t>（3）毒性：天然气为烃类混合物，属低毒性物质，但长期接触可导致神经衰弱综合症。甲烷属“单纯窒息性”气体，高浓度时因缺氧窒息而引起中毒，空气中甲烷浓度达到25%~30%时出现头晕，呼吸加速、运动失调。</w:t>
      </w:r>
    </w:p>
    <w:p>
      <w:pPr>
        <w:pStyle w:val="6"/>
        <w:ind w:firstLine="480"/>
        <w:rPr>
          <w:rFonts w:ascii="Times New Roman" w:cs="Times New Roman"/>
        </w:rPr>
      </w:pPr>
      <w:r>
        <w:rPr>
          <w:rFonts w:ascii="Times New Roman" w:cs="Times New Roman"/>
        </w:rPr>
        <w:t>（4）热膨胀性：石油及石油产品、天然气的体积随着温度的升高而膨胀，特别是天然气随温度升高膨胀特别明显．如果站场储存容器受暴晒或靠近高温热源，容器内的介质受热膨胀造成容器内压增大而膨胀。这种热胀冷缩作用往往损坏储存容器，造成介质泄漏。天然气储存容器在低温下还可能引起外压失稳。</w:t>
      </w:r>
    </w:p>
    <w:p>
      <w:pPr>
        <w:pStyle w:val="6"/>
        <w:ind w:firstLine="480"/>
        <w:rPr>
          <w:rFonts w:ascii="Times New Roman" w:cs="Times New Roman"/>
        </w:rPr>
      </w:pPr>
      <w:r>
        <w:rPr>
          <w:rFonts w:ascii="Times New Roman" w:cs="Times New Roman"/>
        </w:rPr>
        <w:t>（5）静电荷聚集性：虽然静电荷主要发生在油品的运输、流动、装卸等工艺中，但是压缩气体从管口或破损处高速喷出时，由于强烈的摩擦作用，也会产生静电；静电的危害主要是静电放电。如果静电放电产生的电火花能量达到或大于可燃物的最小点火能，就会立即引起燃烧、爆炸。</w:t>
      </w:r>
    </w:p>
    <w:p>
      <w:pPr>
        <w:pStyle w:val="6"/>
        <w:ind w:firstLine="480"/>
        <w:rPr>
          <w:rFonts w:ascii="Times New Roman" w:cs="Times New Roman"/>
        </w:rPr>
      </w:pPr>
      <w:r>
        <w:rPr>
          <w:rFonts w:ascii="Times New Roman" w:cs="Times New Roman"/>
        </w:rPr>
        <w:t>（6）易扩散性：天然气的泄漏不仅会影响管道的正常输送，污染周围的环境，甚至使人中毒，更为严重的是增加了火灾爆炸的危险。当管道系统密封不严时，天然气极易发生泄漏，并可随风四处扩散，遇到明火极易引起火灾或爆炸。甲烷特性见下表：</w:t>
      </w:r>
    </w:p>
    <w:p>
      <w:pPr>
        <w:pStyle w:val="125"/>
        <w:rPr>
          <w:rFonts w:eastAsia="宋体"/>
        </w:rPr>
      </w:pPr>
      <w:r>
        <w:rPr>
          <w:rFonts w:eastAsia="宋体"/>
        </w:rPr>
        <w:t>表7.6-2  甲烷的危险特性</w:t>
      </w:r>
    </w:p>
    <w:tbl>
      <w:tblPr>
        <w:tblStyle w:val="57"/>
        <w:tblW w:w="882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723"/>
        <w:gridCol w:w="1024"/>
        <w:gridCol w:w="1657"/>
        <w:gridCol w:w="2596"/>
        <w:gridCol w:w="182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2747" w:type="dxa"/>
            <w:gridSpan w:val="2"/>
            <w:vAlign w:val="center"/>
          </w:tcPr>
          <w:p>
            <w:pPr>
              <w:pStyle w:val="132"/>
            </w:pPr>
            <w:r>
              <w:t>临界温度℃</w:t>
            </w:r>
          </w:p>
        </w:tc>
        <w:tc>
          <w:tcPr>
            <w:tcW w:w="1657" w:type="dxa"/>
            <w:vAlign w:val="center"/>
          </w:tcPr>
          <w:p>
            <w:pPr>
              <w:pStyle w:val="132"/>
            </w:pPr>
            <w:r>
              <w:t>-79.48</w:t>
            </w:r>
          </w:p>
        </w:tc>
        <w:tc>
          <w:tcPr>
            <w:tcW w:w="2596" w:type="dxa"/>
            <w:vAlign w:val="center"/>
          </w:tcPr>
          <w:p>
            <w:pPr>
              <w:pStyle w:val="132"/>
            </w:pPr>
            <w:r>
              <w:t>燃烧热j/kmol</w:t>
            </w:r>
          </w:p>
        </w:tc>
        <w:tc>
          <w:tcPr>
            <w:tcW w:w="1821" w:type="dxa"/>
            <w:vAlign w:val="center"/>
          </w:tcPr>
          <w:p>
            <w:pPr>
              <w:pStyle w:val="132"/>
            </w:pPr>
            <w:r>
              <w:t>884768.6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3" w:hRule="atLeast"/>
          <w:jc w:val="center"/>
        </w:trPr>
        <w:tc>
          <w:tcPr>
            <w:tcW w:w="2747" w:type="dxa"/>
            <w:gridSpan w:val="2"/>
            <w:vAlign w:val="center"/>
          </w:tcPr>
          <w:p>
            <w:pPr>
              <w:pStyle w:val="132"/>
            </w:pPr>
            <w:r>
              <w:t>临界压力bar</w:t>
            </w:r>
          </w:p>
        </w:tc>
        <w:tc>
          <w:tcPr>
            <w:tcW w:w="1657" w:type="dxa"/>
            <w:vAlign w:val="center"/>
          </w:tcPr>
          <w:p>
            <w:pPr>
              <w:pStyle w:val="132"/>
            </w:pPr>
            <w:r>
              <w:t>46.5</w:t>
            </w:r>
          </w:p>
        </w:tc>
        <w:tc>
          <w:tcPr>
            <w:tcW w:w="2596" w:type="dxa"/>
            <w:vAlign w:val="center"/>
          </w:tcPr>
          <w:p>
            <w:pPr>
              <w:pStyle w:val="132"/>
            </w:pPr>
            <w:r>
              <w:t>LEF（%V/V）</w:t>
            </w:r>
          </w:p>
        </w:tc>
        <w:tc>
          <w:tcPr>
            <w:tcW w:w="1821" w:type="dxa"/>
            <w:vAlign w:val="center"/>
          </w:tcPr>
          <w:p>
            <w:pPr>
              <w:pStyle w:val="132"/>
            </w:pPr>
            <w:r>
              <w:t>4.56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2747" w:type="dxa"/>
            <w:gridSpan w:val="2"/>
            <w:vAlign w:val="center"/>
          </w:tcPr>
          <w:p>
            <w:pPr>
              <w:pStyle w:val="132"/>
            </w:pPr>
            <w:r>
              <w:t>标准沸点℃</w:t>
            </w:r>
          </w:p>
        </w:tc>
        <w:tc>
          <w:tcPr>
            <w:tcW w:w="1657" w:type="dxa"/>
            <w:vAlign w:val="center"/>
          </w:tcPr>
          <w:p>
            <w:pPr>
              <w:pStyle w:val="132"/>
            </w:pPr>
            <w:r>
              <w:t>-161.5</w:t>
            </w:r>
          </w:p>
        </w:tc>
        <w:tc>
          <w:tcPr>
            <w:tcW w:w="2596" w:type="dxa"/>
            <w:vAlign w:val="center"/>
          </w:tcPr>
          <w:p>
            <w:pPr>
              <w:pStyle w:val="132"/>
            </w:pPr>
            <w:r>
              <w:t>UFL（%V/V）</w:t>
            </w:r>
          </w:p>
        </w:tc>
        <w:tc>
          <w:tcPr>
            <w:tcW w:w="1821" w:type="dxa"/>
            <w:vAlign w:val="center"/>
          </w:tcPr>
          <w:p>
            <w:pPr>
              <w:pStyle w:val="132"/>
            </w:pPr>
            <w:r>
              <w:t>19.13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3" w:hRule="atLeast"/>
          <w:jc w:val="center"/>
        </w:trPr>
        <w:tc>
          <w:tcPr>
            <w:tcW w:w="2747" w:type="dxa"/>
            <w:gridSpan w:val="2"/>
            <w:vAlign w:val="center"/>
          </w:tcPr>
          <w:p>
            <w:pPr>
              <w:pStyle w:val="132"/>
            </w:pPr>
            <w:r>
              <w:t>熔点℃</w:t>
            </w:r>
          </w:p>
        </w:tc>
        <w:tc>
          <w:tcPr>
            <w:tcW w:w="1657" w:type="dxa"/>
            <w:vAlign w:val="center"/>
          </w:tcPr>
          <w:p>
            <w:pPr>
              <w:pStyle w:val="132"/>
            </w:pPr>
            <w:r>
              <w:t>-182.5</w:t>
            </w:r>
          </w:p>
        </w:tc>
        <w:tc>
          <w:tcPr>
            <w:tcW w:w="2596" w:type="dxa"/>
            <w:vAlign w:val="center"/>
          </w:tcPr>
          <w:p>
            <w:pPr>
              <w:pStyle w:val="132"/>
            </w:pPr>
            <w:r>
              <w:t>分子量kg/kmol</w:t>
            </w:r>
          </w:p>
        </w:tc>
        <w:tc>
          <w:tcPr>
            <w:tcW w:w="1821" w:type="dxa"/>
            <w:vAlign w:val="center"/>
          </w:tcPr>
          <w:p>
            <w:pPr>
              <w:pStyle w:val="132"/>
            </w:pPr>
            <w:r>
              <w:t>16.98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3" w:hRule="atLeast"/>
          <w:jc w:val="center"/>
        </w:trPr>
        <w:tc>
          <w:tcPr>
            <w:tcW w:w="2747" w:type="dxa"/>
            <w:gridSpan w:val="2"/>
            <w:vAlign w:val="center"/>
          </w:tcPr>
          <w:p>
            <w:pPr>
              <w:pStyle w:val="132"/>
            </w:pPr>
            <w:r>
              <w:t>最大辐射能kw/m</w:t>
            </w:r>
            <w:r>
              <w:rPr>
                <w:vertAlign w:val="superscript"/>
              </w:rPr>
              <w:t>2</w:t>
            </w:r>
          </w:p>
        </w:tc>
        <w:tc>
          <w:tcPr>
            <w:tcW w:w="1657" w:type="dxa"/>
            <w:vAlign w:val="center"/>
          </w:tcPr>
          <w:p>
            <w:pPr>
              <w:pStyle w:val="132"/>
            </w:pPr>
            <w:r>
              <w:t>200.28</w:t>
            </w:r>
          </w:p>
        </w:tc>
        <w:tc>
          <w:tcPr>
            <w:tcW w:w="2596" w:type="dxa"/>
            <w:vAlign w:val="center"/>
          </w:tcPr>
          <w:p>
            <w:pPr>
              <w:pStyle w:val="132"/>
            </w:pPr>
            <w:r>
              <w:t>最大燃烧率kg/m</w:t>
            </w:r>
            <w:r>
              <w:rPr>
                <w:vertAlign w:val="superscript"/>
              </w:rPr>
              <w:t>2</w:t>
            </w:r>
            <w:r>
              <w:t>·s</w:t>
            </w:r>
          </w:p>
        </w:tc>
        <w:tc>
          <w:tcPr>
            <w:tcW w:w="1821" w:type="dxa"/>
            <w:vAlign w:val="center"/>
          </w:tcPr>
          <w:p>
            <w:pPr>
              <w:pStyle w:val="132"/>
            </w:pPr>
            <w:r>
              <w:t>0.13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1723" w:type="dxa"/>
            <w:vMerge w:val="restart"/>
            <w:vAlign w:val="center"/>
          </w:tcPr>
          <w:p>
            <w:pPr>
              <w:pStyle w:val="132"/>
            </w:pPr>
            <w:r>
              <w:t>爆炸极限%（v）</w:t>
            </w:r>
          </w:p>
        </w:tc>
        <w:tc>
          <w:tcPr>
            <w:tcW w:w="1024" w:type="dxa"/>
            <w:vAlign w:val="center"/>
          </w:tcPr>
          <w:p>
            <w:pPr>
              <w:pStyle w:val="132"/>
            </w:pPr>
            <w:r>
              <w:t>上限</w:t>
            </w:r>
          </w:p>
        </w:tc>
        <w:tc>
          <w:tcPr>
            <w:tcW w:w="1657" w:type="dxa"/>
            <w:vAlign w:val="center"/>
          </w:tcPr>
          <w:p>
            <w:pPr>
              <w:pStyle w:val="132"/>
            </w:pPr>
            <w:r>
              <w:t>5.0</w:t>
            </w:r>
          </w:p>
        </w:tc>
        <w:tc>
          <w:tcPr>
            <w:tcW w:w="2596" w:type="dxa"/>
            <w:vAlign w:val="center"/>
          </w:tcPr>
          <w:p>
            <w:pPr>
              <w:pStyle w:val="132"/>
            </w:pPr>
            <w:r>
              <w:t>燃烧爆炸危险度</w:t>
            </w:r>
          </w:p>
        </w:tc>
        <w:tc>
          <w:tcPr>
            <w:tcW w:w="1821" w:type="dxa"/>
            <w:vAlign w:val="center"/>
          </w:tcPr>
          <w:p>
            <w:pPr>
              <w:pStyle w:val="132"/>
            </w:pPr>
            <w:r>
              <w:t>0.13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1723" w:type="dxa"/>
            <w:vMerge w:val="continue"/>
            <w:vAlign w:val="center"/>
          </w:tcPr>
          <w:p>
            <w:pPr>
              <w:pStyle w:val="132"/>
            </w:pPr>
          </w:p>
        </w:tc>
        <w:tc>
          <w:tcPr>
            <w:tcW w:w="1024" w:type="dxa"/>
            <w:vAlign w:val="center"/>
          </w:tcPr>
          <w:p>
            <w:pPr>
              <w:pStyle w:val="132"/>
            </w:pPr>
            <w:r>
              <w:t>下限</w:t>
            </w:r>
          </w:p>
        </w:tc>
        <w:tc>
          <w:tcPr>
            <w:tcW w:w="1657" w:type="dxa"/>
            <w:vAlign w:val="center"/>
          </w:tcPr>
          <w:p>
            <w:pPr>
              <w:pStyle w:val="132"/>
            </w:pPr>
            <w:r>
              <w:t>14.0</w:t>
            </w:r>
          </w:p>
        </w:tc>
        <w:tc>
          <w:tcPr>
            <w:tcW w:w="2596" w:type="dxa"/>
            <w:vAlign w:val="center"/>
          </w:tcPr>
          <w:p>
            <w:pPr>
              <w:pStyle w:val="132"/>
            </w:pPr>
            <w:r>
              <w:t>危险性类别</w:t>
            </w:r>
          </w:p>
        </w:tc>
        <w:tc>
          <w:tcPr>
            <w:tcW w:w="1821" w:type="dxa"/>
            <w:vAlign w:val="center"/>
          </w:tcPr>
          <w:p>
            <w:pPr>
              <w:pStyle w:val="132"/>
            </w:pPr>
            <w:r>
              <w:t>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2747" w:type="dxa"/>
            <w:gridSpan w:val="2"/>
            <w:vAlign w:val="center"/>
          </w:tcPr>
          <w:p>
            <w:pPr>
              <w:pStyle w:val="132"/>
            </w:pPr>
            <w:r>
              <w:t>密度kg/m</w:t>
            </w:r>
            <w:r>
              <w:rPr>
                <w:vertAlign w:val="superscript"/>
              </w:rPr>
              <w:t>3</w:t>
            </w:r>
          </w:p>
        </w:tc>
        <w:tc>
          <w:tcPr>
            <w:tcW w:w="6075" w:type="dxa"/>
            <w:gridSpan w:val="3"/>
            <w:vAlign w:val="center"/>
          </w:tcPr>
          <w:p>
            <w:pPr>
              <w:pStyle w:val="132"/>
            </w:pPr>
            <w:r>
              <w:t>0.72（标准状态下）</w:t>
            </w:r>
          </w:p>
        </w:tc>
      </w:tr>
    </w:tbl>
    <w:p>
      <w:pPr>
        <w:pStyle w:val="112"/>
        <w:ind w:firstLine="482"/>
        <w:rPr>
          <w:b/>
        </w:rPr>
      </w:pPr>
      <w:bookmarkStart w:id="536" w:name="_Toc12288731"/>
      <w:bookmarkStart w:id="537" w:name="_Toc19816104"/>
      <w:r>
        <w:rPr>
          <w:rFonts w:hint="eastAsia"/>
          <w:b/>
        </w:rPr>
        <w:t>2</w:t>
      </w:r>
      <w:r>
        <w:rPr>
          <w:b/>
        </w:rPr>
        <w:t>、</w:t>
      </w:r>
      <w:r>
        <w:rPr>
          <w:rFonts w:hint="eastAsia"/>
          <w:b/>
        </w:rPr>
        <w:t>柴油</w:t>
      </w:r>
    </w:p>
    <w:p>
      <w:pPr>
        <w:pStyle w:val="112"/>
        <w:ind w:firstLine="480"/>
      </w:pPr>
      <w:r>
        <w:rPr>
          <w:rFonts w:hint="eastAsia"/>
        </w:rPr>
        <w:t>柴油为稍有粘性的棕色液体，有气味。不溶于水，溶于有机溶剂。皮肤接触可致急性肾脏损害。柴油可引起接触性皮炎、油性座疮。吸入其雾滴或液体呛入可引起吸入性肺炎。能经胎盘进入胎儿血中。柴油废气可引起眼、鼻刺激性症状，头晕及头痛。</w:t>
      </w:r>
    </w:p>
    <w:p>
      <w:pPr>
        <w:pStyle w:val="112"/>
        <w:ind w:firstLine="480"/>
      </w:pPr>
      <w:r>
        <w:rPr>
          <w:rFonts w:hint="eastAsia"/>
        </w:rPr>
        <w:t>毒性：LD</w:t>
      </w:r>
      <w:r>
        <w:rPr>
          <w:rFonts w:hint="eastAsia"/>
          <w:vertAlign w:val="subscript"/>
        </w:rPr>
        <w:t>50</w:t>
      </w:r>
      <w:r>
        <w:rPr>
          <w:rFonts w:hint="eastAsia"/>
        </w:rPr>
        <w:t>、LC</w:t>
      </w:r>
      <w:r>
        <w:rPr>
          <w:rFonts w:hint="eastAsia"/>
          <w:vertAlign w:val="subscript"/>
        </w:rPr>
        <w:t>50</w:t>
      </w:r>
      <w:r>
        <w:rPr>
          <w:rFonts w:hint="eastAsia"/>
        </w:rPr>
        <w:t>无资料。柴油的毒性与煤油相似，但由于添加剂如硫化酯类的影响，毒性可以比煤油略大些。主要有麻醉和刺激作用。</w:t>
      </w:r>
    </w:p>
    <w:p>
      <w:pPr>
        <w:pStyle w:val="112"/>
        <w:ind w:firstLine="480"/>
      </w:pPr>
      <w:r>
        <w:rPr>
          <w:rFonts w:hint="eastAsia"/>
        </w:rPr>
        <w:t>危险特性：易燃，具刺激性。遇明火、高热源或与氧化剂接触，有引起燃烧爆炸的危险。若遇高热，容器内压增大，有开裂和爆炸的危险。</w:t>
      </w:r>
    </w:p>
    <w:p>
      <w:pPr>
        <w:topLinePunct w:val="0"/>
        <w:adjustRightInd/>
        <w:spacing w:line="240" w:lineRule="auto"/>
        <w:ind w:firstLine="0" w:firstLineChars="0"/>
        <w:jc w:val="center"/>
        <w:rPr>
          <w:rFonts w:ascii="Times New Roman" w:cs="Times New Roman"/>
          <w:kern w:val="2"/>
          <w:sz w:val="21"/>
          <w:szCs w:val="21"/>
        </w:rPr>
      </w:pPr>
      <w:bookmarkStart w:id="538" w:name="_Toc499634210"/>
      <w:r>
        <w:rPr>
          <w:rFonts w:ascii="Times New Roman" w:hAnsi="宋体" w:cs="Times New Roman"/>
          <w:b/>
          <w:bCs/>
          <w:kern w:val="2"/>
          <w:sz w:val="21"/>
          <w:szCs w:val="21"/>
        </w:rPr>
        <w:t>表7.6-</w:t>
      </w:r>
      <w:r>
        <w:rPr>
          <w:rFonts w:hint="eastAsia" w:ascii="Times New Roman" w:hAnsi="宋体" w:cs="Times New Roman"/>
          <w:b/>
          <w:bCs/>
          <w:kern w:val="2"/>
          <w:sz w:val="21"/>
          <w:szCs w:val="21"/>
        </w:rPr>
        <w:t>3</w:t>
      </w:r>
      <w:r>
        <w:rPr>
          <w:rFonts w:ascii="Times New Roman" w:hAnsi="宋体" w:cs="Times New Roman"/>
          <w:b/>
          <w:bCs/>
          <w:kern w:val="2"/>
          <w:sz w:val="21"/>
          <w:szCs w:val="21"/>
        </w:rPr>
        <w:t xml:space="preserve"> </w:t>
      </w:r>
      <w:r>
        <w:rPr>
          <w:rFonts w:hint="eastAsia" w:ascii="Times New Roman" w:hAnsi="宋体" w:cs="Times New Roman"/>
          <w:b/>
          <w:kern w:val="2"/>
          <w:sz w:val="21"/>
          <w:szCs w:val="21"/>
        </w:rPr>
        <w:t xml:space="preserve"> </w:t>
      </w:r>
      <w:r>
        <w:rPr>
          <w:rFonts w:ascii="Times New Roman" w:hAnsi="宋体" w:cs="Times New Roman"/>
          <w:b/>
          <w:kern w:val="2"/>
          <w:sz w:val="21"/>
          <w:szCs w:val="21"/>
        </w:rPr>
        <w:t>柴油</w:t>
      </w:r>
      <w:bookmarkEnd w:id="538"/>
      <w:r>
        <w:rPr>
          <w:rFonts w:ascii="Times New Roman" w:hAnsi="宋体" w:cs="Times New Roman"/>
          <w:b/>
          <w:bCs/>
          <w:kern w:val="2"/>
          <w:sz w:val="21"/>
          <w:szCs w:val="21"/>
        </w:rPr>
        <w:t>理化性质及危险特性</w:t>
      </w:r>
    </w:p>
    <w:tbl>
      <w:tblPr>
        <w:tblStyle w:val="57"/>
        <w:tblW w:w="852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551"/>
        <w:gridCol w:w="69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20" w:hRule="atLeast"/>
          <w:tblHeader/>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b/>
                <w:sz w:val="21"/>
                <w:szCs w:val="21"/>
              </w:rPr>
            </w:pPr>
            <w:r>
              <w:rPr>
                <w:rFonts w:ascii="Times New Roman" w:hAnsi="宋体" w:cs="Times New Roman"/>
                <w:b/>
                <w:sz w:val="21"/>
                <w:szCs w:val="21"/>
              </w:rPr>
              <w:t>项目</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b/>
                <w:bCs/>
                <w:kern w:val="2"/>
                <w:sz w:val="21"/>
                <w:szCs w:val="21"/>
              </w:rPr>
            </w:pPr>
            <w:r>
              <w:rPr>
                <w:rFonts w:ascii="Times New Roman" w:hAnsi="宋体" w:cs="Times New Roman"/>
                <w:b/>
                <w:kern w:val="2"/>
                <w:sz w:val="21"/>
                <w:szCs w:val="21"/>
              </w:rPr>
              <w:t>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标识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中文名称</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柴油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英文名称</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Diesel Oil</w:t>
            </w:r>
            <w:r>
              <w:rPr>
                <w:rFonts w:ascii="Times New Roman" w:hAnsi="宋体" w:cs="Times New Roman"/>
                <w:kern w:val="2"/>
                <w:sz w:val="21"/>
                <w:szCs w:val="21"/>
              </w:rPr>
              <w:t>；</w:t>
            </w:r>
            <w:r>
              <w:rPr>
                <w:rFonts w:ascii="Times New Roman" w:cs="Times New Roman"/>
                <w:kern w:val="2"/>
                <w:sz w:val="21"/>
                <w:szCs w:val="21"/>
              </w:rPr>
              <w:t>Diesel Fuel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分子式</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复杂</w:t>
            </w:r>
            <w:r>
              <w:fldChar w:fldCharType="begin"/>
            </w:r>
            <w:r>
              <w:instrText xml:space="preserve"> HYPERLINK "http://baike.baidu.com/view/2278558.htm" \t "_blank" </w:instrText>
            </w:r>
            <w:r>
              <w:fldChar w:fldCharType="separate"/>
            </w:r>
            <w:r>
              <w:rPr>
                <w:rFonts w:ascii="Times New Roman" w:hAnsi="宋体" w:cs="Times New Roman"/>
                <w:kern w:val="2"/>
                <w:sz w:val="21"/>
                <w:szCs w:val="21"/>
              </w:rPr>
              <w:t>烃类</w:t>
            </w:r>
            <w:r>
              <w:rPr>
                <w:rFonts w:ascii="Times New Roman" w:hAnsi="宋体" w:cs="Times New Roman"/>
                <w:kern w:val="2"/>
                <w:sz w:val="21"/>
                <w:szCs w:val="21"/>
              </w:rPr>
              <w:fldChar w:fldCharType="end"/>
            </w:r>
            <w:r>
              <w:rPr>
                <w:rFonts w:ascii="Times New Roman" w:hAnsi="宋体" w:cs="Times New Roman"/>
                <w:kern w:val="2"/>
                <w:sz w:val="21"/>
                <w:szCs w:val="21"/>
              </w:rPr>
              <w:t>（碳原子数约</w:t>
            </w:r>
            <w:r>
              <w:rPr>
                <w:rFonts w:ascii="Times New Roman" w:cs="Times New Roman"/>
                <w:kern w:val="2"/>
                <w:sz w:val="21"/>
                <w:szCs w:val="21"/>
              </w:rPr>
              <w:t>10</w:t>
            </w:r>
            <w:r>
              <w:rPr>
                <w:rFonts w:ascii="Times New Roman" w:hAnsi="宋体" w:cs="Times New Roman"/>
                <w:kern w:val="2"/>
                <w:sz w:val="21"/>
                <w:szCs w:val="21"/>
              </w:rPr>
              <w:t>～</w:t>
            </w:r>
            <w:r>
              <w:rPr>
                <w:rFonts w:ascii="Times New Roman" w:cs="Times New Roman"/>
                <w:kern w:val="2"/>
                <w:sz w:val="21"/>
                <w:szCs w:val="21"/>
              </w:rPr>
              <w:t>22</w:t>
            </w:r>
            <w:r>
              <w:rPr>
                <w:rFonts w:ascii="Times New Roman" w:hAnsi="宋体" w:cs="Times New Roman"/>
                <w:kern w:val="2"/>
                <w:sz w:val="21"/>
                <w:szCs w:val="21"/>
              </w:rPr>
              <w:t>）</w:t>
            </w:r>
            <w:r>
              <w:fldChar w:fldCharType="begin"/>
            </w:r>
            <w:r>
              <w:instrText xml:space="preserve"> HYPERLINK "http://baike.baidu.com/view/62511.htm" \t "_blank" </w:instrText>
            </w:r>
            <w:r>
              <w:fldChar w:fldCharType="separate"/>
            </w:r>
            <w:r>
              <w:rPr>
                <w:rFonts w:ascii="Times New Roman" w:hAnsi="宋体" w:cs="Times New Roman"/>
                <w:kern w:val="2"/>
                <w:sz w:val="21"/>
                <w:szCs w:val="21"/>
              </w:rPr>
              <w:t>混合物</w:t>
            </w:r>
            <w:r>
              <w:rPr>
                <w:rFonts w:ascii="Times New Roman" w:hAnsi="宋体" w:cs="Times New Roman"/>
                <w:kern w:val="2"/>
                <w:sz w:val="21"/>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分子量</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CAS</w:t>
            </w:r>
            <w:r>
              <w:rPr>
                <w:rFonts w:ascii="Times New Roman" w:hAnsi="宋体" w:cs="Times New Roman"/>
                <w:sz w:val="21"/>
                <w:szCs w:val="21"/>
              </w:rPr>
              <w:t>号</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危险性类别</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性状与用途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外观与性状</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稍有粘性的棕色液体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主要用途</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用作柴油机的燃料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理化性质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熔点（</w:t>
            </w:r>
            <w:r>
              <w:rPr>
                <w:rFonts w:ascii="Times New Roman" w:cs="Times New Roman"/>
                <w:sz w:val="21"/>
                <w:szCs w:val="21"/>
              </w:rPr>
              <w:t>℃</w:t>
            </w:r>
            <w:r>
              <w:rPr>
                <w:rFonts w:ascii="Times New Roman" w:hAnsi="宋体" w:cs="Times New Roman"/>
                <w:sz w:val="21"/>
                <w:szCs w:val="21"/>
              </w:rPr>
              <w:t>）</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沸点（</w:t>
            </w:r>
            <w:r>
              <w:rPr>
                <w:rFonts w:ascii="Times New Roman" w:cs="Times New Roman"/>
                <w:sz w:val="21"/>
                <w:szCs w:val="21"/>
              </w:rPr>
              <w:t>℃</w:t>
            </w:r>
            <w:r>
              <w:rPr>
                <w:rFonts w:ascii="Times New Roman" w:hAnsi="宋体" w:cs="Times New Roman"/>
                <w:sz w:val="21"/>
                <w:szCs w:val="21"/>
              </w:rPr>
              <w:t>）</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282-338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相对密度</w:t>
            </w:r>
          </w:p>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（水</w:t>
            </w:r>
            <w:r>
              <w:rPr>
                <w:rFonts w:ascii="Times New Roman" w:cs="Times New Roman"/>
                <w:sz w:val="21"/>
                <w:szCs w:val="21"/>
              </w:rPr>
              <w:t>=1</w:t>
            </w:r>
            <w:r>
              <w:rPr>
                <w:rFonts w:ascii="Times New Roman" w:hAnsi="宋体" w:cs="Times New Roman"/>
                <w:sz w:val="21"/>
                <w:szCs w:val="21"/>
              </w:rPr>
              <w:t>）</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0.87-0.9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相对蒸汽密度</w:t>
            </w:r>
          </w:p>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（空气</w:t>
            </w:r>
            <w:r>
              <w:rPr>
                <w:rFonts w:ascii="Times New Roman" w:cs="Times New Roman"/>
                <w:sz w:val="21"/>
                <w:szCs w:val="21"/>
              </w:rPr>
              <w:t>=1</w:t>
            </w:r>
            <w:r>
              <w:rPr>
                <w:rFonts w:ascii="Times New Roman" w:hAnsi="宋体" w:cs="Times New Roman"/>
                <w:sz w:val="21"/>
                <w:szCs w:val="21"/>
              </w:rPr>
              <w:t>）</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溶解性</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不溶于水，易溶于醇和其他稀释剂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529" w:type="dxa"/>
            <w:gridSpan w:val="2"/>
            <w:shd w:val="clear" w:color="auto" w:fill="FFFFFF" w:themeFill="background1"/>
            <w:vAlign w:val="center"/>
          </w:tcPr>
          <w:p>
            <w:pPr>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健康危害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侵入途径</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吸入、食入、经皮吸收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健康危害</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皮肤接触可为主要吸收途径，可致急性肾脏损害，可引起接触性皮炎、油性痤疮；吸入其雾滴或液体呛入可引起吸入性肺炎，能经胎盘进入胎儿血中；废气可引起眼、鼻刺激症状，头晕及头痛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环境资料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对环境有危害，对水体和大气可造成污染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燃爆特性与消防要求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燃爆危险</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本品易燃，具刺激性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危险特性</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遇明火、高热或与氧化剂接触，有引起燃烧爆炸的危险。若遇高热，容器内压增大，有开裂和爆炸的危险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灭火方法</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529" w:type="dxa"/>
            <w:gridSpan w:val="2"/>
            <w:shd w:val="clear" w:color="auto" w:fill="FFFFFF" w:themeFill="background1"/>
            <w:vAlign w:val="center"/>
          </w:tcPr>
          <w:p>
            <w:pPr>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稳定性和反应活性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稳定性</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禁配物</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强氧化剂、卤素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避免接触</w:t>
            </w:r>
          </w:p>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的条件</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高温、明火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聚合危害</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不聚合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燃烧（分解）产物</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一氧化碳、二氧化碳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储运注意事项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储存于阴凉、干燥、通风仓间内；远离火种、热源，防止阳光直射，保持容器密封；应与碱类、金属粉末等分开存放；露天储罐夏季要有降温措施；分装和搬运作业要注意个人防护；搬运时要轻装轻卸，防止包装及容器损坏；运输按规定路线行驶，勿在居民区和人口稠密区停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急救措施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皮肤接触</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立即脱去污染的衣着，用肥皂水和清水彻底冲洗皮肤；就医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眼睛接触</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提起眼睑，用流动清水或生理盐水冲洗；就医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吸入</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迅速脱离现场至空气新鲜处；保持呼吸道通畅；如呼吸困难，给输氧；如呼吸停止，立即进行人工呼吸；就医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食入</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尽快彻底洗胃，就医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防护措施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工程控制</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密闭操作，注意通风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呼吸系统防护</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空气中浓度超标时，建议佩戴自吸过滤式防毒面具（半面罩），紧急事态抢救或撤离时，应该佩戴空气呼吸器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眼睛防护</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戴化学安全防护眼镜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身体防护</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穿一般作业防护服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手防护</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戴橡胶耐油手套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551"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hAnsi="宋体" w:cs="Times New Roman"/>
                <w:sz w:val="21"/>
                <w:szCs w:val="21"/>
              </w:rPr>
              <w:t>其他要求</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工作现场严禁吸烟，避免长期反复接触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泄漏应急处置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hAnsi="宋体" w:cs="Times New Roman"/>
                <w:kern w:val="2"/>
                <w:sz w:val="21"/>
                <w:szCs w:val="21"/>
              </w:rPr>
              <w:t>迅速撤离泄漏污染区人员至安全区，并进行隔离，严格限制出入；建议应急处理人员戴自给正压式呼吸器，穿防酸碱工作服；不要直接接触泄漏物，尽可能切断泄漏源；防止进入下水道、排洪沟等限制性空间；小量泄漏：用砂土、或其它惰性材料吸收，也可用大量水冲洗，洗水稀释后放入废水系统；大量泄漏：构筑围堤或挖坑收容；用泵转移至槽车或专用收集器内，回收</w:t>
            </w:r>
          </w:p>
        </w:tc>
      </w:tr>
    </w:tbl>
    <w:p>
      <w:pPr>
        <w:pStyle w:val="112"/>
        <w:ind w:firstLine="482"/>
        <w:rPr>
          <w:b/>
          <w:bCs/>
        </w:rPr>
      </w:pPr>
      <w:r>
        <w:rPr>
          <w:rFonts w:hint="eastAsia"/>
          <w:b/>
          <w:bCs/>
        </w:rPr>
        <w:t>3</w:t>
      </w:r>
      <w:r>
        <w:rPr>
          <w:b/>
          <w:bCs/>
        </w:rPr>
        <w:t>、</w:t>
      </w:r>
      <w:r>
        <w:rPr>
          <w:rFonts w:hint="eastAsia"/>
          <w:b/>
          <w:bCs/>
        </w:rPr>
        <w:t>凝析油</w:t>
      </w:r>
    </w:p>
    <w:p>
      <w:pPr>
        <w:pStyle w:val="112"/>
        <w:ind w:firstLine="480"/>
        <w:rPr>
          <w:bCs/>
        </w:rPr>
      </w:pPr>
      <w:r>
        <w:rPr>
          <w:bCs/>
        </w:rPr>
        <w:t>凝析油的理化性质 凝析油的化学名是正戊烷</w:t>
      </w:r>
      <w:r>
        <w:rPr>
          <w:rFonts w:hint="eastAsia"/>
          <w:bCs/>
        </w:rPr>
        <w:t>，</w:t>
      </w:r>
      <w:r>
        <w:rPr>
          <w:bCs/>
        </w:rPr>
        <w:t>主要成分是 C5</w:t>
      </w:r>
      <w:r>
        <w:rPr>
          <w:rFonts w:hint="eastAsia"/>
          <w:bCs/>
        </w:rPr>
        <w:t>，</w:t>
      </w:r>
      <w:r>
        <w:rPr>
          <w:bCs/>
        </w:rPr>
        <w:t>分子量 72.15</w:t>
      </w:r>
      <w:r>
        <w:rPr>
          <w:rFonts w:hint="eastAsia"/>
          <w:bCs/>
        </w:rPr>
        <w:t>，</w:t>
      </w:r>
      <w:r>
        <w:rPr>
          <w:bCs/>
        </w:rPr>
        <w:t>相对密 度 0.63</w:t>
      </w:r>
      <w:r>
        <w:rPr>
          <w:rFonts w:hint="eastAsia"/>
          <w:bCs/>
        </w:rPr>
        <w:t>，</w:t>
      </w:r>
      <w:r>
        <w:rPr>
          <w:bCs/>
        </w:rPr>
        <w:t>固态熔点</w:t>
      </w:r>
      <w:r>
        <w:rPr>
          <w:rFonts w:hint="eastAsia"/>
          <w:bCs/>
        </w:rPr>
        <w:t>（</w:t>
      </w:r>
      <w:r>
        <w:rPr>
          <w:bCs/>
        </w:rPr>
        <w:t>凝固点</w:t>
      </w:r>
      <w:r>
        <w:rPr>
          <w:rFonts w:hint="eastAsia"/>
          <w:bCs/>
        </w:rPr>
        <w:t>）</w:t>
      </w:r>
      <w:r>
        <w:rPr>
          <w:bCs/>
        </w:rPr>
        <w:t>-129.8</w:t>
      </w:r>
      <w:r>
        <w:rPr>
          <w:rFonts w:hint="eastAsia" w:ascii="宋体" w:hAnsi="宋体" w:cs="宋体"/>
          <w:bCs/>
        </w:rPr>
        <w:t>℃</w:t>
      </w:r>
      <w:r>
        <w:rPr>
          <w:rFonts w:hint="eastAsia"/>
          <w:bCs/>
        </w:rPr>
        <w:t>，</w:t>
      </w:r>
      <w:r>
        <w:rPr>
          <w:bCs/>
        </w:rPr>
        <w:t>液态沸点 36.1</w:t>
      </w:r>
      <w:r>
        <w:rPr>
          <w:rFonts w:hint="eastAsia" w:ascii="宋体" w:hAnsi="宋体" w:cs="宋体"/>
          <w:bCs/>
        </w:rPr>
        <w:t>℃</w:t>
      </w:r>
      <w:r>
        <w:rPr>
          <w:rFonts w:hint="eastAsia"/>
          <w:bCs/>
        </w:rPr>
        <w:t>，</w:t>
      </w:r>
      <w:r>
        <w:rPr>
          <w:bCs/>
        </w:rPr>
        <w:t>气态闪点 -40</w:t>
      </w:r>
      <w:r>
        <w:rPr>
          <w:rFonts w:hint="eastAsia" w:ascii="宋体" w:hAnsi="宋体" w:cs="宋体"/>
          <w:bCs/>
        </w:rPr>
        <w:t>℃</w:t>
      </w:r>
      <w:r>
        <w:rPr>
          <w:bCs/>
        </w:rPr>
        <w:t>。常温下为无色液体</w:t>
      </w:r>
      <w:r>
        <w:rPr>
          <w:rFonts w:hint="eastAsia"/>
          <w:bCs/>
        </w:rPr>
        <w:t>，</w:t>
      </w:r>
      <w:r>
        <w:rPr>
          <w:bCs/>
        </w:rPr>
        <w:t>有微弱的薄荷香味。属于</w:t>
      </w:r>
      <w:r>
        <w:rPr>
          <w:rFonts w:hint="eastAsia"/>
          <w:bCs/>
        </w:rPr>
        <w:t>易燃液体。</w:t>
      </w:r>
    </w:p>
    <w:p>
      <w:pPr>
        <w:pStyle w:val="112"/>
        <w:ind w:firstLine="482"/>
        <w:rPr>
          <w:b/>
          <w:bCs/>
        </w:rPr>
      </w:pPr>
      <w:r>
        <w:rPr>
          <w:rFonts w:hint="eastAsia"/>
          <w:b/>
          <w:bCs/>
        </w:rPr>
        <w:t>4</w:t>
      </w:r>
      <w:r>
        <w:rPr>
          <w:b/>
          <w:bCs/>
        </w:rPr>
        <w:t>、</w:t>
      </w:r>
      <w:r>
        <w:rPr>
          <w:rFonts w:hint="eastAsia"/>
          <w:b/>
          <w:bCs/>
        </w:rPr>
        <w:t>压裂、洗井废水</w:t>
      </w:r>
    </w:p>
    <w:p>
      <w:pPr>
        <w:pStyle w:val="112"/>
        <w:ind w:firstLine="480"/>
      </w:pPr>
      <w:r>
        <w:rPr>
          <w:rFonts w:hint="eastAsia"/>
        </w:rPr>
        <w:t>压裂、洗井废水</w:t>
      </w:r>
      <w:r>
        <w:t>中包含有大量的离子及微量元素，阳离子主要为K</w:t>
      </w:r>
      <w:r>
        <w:rPr>
          <w:vertAlign w:val="superscript"/>
        </w:rPr>
        <w:t>+</w:t>
      </w:r>
      <w:r>
        <w:t>、Na</w:t>
      </w:r>
      <w:r>
        <w:rPr>
          <w:vertAlign w:val="superscript"/>
        </w:rPr>
        <w:t>+</w:t>
      </w:r>
      <w:r>
        <w:t>、Ca</w:t>
      </w:r>
      <w:r>
        <w:rPr>
          <w:vertAlign w:val="superscript"/>
        </w:rPr>
        <w:t>2+</w:t>
      </w:r>
      <w:r>
        <w:t>、Mg</w:t>
      </w:r>
      <w:r>
        <w:rPr>
          <w:vertAlign w:val="superscript"/>
        </w:rPr>
        <w:t>2+</w:t>
      </w:r>
      <w:r>
        <w:t>、Ba</w:t>
      </w:r>
      <w:r>
        <w:rPr>
          <w:vertAlign w:val="superscript"/>
        </w:rPr>
        <w:t>2+</w:t>
      </w:r>
      <w:r>
        <w:t>、Sr</w:t>
      </w:r>
      <w:r>
        <w:rPr>
          <w:vertAlign w:val="superscript"/>
        </w:rPr>
        <w:t>2+</w:t>
      </w:r>
      <w:r>
        <w:t>，阴离子主要为Cl</w:t>
      </w:r>
      <w:r>
        <w:rPr>
          <w:vertAlign w:val="superscript"/>
        </w:rPr>
        <w:t>-</w:t>
      </w:r>
      <w:r>
        <w:t>、Br</w:t>
      </w:r>
      <w:r>
        <w:rPr>
          <w:vertAlign w:val="superscript"/>
        </w:rPr>
        <w:t>-</w:t>
      </w:r>
      <w:r>
        <w:t>等，</w:t>
      </w:r>
      <w:r>
        <w:rPr>
          <w:rFonts w:hint="eastAsia"/>
        </w:rPr>
        <w:t>压裂、洗井废水</w:t>
      </w:r>
      <w:r>
        <w:t>为淡青色、酸性，具有一定的腐蚀能力，从环境方面</w:t>
      </w:r>
      <w:r>
        <w:rPr>
          <w:rFonts w:hint="eastAsia"/>
        </w:rPr>
        <w:t>压裂、洗井废水</w:t>
      </w:r>
      <w:r>
        <w:t>主要表现的危害为腐蚀性和毒性，属于危害水环境物质，但不属于急性毒性类别1中物质。</w:t>
      </w:r>
    </w:p>
    <w:p>
      <w:pPr>
        <w:pStyle w:val="112"/>
        <w:ind w:firstLine="482"/>
        <w:rPr>
          <w:b/>
          <w:bCs/>
        </w:rPr>
      </w:pPr>
      <w:r>
        <w:rPr>
          <w:rFonts w:hint="eastAsia"/>
          <w:b/>
          <w:bCs/>
        </w:rPr>
        <w:t>5</w:t>
      </w:r>
      <w:r>
        <w:rPr>
          <w:b/>
          <w:bCs/>
        </w:rPr>
        <w:t>、气田水</w:t>
      </w:r>
    </w:p>
    <w:p>
      <w:pPr>
        <w:pStyle w:val="112"/>
        <w:ind w:firstLine="480"/>
      </w:pPr>
      <w:r>
        <w:t>气田水中包含有大量的离子及微量元素，阳离子主要为K</w:t>
      </w:r>
      <w:r>
        <w:rPr>
          <w:vertAlign w:val="superscript"/>
        </w:rPr>
        <w:t>+</w:t>
      </w:r>
      <w:r>
        <w:t>、Na</w:t>
      </w:r>
      <w:r>
        <w:rPr>
          <w:vertAlign w:val="superscript"/>
        </w:rPr>
        <w:t>+</w:t>
      </w:r>
      <w:r>
        <w:t>、Ca</w:t>
      </w:r>
      <w:r>
        <w:rPr>
          <w:vertAlign w:val="superscript"/>
        </w:rPr>
        <w:t>2+</w:t>
      </w:r>
      <w:r>
        <w:t>、Mg</w:t>
      </w:r>
      <w:r>
        <w:rPr>
          <w:vertAlign w:val="superscript"/>
        </w:rPr>
        <w:t>2+</w:t>
      </w:r>
      <w:r>
        <w:t>、Ba</w:t>
      </w:r>
      <w:r>
        <w:rPr>
          <w:vertAlign w:val="superscript"/>
        </w:rPr>
        <w:t>2+</w:t>
      </w:r>
      <w:r>
        <w:t>、Sr</w:t>
      </w:r>
      <w:r>
        <w:rPr>
          <w:vertAlign w:val="superscript"/>
        </w:rPr>
        <w:t>2+</w:t>
      </w:r>
      <w:r>
        <w:t>，阴离子主要为Cl</w:t>
      </w:r>
      <w:r>
        <w:rPr>
          <w:vertAlign w:val="superscript"/>
        </w:rPr>
        <w:t>-</w:t>
      </w:r>
      <w:r>
        <w:t>、Br</w:t>
      </w:r>
      <w:r>
        <w:rPr>
          <w:vertAlign w:val="superscript"/>
        </w:rPr>
        <w:t>-</w:t>
      </w:r>
      <w:r>
        <w:t>等，气田水为淡青色、酸性，具有一定的腐蚀能力，从环境方面气田水主要表现的危害为腐蚀性和毒性，属于危害水环境物质，但不属于急性毒性类别1中物质。</w:t>
      </w:r>
    </w:p>
    <w:p>
      <w:pPr>
        <w:pStyle w:val="4"/>
        <w:rPr>
          <w:rFonts w:eastAsia="宋体"/>
        </w:rPr>
      </w:pPr>
      <w:r>
        <w:rPr>
          <w:rFonts w:eastAsia="宋体"/>
        </w:rPr>
        <w:t>7.6.2 生产系统危险性识别</w:t>
      </w:r>
      <w:bookmarkEnd w:id="536"/>
      <w:bookmarkEnd w:id="537"/>
    </w:p>
    <w:p>
      <w:pPr>
        <w:pStyle w:val="112"/>
        <w:ind w:firstLine="480"/>
      </w:pPr>
      <w:r>
        <w:t>生产系统危险性识别首先参照本工程各生产装置、储运设施、公用工程和辅助生产设施以及环境保护措施，由此可识别工程建设生产过程中的风险源。</w:t>
      </w:r>
    </w:p>
    <w:p>
      <w:pPr>
        <w:pStyle w:val="112"/>
        <w:ind w:firstLine="480"/>
      </w:pPr>
      <w:r>
        <w:t>危险单元是由一个或多个风险源构成的具有相对独立功能的单元，一个独立的危险单元在事故状况下应可实现与其他功能单元的分割。本项目通过管线</w:t>
      </w:r>
      <w:r>
        <w:rPr>
          <w:rFonts w:hint="eastAsia"/>
        </w:rPr>
        <w:t>涉及</w:t>
      </w:r>
      <w:r>
        <w:t>站场划分危险单元，共划分为</w:t>
      </w:r>
      <w:r>
        <w:rPr>
          <w:rFonts w:hint="eastAsia"/>
        </w:rPr>
        <w:t>5</w:t>
      </w:r>
      <w:r>
        <w:t>个危险单元，分别为：</w:t>
      </w:r>
    </w:p>
    <w:p>
      <w:pPr>
        <w:pStyle w:val="112"/>
        <w:ind w:firstLine="480"/>
      </w:pPr>
      <w:r>
        <w:rPr>
          <w:rFonts w:hint="eastAsia" w:ascii="宋体" w:hAnsi="宋体" w:cs="宋体"/>
        </w:rPr>
        <w:t>①</w:t>
      </w:r>
      <w:r>
        <w:t>普陆4集气平台；</w:t>
      </w:r>
    </w:p>
    <w:p>
      <w:pPr>
        <w:pStyle w:val="112"/>
        <w:ind w:firstLine="480"/>
      </w:pPr>
      <w:r>
        <w:rPr>
          <w:rFonts w:hint="eastAsia" w:ascii="宋体" w:hAnsi="宋体" w:cs="宋体"/>
        </w:rPr>
        <w:t>②</w:t>
      </w:r>
      <w:r>
        <w:t>普陆4集气平台~</w:t>
      </w:r>
      <w:r>
        <w:rPr>
          <w:rFonts w:hint="eastAsia"/>
        </w:rPr>
        <w:t>P107集气站集气管道</w:t>
      </w:r>
      <w:r>
        <w:t>；</w:t>
      </w:r>
    </w:p>
    <w:p>
      <w:pPr>
        <w:pStyle w:val="112"/>
        <w:ind w:firstLine="480"/>
      </w:pPr>
      <w:r>
        <w:rPr>
          <w:rFonts w:hint="eastAsia" w:ascii="宋体" w:hAnsi="宋体" w:cs="宋体"/>
        </w:rPr>
        <w:t>③</w:t>
      </w:r>
      <w:r>
        <w:rPr>
          <w:rFonts w:hint="eastAsia"/>
        </w:rPr>
        <w:t>柴油储罐；</w:t>
      </w:r>
    </w:p>
    <w:p>
      <w:pPr>
        <w:pStyle w:val="112"/>
        <w:ind w:firstLine="480"/>
      </w:pPr>
      <w:r>
        <w:rPr>
          <w:rFonts w:hint="eastAsia" w:ascii="宋体" w:hAnsi="宋体"/>
        </w:rPr>
        <w:t>④凝析油储罐；</w:t>
      </w:r>
    </w:p>
    <w:p>
      <w:pPr>
        <w:pStyle w:val="112"/>
        <w:ind w:firstLine="480"/>
      </w:pPr>
      <w:r>
        <w:rPr>
          <w:rFonts w:hint="eastAsia" w:ascii="宋体" w:hAnsi="宋体"/>
        </w:rPr>
        <w:t>⑤污水缓冲罐</w:t>
      </w:r>
      <w:r>
        <w:t>。</w:t>
      </w:r>
    </w:p>
    <w:p>
      <w:pPr>
        <w:pStyle w:val="112"/>
        <w:ind w:firstLine="480"/>
      </w:pPr>
      <w:r>
        <w:t>结合各单元工艺流程，对各危险单元的风险源进行识别，并分析风险源的危险性、存在条件和转化为事故的触发因素，识别结果见表7.6-</w:t>
      </w:r>
      <w:r>
        <w:rPr>
          <w:rFonts w:hint="eastAsia"/>
        </w:rPr>
        <w:t>4</w:t>
      </w:r>
      <w:r>
        <w:t>。</w:t>
      </w:r>
    </w:p>
    <w:p>
      <w:pPr>
        <w:pStyle w:val="4"/>
        <w:rPr>
          <w:rFonts w:eastAsia="宋体"/>
        </w:rPr>
      </w:pPr>
      <w:bookmarkStart w:id="539" w:name="_Toc19816105"/>
      <w:bookmarkStart w:id="540" w:name="_Toc12288732"/>
      <w:r>
        <w:rPr>
          <w:rFonts w:eastAsia="宋体"/>
        </w:rPr>
        <w:t>7.6.3 危险物质扩散途径识别</w:t>
      </w:r>
      <w:bookmarkEnd w:id="539"/>
      <w:bookmarkEnd w:id="540"/>
    </w:p>
    <w:p>
      <w:pPr>
        <w:pStyle w:val="112"/>
        <w:ind w:firstLine="480"/>
      </w:pPr>
      <w:r>
        <w:t>环境风险类型包括危险物质泄漏，火灾、爆炸等引发的伴生/次生污染物排放，同一种危险物质可能有多种环境风险类型。本项目主要环境风险物质为CH</w:t>
      </w:r>
      <w:r>
        <w:rPr>
          <w:vertAlign w:val="subscript"/>
        </w:rPr>
        <w:t>4</w:t>
      </w:r>
      <w:r>
        <w:rPr>
          <w:rFonts w:hint="eastAsia"/>
        </w:rPr>
        <w:t>、</w:t>
      </w:r>
      <w:r>
        <w:t>柴油</w:t>
      </w:r>
      <w:r>
        <w:rPr>
          <w:rFonts w:hint="eastAsia"/>
        </w:rPr>
        <w:t>和凝析油</w:t>
      </w:r>
      <w:r>
        <w:t>，还要考虑井喷或天然气管道泄漏后的火灾事故中未完全燃烧产生的伴生污染物CO，以及火灾事故时产生的消防废水和事故后维修作业废水，此外还需考虑柴油储罐泄漏</w:t>
      </w:r>
      <w:r>
        <w:rPr>
          <w:rFonts w:hint="eastAsia"/>
        </w:rPr>
        <w:t>、压裂、洗井废水、气田水</w:t>
      </w:r>
      <w:r>
        <w:t>泄漏，导致柴油</w:t>
      </w:r>
      <w:r>
        <w:rPr>
          <w:rFonts w:hint="eastAsia"/>
        </w:rPr>
        <w:t>、压裂、洗井废水、气田水</w:t>
      </w:r>
      <w:r>
        <w:t>进入地表水、地下水、土壤环境，对项目周围环境造成危害。本工程涉及的危险物质及每种危险物质涉及的风险类型、扩散途径和可能影响方式见下表。</w:t>
      </w:r>
    </w:p>
    <w:p>
      <w:pPr>
        <w:pStyle w:val="125"/>
        <w:rPr>
          <w:rFonts w:eastAsia="宋体"/>
        </w:rPr>
      </w:pPr>
      <w:r>
        <w:rPr>
          <w:rFonts w:eastAsia="宋体"/>
        </w:rPr>
        <w:t>表7.6-</w:t>
      </w:r>
      <w:r>
        <w:rPr>
          <w:rFonts w:hint="eastAsia" w:eastAsia="宋体"/>
        </w:rPr>
        <w:t>4</w:t>
      </w:r>
      <w:r>
        <w:rPr>
          <w:rFonts w:eastAsia="宋体"/>
        </w:rPr>
        <w:t xml:space="preserve">  本项目环境风险识别表</w:t>
      </w:r>
    </w:p>
    <w:tbl>
      <w:tblPr>
        <w:tblStyle w:val="57"/>
        <w:tblW w:w="8630"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022"/>
        <w:gridCol w:w="1388"/>
        <w:gridCol w:w="1559"/>
        <w:gridCol w:w="466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1022" w:type="dxa"/>
            <w:vAlign w:val="center"/>
          </w:tcPr>
          <w:p>
            <w:pPr>
              <w:pStyle w:val="101"/>
              <w:spacing w:line="240" w:lineRule="auto"/>
              <w:ind w:firstLine="0" w:firstLineChars="0"/>
              <w:rPr>
                <w:rFonts w:ascii="Times New Roman" w:cs="Times New Roman"/>
                <w:b/>
                <w:kern w:val="2"/>
                <w:sz w:val="21"/>
                <w:szCs w:val="21"/>
              </w:rPr>
            </w:pPr>
            <w:r>
              <w:rPr>
                <w:rFonts w:ascii="Times New Roman" w:cs="Times New Roman"/>
                <w:b/>
                <w:kern w:val="2"/>
                <w:sz w:val="21"/>
                <w:szCs w:val="21"/>
              </w:rPr>
              <w:t>危险物质</w:t>
            </w:r>
          </w:p>
        </w:tc>
        <w:tc>
          <w:tcPr>
            <w:tcW w:w="1388" w:type="dxa"/>
            <w:vAlign w:val="center"/>
          </w:tcPr>
          <w:p>
            <w:pPr>
              <w:pStyle w:val="101"/>
              <w:spacing w:line="240" w:lineRule="auto"/>
              <w:ind w:firstLine="0" w:firstLineChars="0"/>
              <w:rPr>
                <w:rFonts w:ascii="Times New Roman" w:cs="Times New Roman"/>
                <w:b/>
                <w:kern w:val="2"/>
                <w:sz w:val="21"/>
                <w:szCs w:val="21"/>
              </w:rPr>
            </w:pPr>
            <w:r>
              <w:rPr>
                <w:rFonts w:ascii="Times New Roman" w:cs="Times New Roman"/>
                <w:b/>
                <w:kern w:val="2"/>
                <w:sz w:val="21"/>
                <w:szCs w:val="21"/>
              </w:rPr>
              <w:t>环境风险类型</w:t>
            </w:r>
          </w:p>
        </w:tc>
        <w:tc>
          <w:tcPr>
            <w:tcW w:w="1559" w:type="dxa"/>
            <w:vAlign w:val="center"/>
          </w:tcPr>
          <w:p>
            <w:pPr>
              <w:pStyle w:val="101"/>
              <w:spacing w:line="240" w:lineRule="auto"/>
              <w:ind w:firstLine="0" w:firstLineChars="0"/>
              <w:rPr>
                <w:rFonts w:ascii="Times New Roman" w:cs="Times New Roman"/>
                <w:b/>
                <w:kern w:val="2"/>
                <w:sz w:val="21"/>
                <w:szCs w:val="21"/>
              </w:rPr>
            </w:pPr>
            <w:r>
              <w:rPr>
                <w:rFonts w:ascii="Times New Roman" w:cs="Times New Roman"/>
                <w:b/>
                <w:kern w:val="2"/>
                <w:sz w:val="21"/>
                <w:szCs w:val="21"/>
              </w:rPr>
              <w:t>环境要素影响</w:t>
            </w:r>
          </w:p>
        </w:tc>
        <w:tc>
          <w:tcPr>
            <w:tcW w:w="4661" w:type="dxa"/>
            <w:vAlign w:val="center"/>
          </w:tcPr>
          <w:p>
            <w:pPr>
              <w:pStyle w:val="101"/>
              <w:spacing w:line="240" w:lineRule="auto"/>
              <w:ind w:firstLine="0" w:firstLineChars="0"/>
              <w:rPr>
                <w:rFonts w:ascii="Times New Roman" w:cs="Times New Roman"/>
                <w:b/>
                <w:kern w:val="2"/>
                <w:sz w:val="21"/>
                <w:szCs w:val="21"/>
              </w:rPr>
            </w:pPr>
            <w:r>
              <w:rPr>
                <w:rFonts w:ascii="Times New Roman" w:cs="Times New Roman"/>
                <w:b/>
                <w:kern w:val="2"/>
                <w:sz w:val="21"/>
                <w:szCs w:val="21"/>
              </w:rPr>
              <w:t>扩散途径和可能影响方式</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1022" w:type="dxa"/>
            <w:vMerge w:val="restart"/>
            <w:vAlign w:val="center"/>
          </w:tcPr>
          <w:p>
            <w:pPr>
              <w:pStyle w:val="101"/>
              <w:spacing w:line="240" w:lineRule="auto"/>
              <w:ind w:firstLine="0" w:firstLineChars="0"/>
              <w:rPr>
                <w:rFonts w:ascii="Times New Roman" w:cs="Times New Roman"/>
                <w:b/>
                <w:kern w:val="2"/>
                <w:sz w:val="21"/>
                <w:szCs w:val="21"/>
              </w:rPr>
            </w:pPr>
            <w:r>
              <w:rPr>
                <w:rFonts w:ascii="Times New Roman" w:cs="Times New Roman"/>
                <w:kern w:val="2"/>
                <w:sz w:val="21"/>
                <w:szCs w:val="21"/>
              </w:rPr>
              <w:t>井喷泄漏的天然气</w:t>
            </w:r>
          </w:p>
        </w:tc>
        <w:tc>
          <w:tcPr>
            <w:tcW w:w="1388"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泄漏</w:t>
            </w:r>
          </w:p>
        </w:tc>
        <w:tc>
          <w:tcPr>
            <w:tcW w:w="1559" w:type="dxa"/>
            <w:vAlign w:val="center"/>
          </w:tcPr>
          <w:p>
            <w:pPr>
              <w:pStyle w:val="101"/>
              <w:spacing w:line="240" w:lineRule="auto"/>
              <w:ind w:firstLine="0" w:firstLineChars="0"/>
              <w:rPr>
                <w:rFonts w:ascii="Times New Roman" w:cs="Times New Roman"/>
                <w:b/>
                <w:kern w:val="2"/>
                <w:sz w:val="21"/>
                <w:szCs w:val="21"/>
              </w:rPr>
            </w:pPr>
            <w:r>
              <w:rPr>
                <w:rFonts w:ascii="Times New Roman" w:cs="Times New Roman"/>
                <w:kern w:val="2"/>
                <w:sz w:val="21"/>
                <w:szCs w:val="21"/>
              </w:rPr>
              <w:t>大气</w:t>
            </w:r>
          </w:p>
        </w:tc>
        <w:tc>
          <w:tcPr>
            <w:tcW w:w="4661" w:type="dxa"/>
            <w:vAlign w:val="center"/>
          </w:tcPr>
          <w:p>
            <w:pPr>
              <w:pStyle w:val="101"/>
              <w:spacing w:line="240" w:lineRule="auto"/>
              <w:ind w:firstLine="0" w:firstLineChars="0"/>
              <w:rPr>
                <w:rFonts w:ascii="Times New Roman" w:cs="Times New Roman"/>
                <w:b/>
                <w:kern w:val="2"/>
                <w:sz w:val="21"/>
                <w:szCs w:val="21"/>
              </w:rPr>
            </w:pPr>
            <w:r>
              <w:rPr>
                <w:rFonts w:ascii="Times New Roman" w:cs="Times New Roman"/>
                <w:kern w:val="2"/>
                <w:sz w:val="21"/>
                <w:szCs w:val="21"/>
              </w:rPr>
              <w:t>井喷事故导致天然气泄漏后直接进入大气环境，通过大气扩散对项目周围环境造成危害，致使居民甲烷窒息。</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1022" w:type="dxa"/>
            <w:vMerge w:val="continue"/>
            <w:vAlign w:val="center"/>
          </w:tcPr>
          <w:p>
            <w:pPr>
              <w:pStyle w:val="101"/>
              <w:spacing w:line="240" w:lineRule="auto"/>
              <w:ind w:firstLine="0" w:firstLineChars="0"/>
              <w:rPr>
                <w:rFonts w:ascii="Times New Roman" w:cs="Times New Roman"/>
                <w:kern w:val="2"/>
                <w:sz w:val="21"/>
                <w:szCs w:val="21"/>
              </w:rPr>
            </w:pPr>
          </w:p>
        </w:tc>
        <w:tc>
          <w:tcPr>
            <w:tcW w:w="1388" w:type="dxa"/>
            <w:vMerge w:val="restar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火灾</w:t>
            </w:r>
          </w:p>
        </w:tc>
        <w:tc>
          <w:tcPr>
            <w:tcW w:w="1559"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大气</w:t>
            </w:r>
          </w:p>
        </w:tc>
        <w:tc>
          <w:tcPr>
            <w:tcW w:w="4661"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井喷事故导致天然气泄漏</w:t>
            </w:r>
            <w:r>
              <w:rPr>
                <w:rFonts w:hint="eastAsia" w:ascii="Times New Roman" w:cs="Times New Roman"/>
                <w:kern w:val="2"/>
                <w:sz w:val="21"/>
                <w:szCs w:val="21"/>
              </w:rPr>
              <w:t>，经</w:t>
            </w:r>
            <w:r>
              <w:rPr>
                <w:rFonts w:ascii="Times New Roman" w:cs="Times New Roman"/>
                <w:kern w:val="2"/>
                <w:sz w:val="21"/>
                <w:szCs w:val="21"/>
              </w:rPr>
              <w:t>点燃后</w:t>
            </w:r>
            <w:r>
              <w:rPr>
                <w:rFonts w:hint="eastAsia" w:ascii="Times New Roman" w:cs="Times New Roman"/>
                <w:kern w:val="2"/>
                <w:sz w:val="21"/>
                <w:szCs w:val="21"/>
              </w:rPr>
              <w:t>伴生污染物</w:t>
            </w:r>
            <w:r>
              <w:rPr>
                <w:rFonts w:ascii="Times New Roman" w:cs="Times New Roman"/>
                <w:kern w:val="2"/>
                <w:sz w:val="21"/>
                <w:szCs w:val="21"/>
              </w:rPr>
              <w:t>CO等</w:t>
            </w:r>
            <w:r>
              <w:rPr>
                <w:rFonts w:hint="eastAsia" w:ascii="Times New Roman" w:cs="Times New Roman"/>
                <w:kern w:val="2"/>
                <w:sz w:val="21"/>
                <w:szCs w:val="21"/>
              </w:rPr>
              <w:t>进入大气环境，通过大气扩散对项目周围环境造成危害。</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1022" w:type="dxa"/>
            <w:vMerge w:val="continue"/>
            <w:vAlign w:val="center"/>
          </w:tcPr>
          <w:p>
            <w:pPr>
              <w:pStyle w:val="101"/>
              <w:spacing w:line="240" w:lineRule="auto"/>
              <w:ind w:firstLine="0" w:firstLineChars="0"/>
              <w:rPr>
                <w:rFonts w:ascii="Times New Roman" w:cs="Times New Roman"/>
                <w:kern w:val="2"/>
                <w:sz w:val="21"/>
                <w:szCs w:val="21"/>
              </w:rPr>
            </w:pPr>
          </w:p>
        </w:tc>
        <w:tc>
          <w:tcPr>
            <w:tcW w:w="1388" w:type="dxa"/>
            <w:vMerge w:val="continue"/>
            <w:vAlign w:val="center"/>
          </w:tcPr>
          <w:p>
            <w:pPr>
              <w:pStyle w:val="101"/>
              <w:spacing w:line="240" w:lineRule="auto"/>
              <w:ind w:firstLine="0" w:firstLineChars="0"/>
              <w:rPr>
                <w:rFonts w:ascii="Times New Roman" w:cs="Times New Roman"/>
                <w:kern w:val="2"/>
                <w:sz w:val="21"/>
                <w:szCs w:val="21"/>
              </w:rPr>
            </w:pPr>
          </w:p>
        </w:tc>
        <w:tc>
          <w:tcPr>
            <w:tcW w:w="1559"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地表水</w:t>
            </w:r>
          </w:p>
        </w:tc>
        <w:tc>
          <w:tcPr>
            <w:tcW w:w="4661"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井喷事故后维修作业对地表水环境造成影响。</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1022" w:type="dxa"/>
            <w:vMerge w:val="continue"/>
            <w:vAlign w:val="center"/>
          </w:tcPr>
          <w:p>
            <w:pPr>
              <w:pStyle w:val="101"/>
              <w:spacing w:line="240" w:lineRule="auto"/>
              <w:ind w:firstLine="0" w:firstLineChars="0"/>
              <w:rPr>
                <w:rFonts w:ascii="Times New Roman" w:cs="Times New Roman"/>
                <w:kern w:val="2"/>
                <w:sz w:val="21"/>
                <w:szCs w:val="21"/>
              </w:rPr>
            </w:pPr>
          </w:p>
        </w:tc>
        <w:tc>
          <w:tcPr>
            <w:tcW w:w="1388" w:type="dxa"/>
            <w:vMerge w:val="restar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爆炸</w:t>
            </w:r>
          </w:p>
        </w:tc>
        <w:tc>
          <w:tcPr>
            <w:tcW w:w="1559"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大气</w:t>
            </w:r>
          </w:p>
        </w:tc>
        <w:tc>
          <w:tcPr>
            <w:tcW w:w="4661"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井喷事故导致天然气泄漏发生爆炸事故，引发伴生污染物CO等进入大气环境，对项目周围环境造成危害。</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1022" w:type="dxa"/>
            <w:vMerge w:val="continue"/>
            <w:tcBorders>
              <w:bottom w:val="single" w:color="auto" w:sz="4" w:space="0"/>
            </w:tcBorders>
            <w:vAlign w:val="center"/>
          </w:tcPr>
          <w:p>
            <w:pPr>
              <w:pStyle w:val="101"/>
              <w:spacing w:line="240" w:lineRule="auto"/>
              <w:ind w:firstLine="0" w:firstLineChars="0"/>
              <w:rPr>
                <w:rFonts w:ascii="Times New Roman" w:cs="Times New Roman"/>
                <w:kern w:val="2"/>
                <w:sz w:val="21"/>
                <w:szCs w:val="21"/>
              </w:rPr>
            </w:pPr>
          </w:p>
        </w:tc>
        <w:tc>
          <w:tcPr>
            <w:tcW w:w="1388" w:type="dxa"/>
            <w:vMerge w:val="continue"/>
            <w:vAlign w:val="center"/>
          </w:tcPr>
          <w:p>
            <w:pPr>
              <w:pStyle w:val="101"/>
              <w:spacing w:line="240" w:lineRule="auto"/>
              <w:ind w:firstLine="0" w:firstLineChars="0"/>
              <w:rPr>
                <w:rFonts w:ascii="Times New Roman" w:cs="Times New Roman"/>
                <w:kern w:val="2"/>
                <w:sz w:val="21"/>
                <w:szCs w:val="21"/>
              </w:rPr>
            </w:pPr>
          </w:p>
        </w:tc>
        <w:tc>
          <w:tcPr>
            <w:tcW w:w="1559"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地表水</w:t>
            </w:r>
          </w:p>
        </w:tc>
        <w:tc>
          <w:tcPr>
            <w:tcW w:w="4661"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井喷事故导致天然气泄漏发生爆炸事故时产生的消防废水或事故后维修作业对地表水环境造成影响。</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1022" w:type="dxa"/>
            <w:vMerge w:val="restart"/>
            <w:tcBorders>
              <w:top w:val="single" w:color="auto"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管道泄漏的天然气</w:t>
            </w:r>
          </w:p>
        </w:tc>
        <w:tc>
          <w:tcPr>
            <w:tcW w:w="1388"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泄漏</w:t>
            </w:r>
          </w:p>
        </w:tc>
        <w:tc>
          <w:tcPr>
            <w:tcW w:w="1559"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大气</w:t>
            </w:r>
          </w:p>
        </w:tc>
        <w:tc>
          <w:tcPr>
            <w:tcW w:w="4661"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天然气泄漏后直接进入大气环境，通过大气扩散对项目周围环境造成危害，致使居民甲烷窒息。</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1022" w:type="dxa"/>
            <w:vMerge w:val="continue"/>
            <w:vAlign w:val="center"/>
          </w:tcPr>
          <w:p>
            <w:pPr>
              <w:widowControl/>
              <w:topLinePunct w:val="0"/>
              <w:adjustRightInd/>
              <w:spacing w:line="240" w:lineRule="auto"/>
              <w:ind w:firstLine="0" w:firstLineChars="0"/>
              <w:jc w:val="left"/>
              <w:rPr>
                <w:rFonts w:ascii="Times New Roman" w:cs="Times New Roman"/>
                <w:kern w:val="2"/>
                <w:sz w:val="21"/>
                <w:szCs w:val="21"/>
              </w:rPr>
            </w:pPr>
          </w:p>
        </w:tc>
        <w:tc>
          <w:tcPr>
            <w:tcW w:w="1388" w:type="dxa"/>
            <w:vMerge w:val="restar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火灾</w:t>
            </w:r>
          </w:p>
        </w:tc>
        <w:tc>
          <w:tcPr>
            <w:tcW w:w="1559"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大气</w:t>
            </w:r>
          </w:p>
        </w:tc>
        <w:tc>
          <w:tcPr>
            <w:tcW w:w="4661"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天然气泄漏发生火灾事故，引发伴生污染物CO等进入大气环境，对项目周围环境造成危害。</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1022" w:type="dxa"/>
            <w:vMerge w:val="continue"/>
            <w:vAlign w:val="center"/>
          </w:tcPr>
          <w:p>
            <w:pPr>
              <w:widowControl/>
              <w:topLinePunct w:val="0"/>
              <w:adjustRightInd/>
              <w:spacing w:line="240" w:lineRule="auto"/>
              <w:ind w:firstLine="0" w:firstLineChars="0"/>
              <w:jc w:val="left"/>
              <w:rPr>
                <w:rFonts w:ascii="Times New Roman" w:cs="Times New Roman"/>
                <w:kern w:val="2"/>
                <w:sz w:val="21"/>
                <w:szCs w:val="21"/>
              </w:rPr>
            </w:pPr>
          </w:p>
        </w:tc>
        <w:tc>
          <w:tcPr>
            <w:tcW w:w="1388" w:type="dxa"/>
            <w:vMerge w:val="continue"/>
            <w:vAlign w:val="center"/>
          </w:tcPr>
          <w:p>
            <w:pPr>
              <w:widowControl/>
              <w:topLinePunct w:val="0"/>
              <w:adjustRightInd/>
              <w:spacing w:line="240" w:lineRule="auto"/>
              <w:ind w:firstLine="0" w:firstLineChars="0"/>
              <w:jc w:val="left"/>
              <w:rPr>
                <w:rFonts w:ascii="Times New Roman" w:cs="Times New Roman"/>
                <w:kern w:val="2"/>
                <w:sz w:val="21"/>
                <w:szCs w:val="21"/>
              </w:rPr>
            </w:pPr>
          </w:p>
        </w:tc>
        <w:tc>
          <w:tcPr>
            <w:tcW w:w="1559"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地表水</w:t>
            </w:r>
          </w:p>
        </w:tc>
        <w:tc>
          <w:tcPr>
            <w:tcW w:w="4661"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天然气泄漏发生火灾事故时产生的消防废水或事故后维修作业对地表水环境造成影响。</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1022" w:type="dxa"/>
            <w:vMerge w:val="continue"/>
            <w:vAlign w:val="center"/>
          </w:tcPr>
          <w:p>
            <w:pPr>
              <w:widowControl/>
              <w:topLinePunct w:val="0"/>
              <w:adjustRightInd/>
              <w:spacing w:line="240" w:lineRule="auto"/>
              <w:ind w:firstLine="0" w:firstLineChars="0"/>
              <w:jc w:val="left"/>
              <w:rPr>
                <w:rFonts w:ascii="Times New Roman" w:cs="Times New Roman"/>
                <w:kern w:val="2"/>
                <w:sz w:val="21"/>
                <w:szCs w:val="21"/>
              </w:rPr>
            </w:pPr>
          </w:p>
        </w:tc>
        <w:tc>
          <w:tcPr>
            <w:tcW w:w="1388" w:type="dxa"/>
            <w:vMerge w:val="restart"/>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爆炸</w:t>
            </w:r>
          </w:p>
        </w:tc>
        <w:tc>
          <w:tcPr>
            <w:tcW w:w="1559"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大气</w:t>
            </w:r>
          </w:p>
        </w:tc>
        <w:tc>
          <w:tcPr>
            <w:tcW w:w="4661"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天然气泄漏发生爆炸事故，引发伴生污染物CO等进入大气环境，对项目周围环境造成危害。</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1022" w:type="dxa"/>
            <w:vMerge w:val="continue"/>
            <w:vAlign w:val="center"/>
          </w:tcPr>
          <w:p>
            <w:pPr>
              <w:widowControl/>
              <w:topLinePunct w:val="0"/>
              <w:adjustRightInd/>
              <w:spacing w:line="240" w:lineRule="auto"/>
              <w:ind w:firstLine="0" w:firstLineChars="0"/>
              <w:jc w:val="left"/>
              <w:rPr>
                <w:rFonts w:ascii="Times New Roman" w:cs="Times New Roman"/>
                <w:kern w:val="2"/>
                <w:sz w:val="21"/>
                <w:szCs w:val="21"/>
              </w:rPr>
            </w:pPr>
          </w:p>
        </w:tc>
        <w:tc>
          <w:tcPr>
            <w:tcW w:w="1388" w:type="dxa"/>
            <w:vMerge w:val="continue"/>
            <w:vAlign w:val="center"/>
          </w:tcPr>
          <w:p>
            <w:pPr>
              <w:widowControl/>
              <w:topLinePunct w:val="0"/>
              <w:adjustRightInd/>
              <w:spacing w:line="240" w:lineRule="auto"/>
              <w:ind w:firstLine="0" w:firstLineChars="0"/>
              <w:jc w:val="left"/>
              <w:rPr>
                <w:rFonts w:ascii="Times New Roman" w:cs="Times New Roman"/>
                <w:kern w:val="2"/>
                <w:sz w:val="21"/>
                <w:szCs w:val="21"/>
              </w:rPr>
            </w:pPr>
          </w:p>
        </w:tc>
        <w:tc>
          <w:tcPr>
            <w:tcW w:w="1559"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地表水</w:t>
            </w:r>
          </w:p>
        </w:tc>
        <w:tc>
          <w:tcPr>
            <w:tcW w:w="4661"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天然气泄漏发生爆炸事故时产生的消防废水或事故后维修作业对地表水环境造成影响。</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1022" w:type="dxa"/>
            <w:vMerge w:val="restart"/>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柴油</w:t>
            </w:r>
          </w:p>
        </w:tc>
        <w:tc>
          <w:tcPr>
            <w:tcW w:w="1388"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泄漏</w:t>
            </w:r>
          </w:p>
        </w:tc>
        <w:tc>
          <w:tcPr>
            <w:tcW w:w="1559"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地表水、土壤、地下水</w:t>
            </w:r>
          </w:p>
        </w:tc>
        <w:tc>
          <w:tcPr>
            <w:tcW w:w="4661" w:type="dxa"/>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柴油罐</w:t>
            </w:r>
            <w:r>
              <w:rPr>
                <w:rFonts w:ascii="Times New Roman" w:cs="Times New Roman"/>
                <w:kern w:val="2"/>
                <w:sz w:val="21"/>
                <w:szCs w:val="21"/>
              </w:rPr>
              <w:t>发生泄漏，导致</w:t>
            </w:r>
            <w:r>
              <w:rPr>
                <w:rFonts w:hint="eastAsia" w:ascii="Times New Roman" w:cs="Times New Roman"/>
                <w:kern w:val="2"/>
                <w:sz w:val="21"/>
                <w:szCs w:val="21"/>
              </w:rPr>
              <w:t>柴油</w:t>
            </w:r>
            <w:r>
              <w:rPr>
                <w:rFonts w:ascii="Times New Roman" w:cs="Times New Roman"/>
                <w:kern w:val="2"/>
                <w:sz w:val="21"/>
                <w:szCs w:val="21"/>
              </w:rPr>
              <w:t>进入地表水、地下水、土壤环境，对项目周围环境造成危害。</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1022" w:type="dxa"/>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388" w:type="dxa"/>
            <w:vMerge w:val="restart"/>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火灾</w:t>
            </w:r>
          </w:p>
        </w:tc>
        <w:tc>
          <w:tcPr>
            <w:tcW w:w="1559"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大气</w:t>
            </w:r>
          </w:p>
        </w:tc>
        <w:tc>
          <w:tcPr>
            <w:tcW w:w="4661" w:type="dxa"/>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柴油</w:t>
            </w:r>
            <w:r>
              <w:rPr>
                <w:rFonts w:ascii="Times New Roman" w:cs="Times New Roman"/>
                <w:kern w:val="2"/>
                <w:sz w:val="21"/>
                <w:szCs w:val="21"/>
              </w:rPr>
              <w:t>泄漏发生火灾事故，引发伴生污染物CO等进入大气环境，对项目周围环境造成危害。</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1022" w:type="dxa"/>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388" w:type="dxa"/>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559"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地表水</w:t>
            </w:r>
          </w:p>
        </w:tc>
        <w:tc>
          <w:tcPr>
            <w:tcW w:w="4661" w:type="dxa"/>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柴油</w:t>
            </w:r>
            <w:r>
              <w:rPr>
                <w:rFonts w:ascii="Times New Roman" w:cs="Times New Roman"/>
                <w:kern w:val="2"/>
                <w:sz w:val="21"/>
                <w:szCs w:val="21"/>
              </w:rPr>
              <w:t>泄漏发生火灾事故时产生的消防废水或事故后维修作业对地表水环境造成影响。</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1022" w:type="dxa"/>
            <w:vMerge w:val="restart"/>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凝析油</w:t>
            </w:r>
          </w:p>
        </w:tc>
        <w:tc>
          <w:tcPr>
            <w:tcW w:w="1388" w:type="dxa"/>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泄漏</w:t>
            </w:r>
          </w:p>
        </w:tc>
        <w:tc>
          <w:tcPr>
            <w:tcW w:w="1559"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地表水、土壤、地下水</w:t>
            </w:r>
          </w:p>
        </w:tc>
        <w:tc>
          <w:tcPr>
            <w:tcW w:w="4661" w:type="dxa"/>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柴油罐</w:t>
            </w:r>
            <w:r>
              <w:rPr>
                <w:rFonts w:ascii="Times New Roman" w:cs="Times New Roman"/>
                <w:kern w:val="2"/>
                <w:sz w:val="21"/>
                <w:szCs w:val="21"/>
              </w:rPr>
              <w:t>发生泄漏，导致</w:t>
            </w:r>
            <w:r>
              <w:rPr>
                <w:rFonts w:hint="eastAsia" w:ascii="Times New Roman" w:cs="Times New Roman"/>
                <w:kern w:val="2"/>
                <w:sz w:val="21"/>
                <w:szCs w:val="21"/>
              </w:rPr>
              <w:t>柴油</w:t>
            </w:r>
            <w:r>
              <w:rPr>
                <w:rFonts w:ascii="Times New Roman" w:cs="Times New Roman"/>
                <w:kern w:val="2"/>
                <w:sz w:val="21"/>
                <w:szCs w:val="21"/>
              </w:rPr>
              <w:t>进入地表水、地下水、土壤环境，对项目周围环境造成危害。</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1022" w:type="dxa"/>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388" w:type="dxa"/>
            <w:vMerge w:val="restart"/>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火灾</w:t>
            </w:r>
          </w:p>
        </w:tc>
        <w:tc>
          <w:tcPr>
            <w:tcW w:w="1559"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大气</w:t>
            </w:r>
          </w:p>
        </w:tc>
        <w:tc>
          <w:tcPr>
            <w:tcW w:w="4661" w:type="dxa"/>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柴油</w:t>
            </w:r>
            <w:r>
              <w:rPr>
                <w:rFonts w:ascii="Times New Roman" w:cs="Times New Roman"/>
                <w:kern w:val="2"/>
                <w:sz w:val="21"/>
                <w:szCs w:val="21"/>
              </w:rPr>
              <w:t>泄漏发生火灾事故，引发伴生污染物CO等进入大气环境，对项目周围环境造成危害。</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1022" w:type="dxa"/>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388" w:type="dxa"/>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559"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地表水</w:t>
            </w:r>
          </w:p>
        </w:tc>
        <w:tc>
          <w:tcPr>
            <w:tcW w:w="4661" w:type="dxa"/>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柴油</w:t>
            </w:r>
            <w:r>
              <w:rPr>
                <w:rFonts w:ascii="Times New Roman" w:cs="Times New Roman"/>
                <w:kern w:val="2"/>
                <w:sz w:val="21"/>
                <w:szCs w:val="21"/>
              </w:rPr>
              <w:t>泄漏发生火灾事故时产生的消防废水或事故后维修作业对地表水环境造成影响。</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 w:hRule="atLeast"/>
          <w:jc w:val="center"/>
        </w:trPr>
        <w:tc>
          <w:tcPr>
            <w:tcW w:w="1022" w:type="dxa"/>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压裂、洗井废水、气田水</w:t>
            </w:r>
          </w:p>
        </w:tc>
        <w:tc>
          <w:tcPr>
            <w:tcW w:w="1388"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泄漏</w:t>
            </w:r>
          </w:p>
        </w:tc>
        <w:tc>
          <w:tcPr>
            <w:tcW w:w="1559" w:type="dxa"/>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地表水、土壤、地下水</w:t>
            </w:r>
          </w:p>
        </w:tc>
        <w:tc>
          <w:tcPr>
            <w:tcW w:w="4661" w:type="dxa"/>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污水缓冲罐、污水池</w:t>
            </w:r>
            <w:r>
              <w:rPr>
                <w:rFonts w:ascii="Times New Roman" w:cs="Times New Roman"/>
                <w:kern w:val="2"/>
                <w:sz w:val="21"/>
                <w:szCs w:val="21"/>
              </w:rPr>
              <w:t>发生泄漏，导致</w:t>
            </w:r>
            <w:r>
              <w:rPr>
                <w:rFonts w:hint="eastAsia" w:ascii="Times New Roman" w:cs="Times New Roman"/>
                <w:kern w:val="2"/>
                <w:sz w:val="21"/>
                <w:szCs w:val="21"/>
              </w:rPr>
              <w:t>压裂、洗井废水、气田水</w:t>
            </w:r>
            <w:r>
              <w:rPr>
                <w:rFonts w:ascii="Times New Roman" w:cs="Times New Roman"/>
                <w:kern w:val="2"/>
                <w:sz w:val="21"/>
                <w:szCs w:val="21"/>
              </w:rPr>
              <w:t>进入地表水、地下水、土壤环境，对项目周围环境造成危害。</w:t>
            </w:r>
          </w:p>
        </w:tc>
      </w:tr>
    </w:tbl>
    <w:p>
      <w:pPr>
        <w:pStyle w:val="4"/>
        <w:rPr>
          <w:rFonts w:eastAsia="宋体"/>
        </w:rPr>
      </w:pPr>
      <w:bookmarkStart w:id="541" w:name="bookmark61"/>
      <w:bookmarkEnd w:id="541"/>
      <w:bookmarkStart w:id="542" w:name="_Toc12288733"/>
      <w:bookmarkStart w:id="543" w:name="_Toc19816106"/>
      <w:r>
        <w:rPr>
          <w:rFonts w:eastAsia="宋体"/>
        </w:rPr>
        <w:t>7.6.4 风险识别结果</w:t>
      </w:r>
      <w:bookmarkEnd w:id="542"/>
      <w:bookmarkEnd w:id="543"/>
    </w:p>
    <w:p>
      <w:pPr>
        <w:pStyle w:val="6"/>
        <w:ind w:firstLine="480"/>
        <w:rPr>
          <w:rFonts w:ascii="Times New Roman" w:cs="Times New Roman"/>
        </w:rPr>
      </w:pPr>
      <w:r>
        <w:rPr>
          <w:rFonts w:ascii="Times New Roman" w:cs="Times New Roman"/>
        </w:rPr>
        <w:t>根据风险识别分析，下表给出建设项目环境风险识别汇总结果。</w:t>
      </w:r>
    </w:p>
    <w:p>
      <w:pPr>
        <w:pStyle w:val="125"/>
        <w:rPr>
          <w:rFonts w:eastAsia="宋体"/>
        </w:rPr>
      </w:pPr>
      <w:r>
        <w:rPr>
          <w:rFonts w:eastAsia="宋体"/>
        </w:rPr>
        <w:t>表7.6-</w:t>
      </w:r>
      <w:r>
        <w:rPr>
          <w:rFonts w:hint="eastAsia" w:eastAsia="宋体"/>
        </w:rPr>
        <w:t>5</w:t>
      </w:r>
      <w:r>
        <w:rPr>
          <w:rFonts w:eastAsia="宋体"/>
        </w:rPr>
        <w:t xml:space="preserve">  本项目环境风险识别表</w:t>
      </w:r>
    </w:p>
    <w:tbl>
      <w:tblPr>
        <w:tblStyle w:val="57"/>
        <w:tblW w:w="8578"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626"/>
        <w:gridCol w:w="2010"/>
        <w:gridCol w:w="878"/>
        <w:gridCol w:w="1589"/>
        <w:gridCol w:w="993"/>
        <w:gridCol w:w="931"/>
        <w:gridCol w:w="155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626" w:type="dxa"/>
            <w:vAlign w:val="center"/>
          </w:tcPr>
          <w:p>
            <w:pPr>
              <w:pStyle w:val="136"/>
              <w:rPr>
                <w:b/>
                <w:bCs/>
                <w:color w:val="auto"/>
              </w:rPr>
            </w:pPr>
            <w:r>
              <w:rPr>
                <w:b/>
                <w:bCs/>
                <w:color w:val="auto"/>
              </w:rPr>
              <w:t>序号</w:t>
            </w:r>
          </w:p>
        </w:tc>
        <w:tc>
          <w:tcPr>
            <w:tcW w:w="2010" w:type="dxa"/>
            <w:vAlign w:val="center"/>
          </w:tcPr>
          <w:p>
            <w:pPr>
              <w:pStyle w:val="136"/>
              <w:rPr>
                <w:b/>
                <w:bCs/>
                <w:color w:val="auto"/>
              </w:rPr>
            </w:pPr>
            <w:r>
              <w:rPr>
                <w:b/>
                <w:bCs/>
                <w:color w:val="auto"/>
              </w:rPr>
              <w:t>危险单元</w:t>
            </w:r>
          </w:p>
        </w:tc>
        <w:tc>
          <w:tcPr>
            <w:tcW w:w="878" w:type="dxa"/>
            <w:vAlign w:val="center"/>
          </w:tcPr>
          <w:p>
            <w:pPr>
              <w:pStyle w:val="136"/>
              <w:rPr>
                <w:b/>
                <w:bCs/>
                <w:color w:val="auto"/>
              </w:rPr>
            </w:pPr>
            <w:r>
              <w:rPr>
                <w:b/>
                <w:bCs/>
                <w:color w:val="auto"/>
              </w:rPr>
              <w:t>风险源</w:t>
            </w:r>
          </w:p>
        </w:tc>
        <w:tc>
          <w:tcPr>
            <w:tcW w:w="1589" w:type="dxa"/>
            <w:vAlign w:val="center"/>
          </w:tcPr>
          <w:p>
            <w:pPr>
              <w:pStyle w:val="136"/>
              <w:rPr>
                <w:b/>
                <w:bCs/>
                <w:color w:val="auto"/>
              </w:rPr>
            </w:pPr>
            <w:r>
              <w:rPr>
                <w:b/>
                <w:bCs/>
                <w:color w:val="auto"/>
              </w:rPr>
              <w:t>风险类型</w:t>
            </w:r>
          </w:p>
        </w:tc>
        <w:tc>
          <w:tcPr>
            <w:tcW w:w="993" w:type="dxa"/>
            <w:vAlign w:val="center"/>
          </w:tcPr>
          <w:p>
            <w:pPr>
              <w:pStyle w:val="136"/>
              <w:rPr>
                <w:b/>
                <w:bCs/>
                <w:color w:val="auto"/>
              </w:rPr>
            </w:pPr>
            <w:r>
              <w:rPr>
                <w:b/>
                <w:bCs/>
                <w:color w:val="auto"/>
              </w:rPr>
              <w:t>危险物质</w:t>
            </w:r>
          </w:p>
        </w:tc>
        <w:tc>
          <w:tcPr>
            <w:tcW w:w="931" w:type="dxa"/>
            <w:vAlign w:val="center"/>
          </w:tcPr>
          <w:p>
            <w:pPr>
              <w:pStyle w:val="136"/>
              <w:rPr>
                <w:b/>
                <w:bCs/>
                <w:color w:val="auto"/>
              </w:rPr>
            </w:pPr>
            <w:r>
              <w:rPr>
                <w:b/>
                <w:bCs/>
                <w:color w:val="auto"/>
              </w:rPr>
              <w:t>扩散途径</w:t>
            </w:r>
          </w:p>
        </w:tc>
        <w:tc>
          <w:tcPr>
            <w:tcW w:w="1551" w:type="dxa"/>
            <w:vAlign w:val="center"/>
          </w:tcPr>
          <w:p>
            <w:pPr>
              <w:pStyle w:val="136"/>
              <w:rPr>
                <w:b/>
                <w:bCs/>
                <w:color w:val="auto"/>
              </w:rPr>
            </w:pPr>
            <w:r>
              <w:rPr>
                <w:b/>
                <w:bCs/>
                <w:color w:val="auto"/>
              </w:rPr>
              <w:t>可能受影响</w:t>
            </w:r>
          </w:p>
          <w:p>
            <w:pPr>
              <w:pStyle w:val="136"/>
              <w:rPr>
                <w:b/>
                <w:bCs/>
                <w:color w:val="auto"/>
              </w:rPr>
            </w:pPr>
            <w:r>
              <w:rPr>
                <w:b/>
                <w:bCs/>
                <w:color w:val="auto"/>
              </w:rPr>
              <w:t>的敏感目标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626" w:type="dxa"/>
            <w:vAlign w:val="center"/>
          </w:tcPr>
          <w:p>
            <w:pPr>
              <w:pStyle w:val="136"/>
              <w:rPr>
                <w:b/>
                <w:bCs/>
                <w:color w:val="auto"/>
              </w:rPr>
            </w:pPr>
            <w:r>
              <w:rPr>
                <w:color w:val="auto"/>
              </w:rPr>
              <w:t>1</w:t>
            </w:r>
          </w:p>
        </w:tc>
        <w:tc>
          <w:tcPr>
            <w:tcW w:w="2010" w:type="dxa"/>
            <w:vAlign w:val="center"/>
          </w:tcPr>
          <w:p>
            <w:pPr>
              <w:pStyle w:val="136"/>
              <w:rPr>
                <w:b/>
                <w:bCs/>
                <w:color w:val="auto"/>
              </w:rPr>
            </w:pPr>
            <w:r>
              <w:rPr>
                <w:color w:val="auto"/>
              </w:rPr>
              <w:t>普陆4集气平台</w:t>
            </w:r>
          </w:p>
        </w:tc>
        <w:tc>
          <w:tcPr>
            <w:tcW w:w="878" w:type="dxa"/>
            <w:vAlign w:val="center"/>
          </w:tcPr>
          <w:p>
            <w:pPr>
              <w:pStyle w:val="136"/>
              <w:rPr>
                <w:bCs/>
                <w:color w:val="auto"/>
              </w:rPr>
            </w:pPr>
            <w:r>
              <w:rPr>
                <w:rFonts w:hint="eastAsia"/>
                <w:bCs/>
                <w:color w:val="auto"/>
              </w:rPr>
              <w:t>钻、完井</w:t>
            </w:r>
            <w:r>
              <w:rPr>
                <w:bCs/>
                <w:color w:val="auto"/>
              </w:rPr>
              <w:t>过程</w:t>
            </w:r>
          </w:p>
        </w:tc>
        <w:tc>
          <w:tcPr>
            <w:tcW w:w="1589" w:type="dxa"/>
            <w:vAlign w:val="center"/>
          </w:tcPr>
          <w:p>
            <w:pPr>
              <w:pStyle w:val="136"/>
              <w:rPr>
                <w:b/>
                <w:bCs/>
                <w:color w:val="auto"/>
              </w:rPr>
            </w:pPr>
            <w:r>
              <w:rPr>
                <w:bCs/>
                <w:color w:val="auto"/>
              </w:rPr>
              <w:t>井喷</w:t>
            </w:r>
            <w:r>
              <w:rPr>
                <w:color w:val="auto"/>
              </w:rPr>
              <w:t>泄漏、火灾、爆炸、引发的伴生/次生污染物排放</w:t>
            </w:r>
          </w:p>
        </w:tc>
        <w:tc>
          <w:tcPr>
            <w:tcW w:w="993" w:type="dxa"/>
            <w:vAlign w:val="center"/>
          </w:tcPr>
          <w:p>
            <w:pPr>
              <w:pStyle w:val="136"/>
              <w:rPr>
                <w:color w:val="auto"/>
                <w:vertAlign w:val="subscript"/>
              </w:rPr>
            </w:pPr>
            <w:r>
              <w:rPr>
                <w:color w:val="auto"/>
              </w:rPr>
              <w:t>CH</w:t>
            </w:r>
            <w:r>
              <w:rPr>
                <w:color w:val="auto"/>
                <w:vertAlign w:val="subscript"/>
              </w:rPr>
              <w:t>4</w:t>
            </w:r>
          </w:p>
        </w:tc>
        <w:tc>
          <w:tcPr>
            <w:tcW w:w="931" w:type="dxa"/>
            <w:vAlign w:val="center"/>
          </w:tcPr>
          <w:p>
            <w:pPr>
              <w:pStyle w:val="136"/>
              <w:rPr>
                <w:color w:val="auto"/>
              </w:rPr>
            </w:pPr>
            <w:r>
              <w:rPr>
                <w:color w:val="auto"/>
              </w:rPr>
              <w:t>大气、地表水</w:t>
            </w:r>
          </w:p>
        </w:tc>
        <w:tc>
          <w:tcPr>
            <w:tcW w:w="1551" w:type="dxa"/>
            <w:vAlign w:val="center"/>
          </w:tcPr>
          <w:p>
            <w:pPr>
              <w:pStyle w:val="136"/>
              <w:rPr>
                <w:color w:val="auto"/>
              </w:rPr>
            </w:pPr>
            <w:r>
              <w:rPr>
                <w:color w:val="auto"/>
              </w:rPr>
              <w:t>周边居民、受纳水体</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842" w:hRule="atLeast"/>
          <w:jc w:val="center"/>
        </w:trPr>
        <w:tc>
          <w:tcPr>
            <w:tcW w:w="626" w:type="dxa"/>
            <w:vAlign w:val="center"/>
          </w:tcPr>
          <w:p>
            <w:pPr>
              <w:pStyle w:val="136"/>
              <w:rPr>
                <w:color w:val="auto"/>
              </w:rPr>
            </w:pPr>
            <w:r>
              <w:rPr>
                <w:color w:val="auto"/>
              </w:rPr>
              <w:t>2</w:t>
            </w:r>
          </w:p>
        </w:tc>
        <w:tc>
          <w:tcPr>
            <w:tcW w:w="2010" w:type="dxa"/>
            <w:vAlign w:val="center"/>
          </w:tcPr>
          <w:p>
            <w:pPr>
              <w:pStyle w:val="136"/>
              <w:rPr>
                <w:color w:val="auto"/>
              </w:rPr>
            </w:pPr>
            <w:r>
              <w:rPr>
                <w:color w:val="auto"/>
              </w:rPr>
              <w:t>普陆4集气平台~</w:t>
            </w:r>
            <w:r>
              <w:rPr>
                <w:rFonts w:hint="eastAsia"/>
                <w:color w:val="auto"/>
              </w:rPr>
              <w:t>P107集气站集气管道</w:t>
            </w:r>
          </w:p>
        </w:tc>
        <w:tc>
          <w:tcPr>
            <w:tcW w:w="878" w:type="dxa"/>
            <w:vAlign w:val="center"/>
          </w:tcPr>
          <w:p>
            <w:pPr>
              <w:pStyle w:val="136"/>
              <w:rPr>
                <w:color w:val="auto"/>
              </w:rPr>
            </w:pPr>
            <w:r>
              <w:rPr>
                <w:color w:val="auto"/>
              </w:rPr>
              <w:t>管线</w:t>
            </w:r>
          </w:p>
        </w:tc>
        <w:tc>
          <w:tcPr>
            <w:tcW w:w="1589" w:type="dxa"/>
            <w:vAlign w:val="center"/>
          </w:tcPr>
          <w:p>
            <w:pPr>
              <w:pStyle w:val="136"/>
              <w:rPr>
                <w:color w:val="auto"/>
              </w:rPr>
            </w:pPr>
            <w:r>
              <w:rPr>
                <w:color w:val="auto"/>
              </w:rPr>
              <w:t>泄漏、火灾、爆炸、引发的伴生/次生污染物排放</w:t>
            </w:r>
          </w:p>
        </w:tc>
        <w:tc>
          <w:tcPr>
            <w:tcW w:w="993" w:type="dxa"/>
            <w:vAlign w:val="center"/>
          </w:tcPr>
          <w:p>
            <w:pPr>
              <w:pStyle w:val="136"/>
              <w:rPr>
                <w:color w:val="auto"/>
              </w:rPr>
            </w:pPr>
            <w:r>
              <w:rPr>
                <w:color w:val="auto"/>
              </w:rPr>
              <w:t>CH</w:t>
            </w:r>
            <w:r>
              <w:rPr>
                <w:color w:val="auto"/>
                <w:vertAlign w:val="subscript"/>
              </w:rPr>
              <w:t>4</w:t>
            </w:r>
          </w:p>
        </w:tc>
        <w:tc>
          <w:tcPr>
            <w:tcW w:w="931" w:type="dxa"/>
            <w:vAlign w:val="center"/>
          </w:tcPr>
          <w:p>
            <w:pPr>
              <w:pStyle w:val="136"/>
              <w:rPr>
                <w:color w:val="auto"/>
              </w:rPr>
            </w:pPr>
            <w:r>
              <w:rPr>
                <w:color w:val="auto"/>
              </w:rPr>
              <w:t>大气、地表水</w:t>
            </w:r>
          </w:p>
        </w:tc>
        <w:tc>
          <w:tcPr>
            <w:tcW w:w="1551" w:type="dxa"/>
            <w:vAlign w:val="center"/>
          </w:tcPr>
          <w:p>
            <w:pPr>
              <w:pStyle w:val="136"/>
              <w:rPr>
                <w:color w:val="auto"/>
              </w:rPr>
            </w:pPr>
            <w:r>
              <w:rPr>
                <w:color w:val="auto"/>
              </w:rPr>
              <w:t>周边居民、受纳水体</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626" w:type="dxa"/>
            <w:vAlign w:val="center"/>
          </w:tcPr>
          <w:p>
            <w:pPr>
              <w:pStyle w:val="136"/>
              <w:rPr>
                <w:color w:val="auto"/>
              </w:rPr>
            </w:pPr>
            <w:r>
              <w:rPr>
                <w:color w:val="auto"/>
              </w:rPr>
              <w:t>3</w:t>
            </w:r>
          </w:p>
        </w:tc>
        <w:tc>
          <w:tcPr>
            <w:tcW w:w="2010" w:type="dxa"/>
            <w:vAlign w:val="center"/>
          </w:tcPr>
          <w:p>
            <w:pPr>
              <w:pStyle w:val="136"/>
              <w:rPr>
                <w:color w:val="auto"/>
              </w:rPr>
            </w:pPr>
          </w:p>
        </w:tc>
        <w:tc>
          <w:tcPr>
            <w:tcW w:w="878" w:type="dxa"/>
            <w:vAlign w:val="center"/>
          </w:tcPr>
          <w:p>
            <w:pPr>
              <w:pStyle w:val="136"/>
              <w:rPr>
                <w:color w:val="auto"/>
              </w:rPr>
            </w:pPr>
          </w:p>
        </w:tc>
        <w:tc>
          <w:tcPr>
            <w:tcW w:w="1589" w:type="dxa"/>
            <w:vAlign w:val="center"/>
          </w:tcPr>
          <w:p>
            <w:pPr>
              <w:pStyle w:val="136"/>
              <w:rPr>
                <w:color w:val="auto"/>
              </w:rPr>
            </w:pPr>
          </w:p>
        </w:tc>
        <w:tc>
          <w:tcPr>
            <w:tcW w:w="993" w:type="dxa"/>
            <w:vAlign w:val="center"/>
          </w:tcPr>
          <w:p>
            <w:pPr>
              <w:pStyle w:val="136"/>
              <w:rPr>
                <w:color w:val="auto"/>
              </w:rPr>
            </w:pPr>
          </w:p>
        </w:tc>
        <w:tc>
          <w:tcPr>
            <w:tcW w:w="931" w:type="dxa"/>
            <w:vAlign w:val="center"/>
          </w:tcPr>
          <w:p>
            <w:pPr>
              <w:pStyle w:val="136"/>
              <w:rPr>
                <w:color w:val="auto"/>
              </w:rPr>
            </w:pPr>
          </w:p>
        </w:tc>
        <w:tc>
          <w:tcPr>
            <w:tcW w:w="1551" w:type="dxa"/>
            <w:vAlign w:val="center"/>
          </w:tcPr>
          <w:p>
            <w:pPr>
              <w:pStyle w:val="136"/>
              <w:rPr>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626" w:type="dxa"/>
            <w:vAlign w:val="center"/>
          </w:tcPr>
          <w:p>
            <w:pPr>
              <w:pStyle w:val="136"/>
              <w:rPr>
                <w:color w:val="auto"/>
              </w:rPr>
            </w:pPr>
            <w:r>
              <w:rPr>
                <w:color w:val="auto"/>
              </w:rPr>
              <w:t>4</w:t>
            </w:r>
          </w:p>
        </w:tc>
        <w:tc>
          <w:tcPr>
            <w:tcW w:w="2010" w:type="dxa"/>
            <w:vAlign w:val="center"/>
          </w:tcPr>
          <w:p>
            <w:pPr>
              <w:pStyle w:val="136"/>
              <w:rPr>
                <w:color w:val="auto"/>
              </w:rPr>
            </w:pPr>
            <w:r>
              <w:rPr>
                <w:color w:val="auto"/>
              </w:rPr>
              <w:t>柴油储罐</w:t>
            </w:r>
          </w:p>
        </w:tc>
        <w:tc>
          <w:tcPr>
            <w:tcW w:w="878" w:type="dxa"/>
            <w:vAlign w:val="center"/>
          </w:tcPr>
          <w:p>
            <w:pPr>
              <w:pStyle w:val="136"/>
              <w:rPr>
                <w:color w:val="auto"/>
              </w:rPr>
            </w:pPr>
            <w:r>
              <w:rPr>
                <w:color w:val="auto"/>
              </w:rPr>
              <w:t>储罐</w:t>
            </w:r>
          </w:p>
        </w:tc>
        <w:tc>
          <w:tcPr>
            <w:tcW w:w="1589" w:type="dxa"/>
            <w:vAlign w:val="center"/>
          </w:tcPr>
          <w:p>
            <w:pPr>
              <w:pStyle w:val="136"/>
              <w:rPr>
                <w:color w:val="auto"/>
              </w:rPr>
            </w:pPr>
            <w:r>
              <w:rPr>
                <w:color w:val="auto"/>
              </w:rPr>
              <w:t>泄漏、火灾引发的伴生/次生污染物排放</w:t>
            </w:r>
          </w:p>
        </w:tc>
        <w:tc>
          <w:tcPr>
            <w:tcW w:w="993" w:type="dxa"/>
            <w:vAlign w:val="center"/>
          </w:tcPr>
          <w:p>
            <w:pPr>
              <w:pStyle w:val="136"/>
              <w:rPr>
                <w:color w:val="auto"/>
              </w:rPr>
            </w:pPr>
            <w:r>
              <w:rPr>
                <w:color w:val="auto"/>
              </w:rPr>
              <w:t>柴油</w:t>
            </w:r>
          </w:p>
        </w:tc>
        <w:tc>
          <w:tcPr>
            <w:tcW w:w="931" w:type="dxa"/>
            <w:vAlign w:val="center"/>
          </w:tcPr>
          <w:p>
            <w:pPr>
              <w:pStyle w:val="136"/>
              <w:rPr>
                <w:color w:val="auto"/>
              </w:rPr>
            </w:pPr>
            <w:r>
              <w:rPr>
                <w:color w:val="auto"/>
              </w:rPr>
              <w:t>大气</w:t>
            </w:r>
            <w:r>
              <w:rPr>
                <w:rFonts w:hint="eastAsia"/>
                <w:color w:val="auto"/>
              </w:rPr>
              <w:t>、</w:t>
            </w:r>
            <w:r>
              <w:rPr>
                <w:color w:val="auto"/>
              </w:rPr>
              <w:t>地表水、土壤、地下水</w:t>
            </w:r>
          </w:p>
        </w:tc>
        <w:tc>
          <w:tcPr>
            <w:tcW w:w="1551" w:type="dxa"/>
            <w:vAlign w:val="center"/>
          </w:tcPr>
          <w:p>
            <w:pPr>
              <w:pStyle w:val="136"/>
              <w:rPr>
                <w:color w:val="auto"/>
              </w:rPr>
            </w:pPr>
            <w:r>
              <w:rPr>
                <w:color w:val="auto"/>
              </w:rPr>
              <w:t>周边居民、地表水、土壤、地下水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626" w:type="dxa"/>
            <w:vAlign w:val="center"/>
          </w:tcPr>
          <w:p>
            <w:pPr>
              <w:pStyle w:val="136"/>
              <w:rPr>
                <w:color w:val="auto"/>
              </w:rPr>
            </w:pPr>
            <w:r>
              <w:rPr>
                <w:rFonts w:hint="eastAsia"/>
                <w:color w:val="auto"/>
              </w:rPr>
              <w:t>5</w:t>
            </w:r>
          </w:p>
        </w:tc>
        <w:tc>
          <w:tcPr>
            <w:tcW w:w="2010" w:type="dxa"/>
            <w:vAlign w:val="center"/>
          </w:tcPr>
          <w:p>
            <w:pPr>
              <w:pStyle w:val="136"/>
              <w:rPr>
                <w:color w:val="auto"/>
              </w:rPr>
            </w:pPr>
            <w:r>
              <w:rPr>
                <w:rFonts w:hint="eastAsia"/>
                <w:color w:val="auto"/>
              </w:rPr>
              <w:t>凝析油储罐</w:t>
            </w:r>
          </w:p>
        </w:tc>
        <w:tc>
          <w:tcPr>
            <w:tcW w:w="878" w:type="dxa"/>
            <w:vAlign w:val="center"/>
          </w:tcPr>
          <w:p>
            <w:pPr>
              <w:pStyle w:val="136"/>
              <w:rPr>
                <w:color w:val="auto"/>
              </w:rPr>
            </w:pPr>
            <w:r>
              <w:rPr>
                <w:color w:val="auto"/>
              </w:rPr>
              <w:t>储罐</w:t>
            </w:r>
          </w:p>
        </w:tc>
        <w:tc>
          <w:tcPr>
            <w:tcW w:w="1589" w:type="dxa"/>
            <w:vAlign w:val="center"/>
          </w:tcPr>
          <w:p>
            <w:pPr>
              <w:pStyle w:val="136"/>
              <w:rPr>
                <w:color w:val="auto"/>
              </w:rPr>
            </w:pPr>
            <w:r>
              <w:rPr>
                <w:color w:val="auto"/>
              </w:rPr>
              <w:t>泄漏、火灾引发的伴生/次生污染物排放</w:t>
            </w:r>
          </w:p>
        </w:tc>
        <w:tc>
          <w:tcPr>
            <w:tcW w:w="993" w:type="dxa"/>
            <w:vAlign w:val="center"/>
          </w:tcPr>
          <w:p>
            <w:pPr>
              <w:pStyle w:val="136"/>
              <w:rPr>
                <w:color w:val="auto"/>
              </w:rPr>
            </w:pPr>
            <w:r>
              <w:rPr>
                <w:rFonts w:hint="eastAsia"/>
                <w:color w:val="auto"/>
              </w:rPr>
              <w:t>凝析油</w:t>
            </w:r>
          </w:p>
        </w:tc>
        <w:tc>
          <w:tcPr>
            <w:tcW w:w="931" w:type="dxa"/>
            <w:vAlign w:val="center"/>
          </w:tcPr>
          <w:p>
            <w:pPr>
              <w:pStyle w:val="136"/>
              <w:rPr>
                <w:color w:val="auto"/>
              </w:rPr>
            </w:pPr>
            <w:r>
              <w:rPr>
                <w:color w:val="auto"/>
              </w:rPr>
              <w:t>大气</w:t>
            </w:r>
            <w:r>
              <w:rPr>
                <w:rFonts w:hint="eastAsia"/>
                <w:color w:val="auto"/>
              </w:rPr>
              <w:t>、</w:t>
            </w:r>
            <w:r>
              <w:rPr>
                <w:color w:val="auto"/>
              </w:rPr>
              <w:t>地表水、土壤、地下水</w:t>
            </w:r>
          </w:p>
        </w:tc>
        <w:tc>
          <w:tcPr>
            <w:tcW w:w="1551" w:type="dxa"/>
            <w:vAlign w:val="center"/>
          </w:tcPr>
          <w:p>
            <w:pPr>
              <w:pStyle w:val="136"/>
              <w:rPr>
                <w:color w:val="auto"/>
              </w:rPr>
            </w:pPr>
            <w:r>
              <w:rPr>
                <w:color w:val="auto"/>
              </w:rPr>
              <w:t>周边居民、地表水、土壤、地下水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626" w:type="dxa"/>
            <w:vAlign w:val="center"/>
          </w:tcPr>
          <w:p>
            <w:pPr>
              <w:pStyle w:val="136"/>
              <w:rPr>
                <w:color w:val="auto"/>
              </w:rPr>
            </w:pPr>
            <w:r>
              <w:rPr>
                <w:rFonts w:hint="eastAsia"/>
                <w:color w:val="auto"/>
              </w:rPr>
              <w:t>6</w:t>
            </w:r>
          </w:p>
        </w:tc>
        <w:tc>
          <w:tcPr>
            <w:tcW w:w="2010" w:type="dxa"/>
            <w:vAlign w:val="center"/>
          </w:tcPr>
          <w:p>
            <w:pPr>
              <w:pStyle w:val="136"/>
              <w:rPr>
                <w:color w:val="auto"/>
              </w:rPr>
            </w:pPr>
            <w:r>
              <w:rPr>
                <w:rFonts w:hint="eastAsia"/>
                <w:color w:val="auto"/>
              </w:rPr>
              <w:t>污水缓冲罐</w:t>
            </w:r>
          </w:p>
        </w:tc>
        <w:tc>
          <w:tcPr>
            <w:tcW w:w="878" w:type="dxa"/>
            <w:vAlign w:val="center"/>
          </w:tcPr>
          <w:p>
            <w:pPr>
              <w:pStyle w:val="136"/>
              <w:rPr>
                <w:color w:val="auto"/>
              </w:rPr>
            </w:pPr>
            <w:r>
              <w:rPr>
                <w:color w:val="auto"/>
              </w:rPr>
              <w:t>储罐</w:t>
            </w:r>
          </w:p>
        </w:tc>
        <w:tc>
          <w:tcPr>
            <w:tcW w:w="1589" w:type="dxa"/>
            <w:vAlign w:val="center"/>
          </w:tcPr>
          <w:p>
            <w:pPr>
              <w:pStyle w:val="136"/>
              <w:rPr>
                <w:color w:val="auto"/>
              </w:rPr>
            </w:pPr>
            <w:r>
              <w:rPr>
                <w:color w:val="auto"/>
              </w:rPr>
              <w:t>泄漏</w:t>
            </w:r>
          </w:p>
        </w:tc>
        <w:tc>
          <w:tcPr>
            <w:tcW w:w="993" w:type="dxa"/>
            <w:vAlign w:val="center"/>
          </w:tcPr>
          <w:p>
            <w:pPr>
              <w:pStyle w:val="136"/>
              <w:rPr>
                <w:color w:val="auto"/>
              </w:rPr>
            </w:pPr>
            <w:r>
              <w:rPr>
                <w:rFonts w:hint="eastAsia"/>
                <w:color w:val="auto"/>
              </w:rPr>
              <w:t>气田水</w:t>
            </w:r>
          </w:p>
        </w:tc>
        <w:tc>
          <w:tcPr>
            <w:tcW w:w="931" w:type="dxa"/>
            <w:vAlign w:val="center"/>
          </w:tcPr>
          <w:p>
            <w:pPr>
              <w:pStyle w:val="136"/>
              <w:rPr>
                <w:color w:val="auto"/>
              </w:rPr>
            </w:pPr>
            <w:r>
              <w:rPr>
                <w:color w:val="auto"/>
              </w:rPr>
              <w:t>地表水、土壤、地下水</w:t>
            </w:r>
          </w:p>
        </w:tc>
        <w:tc>
          <w:tcPr>
            <w:tcW w:w="1551" w:type="dxa"/>
            <w:vAlign w:val="center"/>
          </w:tcPr>
          <w:p>
            <w:pPr>
              <w:pStyle w:val="136"/>
              <w:rPr>
                <w:color w:val="auto"/>
              </w:rPr>
            </w:pPr>
            <w:r>
              <w:rPr>
                <w:color w:val="auto"/>
              </w:rPr>
              <w:t>地表水、土壤、地下水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626" w:type="dxa"/>
            <w:vAlign w:val="center"/>
          </w:tcPr>
          <w:p>
            <w:pPr>
              <w:pStyle w:val="136"/>
              <w:rPr>
                <w:color w:val="auto"/>
              </w:rPr>
            </w:pPr>
            <w:r>
              <w:rPr>
                <w:rFonts w:hint="eastAsia"/>
                <w:color w:val="auto"/>
              </w:rPr>
              <w:t>7</w:t>
            </w:r>
          </w:p>
        </w:tc>
        <w:tc>
          <w:tcPr>
            <w:tcW w:w="2010" w:type="dxa"/>
            <w:vAlign w:val="center"/>
          </w:tcPr>
          <w:p>
            <w:pPr>
              <w:pStyle w:val="136"/>
              <w:rPr>
                <w:color w:val="auto"/>
              </w:rPr>
            </w:pPr>
            <w:r>
              <w:rPr>
                <w:rFonts w:hint="eastAsia"/>
                <w:color w:val="auto"/>
              </w:rPr>
              <w:t>污水池</w:t>
            </w:r>
          </w:p>
        </w:tc>
        <w:tc>
          <w:tcPr>
            <w:tcW w:w="878" w:type="dxa"/>
            <w:vAlign w:val="center"/>
          </w:tcPr>
          <w:p>
            <w:pPr>
              <w:pStyle w:val="136"/>
              <w:rPr>
                <w:color w:val="auto"/>
              </w:rPr>
            </w:pPr>
            <w:r>
              <w:rPr>
                <w:rFonts w:hint="eastAsia"/>
                <w:bCs/>
                <w:color w:val="auto"/>
              </w:rPr>
              <w:t>完井</w:t>
            </w:r>
            <w:r>
              <w:rPr>
                <w:bCs/>
                <w:color w:val="auto"/>
              </w:rPr>
              <w:t>过程</w:t>
            </w:r>
          </w:p>
        </w:tc>
        <w:tc>
          <w:tcPr>
            <w:tcW w:w="1589" w:type="dxa"/>
            <w:vAlign w:val="center"/>
          </w:tcPr>
          <w:p>
            <w:pPr>
              <w:pStyle w:val="136"/>
              <w:rPr>
                <w:color w:val="auto"/>
              </w:rPr>
            </w:pPr>
            <w:r>
              <w:rPr>
                <w:color w:val="auto"/>
              </w:rPr>
              <w:t>泄漏</w:t>
            </w:r>
          </w:p>
        </w:tc>
        <w:tc>
          <w:tcPr>
            <w:tcW w:w="993" w:type="dxa"/>
            <w:vAlign w:val="center"/>
          </w:tcPr>
          <w:p>
            <w:pPr>
              <w:pStyle w:val="136"/>
              <w:rPr>
                <w:color w:val="auto"/>
              </w:rPr>
            </w:pPr>
            <w:r>
              <w:rPr>
                <w:rFonts w:hint="eastAsia"/>
                <w:color w:val="auto"/>
              </w:rPr>
              <w:t>压裂、洗井废水</w:t>
            </w:r>
          </w:p>
        </w:tc>
        <w:tc>
          <w:tcPr>
            <w:tcW w:w="931" w:type="dxa"/>
            <w:vAlign w:val="center"/>
          </w:tcPr>
          <w:p>
            <w:pPr>
              <w:pStyle w:val="136"/>
              <w:rPr>
                <w:color w:val="auto"/>
              </w:rPr>
            </w:pPr>
            <w:r>
              <w:rPr>
                <w:color w:val="auto"/>
              </w:rPr>
              <w:t>地表水、土壤、地下水</w:t>
            </w:r>
          </w:p>
        </w:tc>
        <w:tc>
          <w:tcPr>
            <w:tcW w:w="1551" w:type="dxa"/>
            <w:vAlign w:val="center"/>
          </w:tcPr>
          <w:p>
            <w:pPr>
              <w:pStyle w:val="136"/>
              <w:rPr>
                <w:color w:val="auto"/>
              </w:rPr>
            </w:pPr>
            <w:r>
              <w:rPr>
                <w:color w:val="auto"/>
              </w:rPr>
              <w:t>地表水、土壤、地下水</w:t>
            </w:r>
          </w:p>
        </w:tc>
      </w:tr>
    </w:tbl>
    <w:p>
      <w:pPr>
        <w:pStyle w:val="3"/>
        <w:spacing w:before="120"/>
        <w:rPr>
          <w:rFonts w:cs="Times New Roman"/>
        </w:rPr>
      </w:pPr>
      <w:bookmarkStart w:id="544" w:name="bookmark62"/>
      <w:bookmarkEnd w:id="544"/>
      <w:bookmarkStart w:id="545" w:name="_Toc12288734"/>
      <w:bookmarkStart w:id="546" w:name="_Toc19816107"/>
      <w:bookmarkStart w:id="547" w:name="_Toc81515299"/>
      <w:r>
        <w:rPr>
          <w:rFonts w:cs="Times New Roman"/>
        </w:rPr>
        <w:t>7.7</w:t>
      </w:r>
      <w:bookmarkEnd w:id="545"/>
      <w:bookmarkEnd w:id="546"/>
      <w:r>
        <w:rPr>
          <w:rFonts w:cs="Times New Roman"/>
        </w:rPr>
        <w:t xml:space="preserve"> 风险事故情形分析</w:t>
      </w:r>
      <w:bookmarkEnd w:id="547"/>
    </w:p>
    <w:p>
      <w:pPr>
        <w:pStyle w:val="4"/>
        <w:rPr>
          <w:rFonts w:eastAsia="宋体"/>
        </w:rPr>
      </w:pPr>
      <w:r>
        <w:rPr>
          <w:rFonts w:eastAsia="宋体"/>
        </w:rPr>
        <w:t>7.7.1 危险因素分析</w:t>
      </w:r>
    </w:p>
    <w:p>
      <w:pPr>
        <w:pStyle w:val="112"/>
        <w:ind w:firstLine="482"/>
        <w:rPr>
          <w:b/>
        </w:rPr>
      </w:pPr>
      <w:r>
        <w:rPr>
          <w:b/>
        </w:rPr>
        <w:t>1、</w:t>
      </w:r>
      <w:r>
        <w:rPr>
          <w:rFonts w:hint="eastAsia"/>
          <w:b/>
        </w:rPr>
        <w:t>井喷</w:t>
      </w:r>
      <w:r>
        <w:rPr>
          <w:b/>
        </w:rPr>
        <w:t>事故原因</w:t>
      </w:r>
    </w:p>
    <w:p>
      <w:pPr>
        <w:pStyle w:val="112"/>
        <w:ind w:firstLine="480"/>
        <w:rPr>
          <w:b/>
        </w:rPr>
      </w:pPr>
      <w:r>
        <w:t>通过对国内</w:t>
      </w:r>
      <w:r>
        <w:rPr>
          <w:rFonts w:hint="eastAsia"/>
        </w:rPr>
        <w:t>钻井过程</w:t>
      </w:r>
      <w:r>
        <w:t>进行事故统计和原因分析可以看出，</w:t>
      </w:r>
      <w:r>
        <w:rPr>
          <w:rFonts w:hint="eastAsia"/>
        </w:rPr>
        <w:t>井喷</w:t>
      </w:r>
      <w:r>
        <w:t>事故原因主要有以下几类：</w:t>
      </w:r>
    </w:p>
    <w:p>
      <w:pPr>
        <w:pStyle w:val="112"/>
        <w:ind w:firstLine="480"/>
      </w:pPr>
      <w:r>
        <w:rPr>
          <w:rFonts w:hint="eastAsia"/>
        </w:rPr>
        <w:t>（1）钻井</w:t>
      </w:r>
      <w:r>
        <w:t>过程中地层压力不准</w:t>
      </w:r>
      <w:r>
        <w:rPr>
          <w:rFonts w:hint="eastAsia"/>
        </w:rPr>
        <w:t>，</w:t>
      </w:r>
      <w:r>
        <w:t>致设计不准确，钻井液密度低于地层空隙压力梯度</w:t>
      </w:r>
      <w:r>
        <w:rPr>
          <w:rFonts w:hint="eastAsia"/>
        </w:rPr>
        <w:t>，易造成</w:t>
      </w:r>
      <w:r>
        <w:t>井喷</w:t>
      </w:r>
      <w:r>
        <w:rPr>
          <w:rFonts w:hint="eastAsia"/>
        </w:rPr>
        <w:t>事故。</w:t>
      </w:r>
    </w:p>
    <w:p>
      <w:pPr>
        <w:pStyle w:val="112"/>
        <w:ind w:firstLine="480"/>
      </w:pPr>
      <w:r>
        <w:rPr>
          <w:rFonts w:hint="eastAsia"/>
        </w:rPr>
        <w:t>（2）</w:t>
      </w:r>
      <w:r>
        <w:t>井控设备及管材在安装、使用前未按有关规定进行检验合格后使用</w:t>
      </w:r>
      <w:r>
        <w:rPr>
          <w:rFonts w:hint="eastAsia"/>
        </w:rPr>
        <w:t>，易造成</w:t>
      </w:r>
      <w:r>
        <w:t>井喷</w:t>
      </w:r>
      <w:r>
        <w:rPr>
          <w:rFonts w:hint="eastAsia"/>
        </w:rPr>
        <w:t>事故。</w:t>
      </w:r>
    </w:p>
    <w:p>
      <w:pPr>
        <w:pStyle w:val="112"/>
        <w:ind w:firstLine="480"/>
      </w:pPr>
      <w:r>
        <w:rPr>
          <w:rFonts w:hint="eastAsia"/>
        </w:rPr>
        <w:t>（3）放喷</w:t>
      </w:r>
      <w:r>
        <w:t>器件、管线有刺漏，压力等级不符合要求；非金属材料不符合要求，密封失效</w:t>
      </w:r>
      <w:r>
        <w:rPr>
          <w:rFonts w:hint="eastAsia"/>
        </w:rPr>
        <w:t>，易造成</w:t>
      </w:r>
      <w:r>
        <w:t>井喷</w:t>
      </w:r>
      <w:r>
        <w:rPr>
          <w:rFonts w:hint="eastAsia"/>
        </w:rPr>
        <w:t>事故。</w:t>
      </w:r>
    </w:p>
    <w:p>
      <w:pPr>
        <w:pStyle w:val="112"/>
        <w:ind w:firstLine="480"/>
      </w:pPr>
      <w:r>
        <w:rPr>
          <w:rFonts w:hint="eastAsia"/>
        </w:rPr>
        <w:t>（4）</w:t>
      </w:r>
      <w:r>
        <w:t>司钻控制下放速度不当或操作不平稳</w:t>
      </w:r>
      <w:r>
        <w:rPr>
          <w:rFonts w:hint="eastAsia"/>
        </w:rPr>
        <w:t>，易造成</w:t>
      </w:r>
      <w:r>
        <w:t>井喷</w:t>
      </w:r>
      <w:r>
        <w:rPr>
          <w:rFonts w:hint="eastAsia"/>
        </w:rPr>
        <w:t>事故。</w:t>
      </w:r>
    </w:p>
    <w:p>
      <w:pPr>
        <w:pStyle w:val="112"/>
        <w:ind w:firstLine="480"/>
      </w:pPr>
      <w:r>
        <w:rPr>
          <w:rFonts w:hint="eastAsia"/>
        </w:rPr>
        <w:t>（5）</w:t>
      </w:r>
      <w:r>
        <w:t>下完套管，当套管内钻井液未灌满时，若直接水龙头带开泵洗井</w:t>
      </w:r>
      <w:r>
        <w:rPr>
          <w:rFonts w:hint="eastAsia"/>
        </w:rPr>
        <w:t>，易造成</w:t>
      </w:r>
      <w:r>
        <w:t>井喷</w:t>
      </w:r>
      <w:r>
        <w:rPr>
          <w:rFonts w:hint="eastAsia"/>
        </w:rPr>
        <w:t>事故。</w:t>
      </w:r>
    </w:p>
    <w:p>
      <w:pPr>
        <w:pStyle w:val="112"/>
        <w:ind w:firstLine="480"/>
      </w:pPr>
      <w:r>
        <w:rPr>
          <w:rFonts w:hint="eastAsia"/>
        </w:rPr>
        <w:t>（6）</w:t>
      </w:r>
      <w:r>
        <w:t>节流管汇与井喷器连接不平直，容易使节流管汇作用发挥不完全；节流管汇试压未到额定工作压力或或稳定时间不够，导致井控管失效</w:t>
      </w:r>
      <w:r>
        <w:rPr>
          <w:rFonts w:hint="eastAsia"/>
        </w:rPr>
        <w:t>，易造成</w:t>
      </w:r>
      <w:r>
        <w:t>井喷</w:t>
      </w:r>
      <w:r>
        <w:rPr>
          <w:rFonts w:hint="eastAsia"/>
        </w:rPr>
        <w:t>事故。</w:t>
      </w:r>
    </w:p>
    <w:p>
      <w:pPr>
        <w:pStyle w:val="112"/>
        <w:ind w:firstLine="480"/>
      </w:pPr>
      <w:r>
        <w:rPr>
          <w:rFonts w:hint="eastAsia"/>
        </w:rPr>
        <w:t>（7）</w:t>
      </w:r>
      <w:r>
        <w:t>阀板与阀座之间密封不好或是井控装置部件表面生锈腐蚀使节流压井管失效，方钻杆上下旋转开关不灵活，有可能因不能正常开关而发生井喷事故</w:t>
      </w:r>
      <w:r>
        <w:rPr>
          <w:rFonts w:hint="eastAsia"/>
        </w:rPr>
        <w:t>。</w:t>
      </w:r>
    </w:p>
    <w:p>
      <w:pPr>
        <w:pStyle w:val="112"/>
        <w:ind w:firstLine="480"/>
      </w:pPr>
      <w:r>
        <w:rPr>
          <w:rFonts w:hint="eastAsia"/>
        </w:rPr>
        <w:t>（8）</w:t>
      </w:r>
      <w:r>
        <w:t>未及时发现溢流显示或发现后处理不当等造成井喷事故</w:t>
      </w:r>
      <w:r>
        <w:rPr>
          <w:rFonts w:hint="eastAsia"/>
        </w:rPr>
        <w:t>。</w:t>
      </w:r>
    </w:p>
    <w:p>
      <w:pPr>
        <w:pStyle w:val="112"/>
        <w:ind w:firstLine="480"/>
      </w:pPr>
      <w:r>
        <w:rPr>
          <w:rFonts w:hint="eastAsia"/>
        </w:rPr>
        <w:t>（9）</w:t>
      </w:r>
      <w:r>
        <w:t>换装井口、起下管柱作业和循环施工作业中，对作业时间估计不足，压井时间短，井内压力失衡导致井喷或井喷失控</w:t>
      </w:r>
      <w:r>
        <w:rPr>
          <w:rFonts w:hint="eastAsia"/>
        </w:rPr>
        <w:t>。</w:t>
      </w:r>
    </w:p>
    <w:p>
      <w:pPr>
        <w:pStyle w:val="112"/>
        <w:ind w:firstLine="480"/>
      </w:pPr>
      <w:r>
        <w:rPr>
          <w:rFonts w:hint="eastAsia"/>
        </w:rPr>
        <w:t>（10）</w:t>
      </w:r>
      <w:r>
        <w:t>安装井下安全阀，因作业所需时间较长，若压井时间不足，井内压力失衡导致井喷或井喷失控</w:t>
      </w:r>
      <w:r>
        <w:rPr>
          <w:rFonts w:hint="eastAsia"/>
        </w:rPr>
        <w:t>。</w:t>
      </w:r>
    </w:p>
    <w:p>
      <w:pPr>
        <w:pStyle w:val="112"/>
        <w:ind w:firstLine="482"/>
        <w:rPr>
          <w:b/>
        </w:rPr>
      </w:pPr>
      <w:r>
        <w:rPr>
          <w:rFonts w:hint="eastAsia"/>
          <w:b/>
        </w:rPr>
        <w:t>2、</w:t>
      </w:r>
      <w:r>
        <w:rPr>
          <w:b/>
        </w:rPr>
        <w:t>典型</w:t>
      </w:r>
      <w:r>
        <w:rPr>
          <w:rFonts w:hint="eastAsia"/>
          <w:b/>
        </w:rPr>
        <w:t>井喷</w:t>
      </w:r>
      <w:r>
        <w:rPr>
          <w:b/>
        </w:rPr>
        <w:t>事故案例</w:t>
      </w:r>
    </w:p>
    <w:p>
      <w:pPr>
        <w:pStyle w:val="112"/>
        <w:ind w:firstLine="480"/>
      </w:pPr>
      <w:r>
        <w:rPr>
          <w:rFonts w:hint="eastAsia"/>
        </w:rPr>
        <w:t>1976年赵1井井喷事故：发生于钻进过程，3人死亡，6人中毒。事故原因：无井控制度、无防喷设备、未储备重型泥浆材料、无H</w:t>
      </w:r>
      <w:r>
        <w:rPr>
          <w:rFonts w:hint="eastAsia"/>
          <w:vertAlign w:val="subscript"/>
        </w:rPr>
        <w:t>2</w:t>
      </w:r>
      <w:r>
        <w:rPr>
          <w:rFonts w:hint="eastAsia"/>
        </w:rPr>
        <w:t>S防护装备。</w:t>
      </w:r>
    </w:p>
    <w:p>
      <w:pPr>
        <w:pStyle w:val="112"/>
        <w:ind w:firstLine="480"/>
      </w:pPr>
      <w:r>
        <w:rPr>
          <w:rFonts w:hint="eastAsia"/>
        </w:rPr>
        <w:t>1992年龙会2井井喷事故：发生于钻进过程。事故原因：对地层高压认识不足而钻井液密度偏低、发现溢流不及时、井控装置质量不合格（设计压力35MPa ，防喷器半封闸板芯子在套压28MPa 时损坏且无备用件）。</w:t>
      </w:r>
    </w:p>
    <w:p>
      <w:pPr>
        <w:pStyle w:val="112"/>
        <w:ind w:firstLine="480"/>
      </w:pPr>
      <w:r>
        <w:rPr>
          <w:rFonts w:hint="eastAsia"/>
        </w:rPr>
        <w:t>1994年赵48井井喷事故：发生于射孔过程，井喷时间18h</w:t>
      </w:r>
      <w:r>
        <w:t xml:space="preserve"> </w:t>
      </w:r>
      <w:r>
        <w:rPr>
          <w:rFonts w:hint="eastAsia"/>
        </w:rPr>
        <w:t>20min，6人死亡，24人中度中毒。事故原因：该井为预探井，未预见气藏含H</w:t>
      </w:r>
      <w:r>
        <w:rPr>
          <w:rFonts w:hint="eastAsia"/>
          <w:vertAlign w:val="subscript"/>
        </w:rPr>
        <w:t>2</w:t>
      </w:r>
      <w:r>
        <w:rPr>
          <w:rFonts w:hint="eastAsia"/>
        </w:rPr>
        <w:t>S，井下工具不抗硫。</w:t>
      </w:r>
    </w:p>
    <w:p>
      <w:pPr>
        <w:pStyle w:val="112"/>
        <w:ind w:firstLine="480"/>
      </w:pPr>
      <w:r>
        <w:rPr>
          <w:rFonts w:hint="eastAsia"/>
        </w:rPr>
        <w:t>1995年渡1井井喷事故：发生于钻进过程，天然气H</w:t>
      </w:r>
      <w:r>
        <w:rPr>
          <w:rFonts w:hint="eastAsia"/>
          <w:vertAlign w:val="subscript"/>
        </w:rPr>
        <w:t>2</w:t>
      </w:r>
      <w:r>
        <w:rPr>
          <w:rFonts w:hint="eastAsia"/>
        </w:rPr>
        <w:t>S含量231.93g/m</w:t>
      </w:r>
      <w:r>
        <w:rPr>
          <w:rFonts w:hint="eastAsia"/>
          <w:vertAlign w:val="superscript"/>
        </w:rPr>
        <w:t>3</w:t>
      </w:r>
      <w:r>
        <w:rPr>
          <w:rFonts w:hint="eastAsia"/>
        </w:rPr>
        <w:t>。发生多位员工中毒，但未造成抢险人员及周围村民死亡。事故原因：钻井液密度低于设计值、关井处置措施不当、储备的加重钻井液粘切过高、回压阀堵塞（无内防喷工具）、防喷器与防喷闸门压力等级不匹配（防喷器70MPa，上四通缩内控闸门35MPa）。</w:t>
      </w:r>
    </w:p>
    <w:p>
      <w:pPr>
        <w:pStyle w:val="112"/>
        <w:ind w:firstLine="480"/>
      </w:pPr>
      <w:r>
        <w:rPr>
          <w:rFonts w:hint="eastAsia"/>
        </w:rPr>
        <w:t>2003年罗家16H井井喷事故：发生于起、下钻过程，H</w:t>
      </w:r>
      <w:r>
        <w:rPr>
          <w:rFonts w:hint="eastAsia"/>
          <w:vertAlign w:val="subscript"/>
        </w:rPr>
        <w:t>2</w:t>
      </w:r>
      <w:r>
        <w:rPr>
          <w:rFonts w:hint="eastAsia"/>
        </w:rPr>
        <w:t>S含量约9.46%，（134.4g/m</w:t>
      </w:r>
      <w:r>
        <w:rPr>
          <w:rFonts w:hint="eastAsia"/>
          <w:vertAlign w:val="superscript"/>
        </w:rPr>
        <w:t>3</w:t>
      </w:r>
      <w:r>
        <w:rPr>
          <w:rFonts w:hint="eastAsia"/>
        </w:rPr>
        <w:t>），人员伤亡严重。事故原因：坐岗制度不落实未及时发现气侵和溢流、起钻时未按井控要求及时灌注钻井液、未按要求安装回压阀无法实现内防喷、无剪切闸板防喷器而全封防喷器不能剪断钻杆控制井口，高含硫天然气喷出且未点火，持续了约18h。造成严重的人员伤亡。</w:t>
      </w:r>
    </w:p>
    <w:p>
      <w:pPr>
        <w:pStyle w:val="112"/>
        <w:ind w:firstLine="480"/>
      </w:pPr>
      <w:r>
        <w:rPr>
          <w:rFonts w:hint="eastAsia"/>
        </w:rPr>
        <w:t>2006年罗家2井复杂井漏事故：发生于修井作业过程，通过放喷点火卸压，及时疏散人群，未造成人员伤亡。事故主要原因：固井质量缺陷。</w:t>
      </w:r>
    </w:p>
    <w:p>
      <w:pPr>
        <w:pStyle w:val="112"/>
        <w:ind w:firstLine="480"/>
      </w:pPr>
      <w:r>
        <w:rPr>
          <w:rFonts w:hint="eastAsia"/>
        </w:rPr>
        <w:t>2019年12月13日罗家16井井喷事故：发生于钻井过程，人员伤亡严重。事故原因：有关人员对罗家16井的特高出气量估计不足；起钻过程违章操作，违章卸掉钻柱上的回压阀；未及时发现溢流征兆；没有及时采取放喷管线点火措施。</w:t>
      </w:r>
    </w:p>
    <w:p>
      <w:pPr>
        <w:pStyle w:val="112"/>
        <w:ind w:firstLine="482"/>
        <w:rPr>
          <w:b/>
        </w:rPr>
      </w:pPr>
      <w:r>
        <w:rPr>
          <w:rFonts w:hint="eastAsia"/>
          <w:b/>
        </w:rPr>
        <w:t>3</w:t>
      </w:r>
      <w:r>
        <w:rPr>
          <w:b/>
        </w:rPr>
        <w:t>、天然气管道泄漏事故原因</w:t>
      </w:r>
    </w:p>
    <w:p>
      <w:pPr>
        <w:pStyle w:val="112"/>
        <w:ind w:firstLine="480"/>
      </w:pPr>
      <w:r>
        <w:t>通过对国内外天然气输送管遇进行事故统计和原因分析可以看出，输气管道的泄漏事故原因主要有以下几类：</w:t>
      </w:r>
    </w:p>
    <w:p>
      <w:pPr>
        <w:pStyle w:val="112"/>
        <w:ind w:firstLine="482"/>
        <w:rPr>
          <w:b/>
        </w:rPr>
      </w:pPr>
      <w:r>
        <w:rPr>
          <w:b/>
        </w:rPr>
        <w:t>（1）外部损（破）坏</w:t>
      </w:r>
    </w:p>
    <w:p>
      <w:pPr>
        <w:pStyle w:val="112"/>
        <w:ind w:firstLine="480"/>
      </w:pPr>
      <w:r>
        <w:t>外部损（破）坏主要指外来原因或第三方责任而引起的管边事故。输气管过的外部损（破）坏主要指施工机械或大型工具将管遇意外刺伤或地震、滑坡、泥石流、挖土湿陷、坍塌、垮场、洪水等自然外力引起的管道损伤和第三方人为损（破）坏：因操作人员的素质、技术水平、应变能力及责任心不够也是造成事故的原因之一。</w:t>
      </w:r>
    </w:p>
    <w:p>
      <w:pPr>
        <w:pStyle w:val="112"/>
        <w:ind w:firstLine="480"/>
      </w:pPr>
      <w:r>
        <w:t>人为损坏主要来自三个方面，一是工艺操作失误，导致流程错乱，形成憋压、抽空等其它非正常工况，引起天然气泄漏；二是违法在管道保护区或安全防护区内从事取土、挖掘、采石、盖房、修渠、爆破、行驶禁止行驶的交通工具和机械等活动，造成输气管道破损：三是不法分子蓄意破坏，在管道上钻孔输气，盗窃管道附属设备和构件等，都极容易引发重大安全事故。</w:t>
      </w:r>
    </w:p>
    <w:p>
      <w:pPr>
        <w:pStyle w:val="112"/>
        <w:ind w:firstLine="482"/>
        <w:rPr>
          <w:b/>
        </w:rPr>
      </w:pPr>
      <w:r>
        <w:rPr>
          <w:b/>
        </w:rPr>
        <w:t>（2）腐蚀</w:t>
      </w:r>
    </w:p>
    <w:p>
      <w:pPr>
        <w:pStyle w:val="112"/>
        <w:ind w:firstLine="480"/>
      </w:pPr>
      <w:r>
        <w:t>腐蚀是造成输气管道穿孔、泄漏最常见的因素。</w:t>
      </w:r>
    </w:p>
    <w:p>
      <w:pPr>
        <w:pStyle w:val="112"/>
        <w:ind w:firstLine="480"/>
      </w:pPr>
      <w:r>
        <w:t>腐蚀失效是长输管道主要失效形式之一，腐蚀有可能大面积减薄管道的壁厚，导致过度变形或爆破，也有可能导致管道腐蚀穿孔。本项目埋地管道受所处的土壤类型、土壤电阻率、土壤含水量（湿度）、pH值、硫化物含量、氧化还原电位、微生物、杂散电流及干扰电流等因素的影响会造成管道电化学腐蚀、化学腐蚀、微生物腐蚀、应力腐蚀和干扰腐蚀等。</w:t>
      </w:r>
    </w:p>
    <w:p>
      <w:pPr>
        <w:pStyle w:val="112"/>
        <w:ind w:firstLine="480"/>
      </w:pPr>
      <w:r>
        <w:t>管道外腐蚀是在外防腐层破坏/剥离、阴极保护不完全/被屏蔽情况下发生的，发生后腐蚀速率与土壤腐蚀性、阴极保护度等因素有关。防腐层失效的主要原因有土壤对涂层的化学、物理破坏，运行条件造成的涂层老化、阴极保护副作用造成涂层剥离，施工质量差和补口不合格，以及外界活动破坏防腐层等。诱发管道内腐蚀的原因主要是输送介质中含有机硫、CO</w:t>
      </w:r>
      <w:r>
        <w:rPr>
          <w:vertAlign w:val="subscript"/>
        </w:rPr>
        <w:t>2</w:t>
      </w:r>
      <w:r>
        <w:t>、水、细菌等腐蚀性物质。管道沿线大部分地段土壤电阻率在50m以上，属弱腐蚀性土壤（如粘土、碎石层和基岩等）；少部分有水的河谷边为中等腐蚀性土壤；管道通过山区部分土壤中各种微生物和植物根茎比较活跃，土壤中的含水量较高。</w:t>
      </w:r>
    </w:p>
    <w:p>
      <w:pPr>
        <w:pStyle w:val="112"/>
        <w:ind w:firstLine="480"/>
      </w:pPr>
      <w:r>
        <w:t>埋地酸气管线防腐保温采用“管中管”成型工艺，保温层采用硬质</w:t>
      </w:r>
      <w:r>
        <w:rPr>
          <w:rFonts w:hint="eastAsia"/>
          <w:lang w:eastAsia="zh-CN"/>
        </w:rPr>
        <w:t>聚氨酯</w:t>
      </w:r>
      <w:r>
        <w:t>泡沫聚乙烯防腐保温层（保温层厚40mm），防腐层采用环氧粉末；防护层采用聚乙烯层，酸气管道补口采用现场发泡，补口防腐采用无溶剂液体环氧涂料+粘弹体胶带+聚乙烯袖套管+粘弹体胶带+辐射交联聚乙烯热收缩带。</w:t>
      </w:r>
    </w:p>
    <w:p>
      <w:pPr>
        <w:pStyle w:val="112"/>
        <w:ind w:firstLine="480"/>
      </w:pPr>
      <w:r>
        <w:t>本工程的防腐水平较高，无论是管道防腐、补口防腐，都是采用国内目前先进的防腐工艺。本工程的防腐可以在一定程度上降低引发工程出现事故的最主要原因——腐蚀的程度和速度，削减本工程的环境风险水平。</w:t>
      </w:r>
    </w:p>
    <w:p>
      <w:pPr>
        <w:pStyle w:val="112"/>
        <w:ind w:firstLine="482"/>
        <w:rPr>
          <w:b/>
        </w:rPr>
      </w:pPr>
      <w:r>
        <w:rPr>
          <w:b/>
        </w:rPr>
        <w:t>（3）管材及施工缺陷</w:t>
      </w:r>
    </w:p>
    <w:p>
      <w:pPr>
        <w:pStyle w:val="112"/>
        <w:ind w:firstLine="480"/>
      </w:pPr>
      <w:r>
        <w:t>管材本身质量差多是因为金属材质及制造工艺的缺陷引起，其中管材卷边、分层、制管焊缝缺陷、管段热处理等工艺均可影响到管材质量；管道焊接缺陷主要表现在焊接边缘错位、未焊透与未熔合、夹渣、气孔和裂纹等，这些缺陷大多数是由于焊工责任心不强、工作不认真以及违反焊接工艺规程所造成的。</w:t>
      </w:r>
    </w:p>
    <w:p>
      <w:pPr>
        <w:pStyle w:val="112"/>
        <w:ind w:firstLine="480"/>
      </w:pPr>
      <w:r>
        <w:t>施工质量主要指管道对接焊缝质量。管口焊接质量水平低，电弧烧穿、气孔、夹渣和未焊透发生率高，是引发事故的又一重要因素。</w:t>
      </w:r>
    </w:p>
    <w:p>
      <w:pPr>
        <w:pStyle w:val="112"/>
        <w:ind w:firstLine="480"/>
      </w:pPr>
      <w:r>
        <w:t>施工不良还表现在以下方面：管道除锈、去污、防腐和现场补口等工序未按施工要求去做；现场涂敷作业管理不严，使防腐层与管体粘结不良，管子下沟动作粗鲁以及回填作业草率，使泥土、岩石冲击防腐层，造成防腐层破坏；阴极保护没有与管道埋地同时进行；还有管子搬运时管子产生疲劳裂纹。</w:t>
      </w:r>
    </w:p>
    <w:p>
      <w:pPr>
        <w:pStyle w:val="6"/>
        <w:ind w:firstLine="482"/>
        <w:rPr>
          <w:rFonts w:ascii="Times New Roman" w:cs="Times New Roman"/>
          <w:b/>
        </w:rPr>
      </w:pPr>
      <w:r>
        <w:rPr>
          <w:rFonts w:hint="eastAsia" w:ascii="Times New Roman" w:cs="Times New Roman"/>
          <w:b/>
        </w:rPr>
        <w:t>4</w:t>
      </w:r>
      <w:r>
        <w:rPr>
          <w:rFonts w:ascii="Times New Roman" w:cs="Times New Roman"/>
          <w:b/>
        </w:rPr>
        <w:t>、管道危险因素分析</w:t>
      </w:r>
    </w:p>
    <w:p>
      <w:pPr>
        <w:pStyle w:val="6"/>
        <w:ind w:firstLine="480"/>
        <w:rPr>
          <w:rFonts w:ascii="Times New Roman" w:cs="Times New Roman"/>
        </w:rPr>
      </w:pPr>
      <w:r>
        <w:rPr>
          <w:rFonts w:ascii="Times New Roman" w:cs="Times New Roman"/>
        </w:rPr>
        <w:t>结合国外管道事故分析，天然气输气管道事故因素主要涉及第三方破坏、腐蚀、设计和误操作等，考虑人的第三方破坏、设计质量、施工危害、生产运营管理等人为因素的影响。</w:t>
      </w:r>
    </w:p>
    <w:p>
      <w:pPr>
        <w:pStyle w:val="6"/>
        <w:ind w:firstLine="480"/>
        <w:rPr>
          <w:rFonts w:ascii="Times New Roman" w:cs="Times New Roman"/>
        </w:rPr>
      </w:pPr>
      <w:r>
        <w:rPr>
          <w:rFonts w:hint="eastAsia" w:hAnsi="宋体"/>
        </w:rPr>
        <w:t>①</w:t>
      </w:r>
      <w:r>
        <w:rPr>
          <w:rFonts w:ascii="Times New Roman" w:cs="Times New Roman"/>
        </w:rPr>
        <w:t>介质及压力因素：本项目输送的天然气组分在一定条件下对管道内壁具有一定的内腐蚀作用，由于压力较高，存在较高的物理应力开裂危险。另外，输气管道压力随时间有一定的周期性变化，可造成管材疲劳损伤。</w:t>
      </w:r>
    </w:p>
    <w:p>
      <w:pPr>
        <w:pStyle w:val="6"/>
        <w:ind w:firstLine="480"/>
        <w:rPr>
          <w:rFonts w:ascii="Times New Roman" w:cs="Times New Roman"/>
        </w:rPr>
      </w:pPr>
      <w:r>
        <w:rPr>
          <w:rFonts w:hint="eastAsia" w:hAnsi="宋体"/>
        </w:rPr>
        <w:t>②</w:t>
      </w:r>
      <w:r>
        <w:rPr>
          <w:rFonts w:ascii="Times New Roman" w:cs="Times New Roman"/>
        </w:rPr>
        <w:t>地质灾害因素：包括洪水的冲刷、侵蚀与岸坡坍塌、滑坡、崩塌、危石和高陡边坡等。</w:t>
      </w:r>
    </w:p>
    <w:p>
      <w:pPr>
        <w:pStyle w:val="6"/>
        <w:ind w:firstLine="480"/>
        <w:rPr>
          <w:rFonts w:ascii="Times New Roman" w:cs="Times New Roman"/>
        </w:rPr>
      </w:pPr>
      <w:r>
        <w:rPr>
          <w:rFonts w:hint="eastAsia" w:hAnsi="宋体"/>
        </w:rPr>
        <w:t>③</w:t>
      </w:r>
      <w:r>
        <w:rPr>
          <w:rFonts w:ascii="Times New Roman" w:cs="Times New Roman"/>
        </w:rPr>
        <w:t>腐蚀因素：管道沿线大部分均为中～弱腐蚀性土壤。除人类活动的地区外，管道还经过农田分布区和丘陵林地区，在这些地区生长有乔木、灌木和草本。当部分根深植物在管道附近甚至管道上生长时，其根系将缠绕、挤压、损坏管道的防腐层，造成管道防腐失效。</w:t>
      </w:r>
    </w:p>
    <w:p>
      <w:pPr>
        <w:pStyle w:val="6"/>
        <w:ind w:firstLine="480"/>
        <w:rPr>
          <w:rFonts w:ascii="Times New Roman" w:cs="Times New Roman"/>
        </w:rPr>
      </w:pPr>
      <w:r>
        <w:rPr>
          <w:rFonts w:hint="eastAsia" w:hAnsi="宋体"/>
        </w:rPr>
        <w:t>④</w:t>
      </w:r>
      <w:r>
        <w:rPr>
          <w:rFonts w:ascii="Times New Roman" w:cs="Times New Roman"/>
        </w:rPr>
        <w:t>第三方破坏因素：管道经过的人口地区等级及经济发展水平差异较大，3级地区人口分布对工程的第三方破坏、泄漏影响系数具有较大的影响，人类活动频繁，增加了管道风险的水平。</w:t>
      </w:r>
    </w:p>
    <w:p>
      <w:pPr>
        <w:pStyle w:val="6"/>
        <w:ind w:firstLine="480"/>
        <w:rPr>
          <w:rFonts w:ascii="Times New Roman" w:cs="Times New Roman"/>
        </w:rPr>
      </w:pPr>
      <w:r>
        <w:rPr>
          <w:rFonts w:ascii="Times New Roman" w:cs="Times New Roman"/>
        </w:rPr>
        <w:t>根据管道路由的实际情况和分段的情况：对天然气输气管道沿线的第三方破坏、腐蚀、设计、误操作等因素的评估，根据沿线地区等级、高价值地区、环境敏感地区和管线泄漏量和泄漏对管道沿线的相对影响大小，可以确定管线沿线的风险分布。</w:t>
      </w:r>
    </w:p>
    <w:p>
      <w:pPr>
        <w:pStyle w:val="4"/>
        <w:rPr>
          <w:rFonts w:eastAsia="宋体"/>
        </w:rPr>
      </w:pPr>
      <w:bookmarkStart w:id="548" w:name="_Toc12288735"/>
      <w:bookmarkStart w:id="549" w:name="_Toc19816108"/>
      <w:r>
        <w:rPr>
          <w:rFonts w:eastAsia="宋体"/>
        </w:rPr>
        <w:t>7.7.2 风险事故情形</w:t>
      </w:r>
      <w:bookmarkEnd w:id="548"/>
      <w:bookmarkEnd w:id="549"/>
    </w:p>
    <w:p>
      <w:pPr>
        <w:pStyle w:val="6"/>
        <w:ind w:firstLine="482"/>
        <w:rPr>
          <w:rFonts w:ascii="Times New Roman" w:cs="Times New Roman"/>
          <w:b/>
        </w:rPr>
      </w:pPr>
      <w:r>
        <w:rPr>
          <w:rFonts w:ascii="Times New Roman" w:cs="Times New Roman"/>
          <w:b/>
        </w:rPr>
        <w:t>1、</w:t>
      </w:r>
      <w:r>
        <w:rPr>
          <w:rFonts w:hint="eastAsia" w:ascii="Times New Roman" w:cs="Times New Roman"/>
          <w:b/>
        </w:rPr>
        <w:t>井喷</w:t>
      </w:r>
      <w:r>
        <w:rPr>
          <w:rFonts w:ascii="Times New Roman" w:cs="Times New Roman"/>
          <w:b/>
        </w:rPr>
        <w:t>事故</w:t>
      </w:r>
    </w:p>
    <w:p>
      <w:pPr>
        <w:pStyle w:val="6"/>
        <w:ind w:firstLine="480"/>
        <w:rPr>
          <w:rFonts w:ascii="Times New Roman" w:cs="Times New Roman"/>
        </w:rPr>
      </w:pPr>
      <w:r>
        <w:rPr>
          <w:rFonts w:ascii="Times New Roman" w:cs="Times New Roman"/>
        </w:rPr>
        <w:t>在钻井过程中，若出现井喷失控，气藏内的天然气在地层压力作用下，将以极高的动能速度从井口喷出，若释放的</w:t>
      </w:r>
      <w:r>
        <w:rPr>
          <w:rFonts w:hint="eastAsia" w:ascii="Times New Roman" w:cs="Times New Roman"/>
        </w:rPr>
        <w:t>不含</w:t>
      </w:r>
      <w:r>
        <w:rPr>
          <w:rFonts w:ascii="Times New Roman" w:cs="Times New Roman"/>
        </w:rPr>
        <w:t>天然气立即被点火燃烧排放，对环境空气的影响主要是</w:t>
      </w:r>
      <w:r>
        <w:rPr>
          <w:rFonts w:hint="eastAsia" w:ascii="Times New Roman" w:cs="Times New Roman"/>
        </w:rPr>
        <w:t>CO</w:t>
      </w:r>
      <w:r>
        <w:rPr>
          <w:rFonts w:ascii="Times New Roman" w:cs="Times New Roman"/>
        </w:rPr>
        <w:t>；若释放的</w:t>
      </w:r>
      <w:r>
        <w:rPr>
          <w:rFonts w:hint="eastAsia" w:ascii="Times New Roman" w:cs="Times New Roman"/>
        </w:rPr>
        <w:t>不</w:t>
      </w:r>
      <w:r>
        <w:rPr>
          <w:rFonts w:ascii="Times New Roman" w:cs="Times New Roman"/>
        </w:rPr>
        <w:t>含硫天然气自始自终未遇火源，将在其自身动量与气象条件控制下，喷涌后与空气混合、扩散形</w:t>
      </w:r>
      <w:r>
        <w:rPr>
          <w:rFonts w:hint="eastAsia" w:ascii="Times New Roman" w:cs="Times New Roman"/>
        </w:rPr>
        <w:t>后对周边环境影响较小，井喷事故事件</w:t>
      </w:r>
      <w:r>
        <w:rPr>
          <w:rFonts w:ascii="Times New Roman" w:cs="Times New Roman"/>
        </w:rPr>
        <w:t>树见</w:t>
      </w:r>
      <w:r>
        <w:fldChar w:fldCharType="begin"/>
      </w:r>
      <w:r>
        <w:instrText xml:space="preserve"> REF _Ref473012051 \h  \* MERGEFORMAT </w:instrText>
      </w:r>
      <w:r>
        <w:fldChar w:fldCharType="separate"/>
      </w:r>
      <w:r>
        <w:rPr>
          <w:rFonts w:hint="eastAsia" w:ascii="Times New Roman" w:cs="Times New Roman"/>
        </w:rPr>
        <w:t>图7</w:t>
      </w:r>
      <w:r>
        <w:rPr>
          <w:rFonts w:ascii="Times New Roman" w:cs="Times New Roman"/>
        </w:rPr>
        <w:noBreakHyphen/>
      </w:r>
      <w:r>
        <w:rPr>
          <w:rFonts w:ascii="Times New Roman" w:cs="Times New Roman"/>
        </w:rPr>
        <w:t>1</w:t>
      </w:r>
      <w:r>
        <w:rPr>
          <w:rFonts w:ascii="Times New Roman" w:cs="Times New Roman"/>
        </w:rPr>
        <w:fldChar w:fldCharType="end"/>
      </w:r>
      <w:r>
        <w:rPr>
          <w:rFonts w:hint="eastAsia" w:ascii="Times New Roman" w:cs="Times New Roman"/>
        </w:rPr>
        <w:t>。</w:t>
      </w:r>
    </w:p>
    <w:p>
      <w:pPr>
        <w:widowControl/>
        <w:topLinePunct w:val="0"/>
        <w:snapToGrid w:val="0"/>
        <w:spacing w:line="331" w:lineRule="auto"/>
        <w:ind w:firstLine="199" w:firstLineChars="83"/>
        <w:jc w:val="center"/>
        <w:rPr>
          <w:rFonts w:hAnsi="宋体" w:cs="Times New Roman"/>
          <w:kern w:val="2"/>
        </w:rPr>
      </w:pPr>
      <w:r>
        <w:rPr>
          <w:rFonts w:hAnsi="宋体" w:cs="Times New Roman"/>
          <w:kern w:val="2"/>
        </w:rPr>
        <w:drawing>
          <wp:inline distT="0" distB="0" distL="0" distR="0">
            <wp:extent cx="4332605" cy="4520565"/>
            <wp:effectExtent l="19050" t="0" r="0" b="0"/>
            <wp:docPr id="12" name="图片 100" descr="C:\Users\HUANG\Documents\WeChat Files\wxid_f0asumrra2c221\FileStorage\Temp\1660707883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0" descr="C:\Users\HUANG\Documents\WeChat Files\wxid_f0asumrra2c221\FileStorage\Temp\1660707883372.jpg"/>
                    <pic:cNvPicPr>
                      <a:picLocks noChangeAspect="1" noChangeArrowheads="1"/>
                    </pic:cNvPicPr>
                  </pic:nvPicPr>
                  <pic:blipFill>
                    <a:blip r:embed="rId115" cstate="print"/>
                    <a:srcRect/>
                    <a:stretch>
                      <a:fillRect/>
                    </a:stretch>
                  </pic:blipFill>
                  <pic:spPr>
                    <a:xfrm>
                      <a:off x="0" y="0"/>
                      <a:ext cx="4332794" cy="4520910"/>
                    </a:xfrm>
                    <a:prstGeom prst="rect">
                      <a:avLst/>
                    </a:prstGeom>
                    <a:noFill/>
                    <a:ln w="9525">
                      <a:noFill/>
                      <a:miter lim="800000"/>
                      <a:headEnd/>
                      <a:tailEnd/>
                    </a:ln>
                  </pic:spPr>
                </pic:pic>
              </a:graphicData>
            </a:graphic>
          </wp:inline>
        </w:drawing>
      </w:r>
    </w:p>
    <w:p>
      <w:pPr>
        <w:pStyle w:val="6"/>
        <w:ind w:firstLine="0" w:firstLineChars="0"/>
        <w:jc w:val="center"/>
        <w:rPr>
          <w:rFonts w:ascii="Times New Roman" w:cs="Times New Roman"/>
        </w:rPr>
      </w:pPr>
      <w:bookmarkStart w:id="550" w:name="_Ref473012051"/>
      <w:r>
        <w:rPr>
          <w:rFonts w:hint="eastAsia" w:ascii="Times New Roman" w:cs="Times New Roman"/>
          <w:kern w:val="2"/>
          <w:sz w:val="21"/>
          <w:szCs w:val="22"/>
        </w:rPr>
        <w:t>图7</w:t>
      </w:r>
      <w:r>
        <w:rPr>
          <w:rFonts w:ascii="Times New Roman" w:cs="Times New Roman"/>
          <w:kern w:val="2"/>
          <w:sz w:val="21"/>
          <w:szCs w:val="22"/>
        </w:rPr>
        <w:noBreakHyphen/>
      </w:r>
      <w:r>
        <w:rPr>
          <w:rFonts w:ascii="Times New Roman" w:cs="Times New Roman"/>
          <w:kern w:val="2"/>
          <w:sz w:val="21"/>
          <w:szCs w:val="22"/>
        </w:rPr>
        <w:fldChar w:fldCharType="begin"/>
      </w:r>
      <w:r>
        <w:rPr>
          <w:rFonts w:ascii="Times New Roman" w:cs="Times New Roman"/>
          <w:kern w:val="2"/>
          <w:sz w:val="21"/>
          <w:szCs w:val="22"/>
        </w:rPr>
        <w:instrText xml:space="preserve"> </w:instrText>
      </w:r>
      <w:r>
        <w:rPr>
          <w:rFonts w:hint="eastAsia" w:ascii="Times New Roman" w:cs="Times New Roman"/>
          <w:kern w:val="2"/>
          <w:sz w:val="21"/>
          <w:szCs w:val="22"/>
        </w:rPr>
        <w:instrText xml:space="preserve">SEQ 图 \* ARABIC \s 1</w:instrText>
      </w:r>
      <w:r>
        <w:rPr>
          <w:rFonts w:ascii="Times New Roman" w:cs="Times New Roman"/>
          <w:kern w:val="2"/>
          <w:sz w:val="21"/>
          <w:szCs w:val="22"/>
        </w:rPr>
        <w:instrText xml:space="preserve"> </w:instrText>
      </w:r>
      <w:r>
        <w:rPr>
          <w:rFonts w:ascii="Times New Roman" w:cs="Times New Roman"/>
          <w:kern w:val="2"/>
          <w:sz w:val="21"/>
          <w:szCs w:val="22"/>
        </w:rPr>
        <w:fldChar w:fldCharType="separate"/>
      </w:r>
      <w:r>
        <w:rPr>
          <w:rFonts w:ascii="Times New Roman" w:cs="Times New Roman"/>
          <w:kern w:val="2"/>
          <w:sz w:val="21"/>
          <w:szCs w:val="22"/>
        </w:rPr>
        <w:t>1</w:t>
      </w:r>
      <w:r>
        <w:rPr>
          <w:rFonts w:ascii="Times New Roman" w:cs="Times New Roman"/>
          <w:kern w:val="2"/>
          <w:sz w:val="21"/>
          <w:szCs w:val="22"/>
        </w:rPr>
        <w:fldChar w:fldCharType="end"/>
      </w:r>
      <w:bookmarkEnd w:id="550"/>
      <w:r>
        <w:rPr>
          <w:rFonts w:ascii="Times New Roman" w:cs="Times New Roman"/>
          <w:kern w:val="2"/>
          <w:sz w:val="21"/>
          <w:szCs w:val="22"/>
        </w:rPr>
        <w:t xml:space="preserve"> </w:t>
      </w:r>
      <w:r>
        <w:rPr>
          <w:rFonts w:hint="eastAsia" w:ascii="Times New Roman" w:cs="Times New Roman"/>
          <w:kern w:val="2"/>
          <w:sz w:val="21"/>
          <w:szCs w:val="22"/>
        </w:rPr>
        <w:t xml:space="preserve"> 井喷事故事件树</w:t>
      </w:r>
    </w:p>
    <w:p>
      <w:pPr>
        <w:pStyle w:val="6"/>
        <w:ind w:firstLine="480"/>
        <w:rPr>
          <w:rFonts w:ascii="Times New Roman" w:cs="Times New Roman"/>
        </w:rPr>
      </w:pPr>
      <w:r>
        <w:rPr>
          <w:rFonts w:hint="eastAsia" w:ascii="Times New Roman" w:cs="Times New Roman"/>
        </w:rPr>
        <w:t>据不完全统计，在油气勘探开发的40年间（1950年～1990年），累计发生井喷失控事故230次，占完井总数的2.41‰，其中，井喷失控着火78次，占井喷失控总数的34%，因此，井喷失控的事故率约为0.603×10</w:t>
      </w:r>
      <w:r>
        <w:rPr>
          <w:rFonts w:hint="eastAsia" w:ascii="Times New Roman" w:cs="Times New Roman"/>
          <w:vertAlign w:val="superscript"/>
        </w:rPr>
        <w:t>-4</w:t>
      </w:r>
      <w:r>
        <w:rPr>
          <w:rFonts w:hint="eastAsia" w:ascii="Times New Roman" w:cs="Times New Roman"/>
        </w:rPr>
        <w:t>次/年，其中井喷失控着火的事故率约为0.203×10</w:t>
      </w:r>
      <w:r>
        <w:rPr>
          <w:rFonts w:hint="eastAsia" w:ascii="Times New Roman" w:cs="Times New Roman"/>
          <w:vertAlign w:val="superscript"/>
        </w:rPr>
        <w:t>-4</w:t>
      </w:r>
      <w:r>
        <w:rPr>
          <w:rFonts w:hint="eastAsia" w:ascii="Times New Roman" w:cs="Times New Roman"/>
        </w:rPr>
        <w:t>次/年，未着火的事故率约为0.4×10</w:t>
      </w:r>
      <w:r>
        <w:rPr>
          <w:rFonts w:hint="eastAsia" w:ascii="Times New Roman" w:cs="Times New Roman"/>
          <w:vertAlign w:val="superscript"/>
        </w:rPr>
        <w:t>-4</w:t>
      </w:r>
      <w:r>
        <w:rPr>
          <w:rFonts w:hint="eastAsia" w:ascii="Times New Roman" w:cs="Times New Roman"/>
        </w:rPr>
        <w:t>次/年，其中井喷事故未着火的多数为非含硫气田开发。</w:t>
      </w:r>
    </w:p>
    <w:p>
      <w:pPr>
        <w:pStyle w:val="6"/>
        <w:ind w:firstLine="482"/>
        <w:rPr>
          <w:rFonts w:ascii="Times New Roman" w:cs="Times New Roman"/>
          <w:b/>
        </w:rPr>
      </w:pPr>
      <w:r>
        <w:rPr>
          <w:rFonts w:hint="eastAsia" w:ascii="Times New Roman" w:cs="Times New Roman"/>
          <w:b/>
        </w:rPr>
        <w:t>2</w:t>
      </w:r>
      <w:r>
        <w:rPr>
          <w:rFonts w:ascii="Times New Roman" w:cs="Times New Roman"/>
          <w:b/>
        </w:rPr>
        <w:t>、天然气管道泄漏风险事故</w:t>
      </w:r>
    </w:p>
    <w:p>
      <w:pPr>
        <w:pStyle w:val="112"/>
        <w:ind w:firstLine="480"/>
      </w:pPr>
      <w:r>
        <w:t>根据《建设项目环境风险评价技术导则》（HJ169-2018）中附录E，75mm＜内径≤150mm的管道，当泄漏孔径为10%孔径时，泄漏频率为2.0×10</w:t>
      </w:r>
      <w:r>
        <w:rPr>
          <w:vertAlign w:val="superscript"/>
        </w:rPr>
        <w:t>-6</w:t>
      </w:r>
      <w:r>
        <w:t>/</w:t>
      </w:r>
      <w:r>
        <w:rPr>
          <w:rFonts w:hint="eastAsia"/>
        </w:rPr>
        <w:t>（</w:t>
      </w:r>
      <w:r>
        <w:t>m·a</w:t>
      </w:r>
      <w:r>
        <w:rPr>
          <w:rFonts w:hint="eastAsia"/>
        </w:rPr>
        <w:t>）</w:t>
      </w:r>
      <w:r>
        <w:t>；全管径泄漏时，泄漏频率为1.0×10</w:t>
      </w:r>
      <w:r>
        <w:rPr>
          <w:vertAlign w:val="superscript"/>
        </w:rPr>
        <w:t>-6</w:t>
      </w:r>
      <w:r>
        <w:t>/</w:t>
      </w:r>
      <w:r>
        <w:rPr>
          <w:rFonts w:hint="eastAsia"/>
        </w:rPr>
        <w:t>（</w:t>
      </w:r>
      <w:r>
        <w:t>m·a</w:t>
      </w:r>
      <w:r>
        <w:rPr>
          <w:rFonts w:hint="eastAsia"/>
        </w:rPr>
        <w:t>）</w:t>
      </w:r>
      <w:r>
        <w:t>。</w:t>
      </w:r>
    </w:p>
    <w:p>
      <w:pPr>
        <w:pStyle w:val="112"/>
        <w:ind w:firstLine="480"/>
      </w:pPr>
      <w:r>
        <w:t>本项目风险管线全长</w:t>
      </w:r>
      <w:r>
        <w:rPr>
          <w:rFonts w:hint="eastAsia"/>
        </w:rPr>
        <w:t>350</w:t>
      </w:r>
      <w:r>
        <w:t>m，普陆4集气平台~</w:t>
      </w:r>
      <w:r>
        <w:rPr>
          <w:rFonts w:hint="eastAsia"/>
        </w:rPr>
        <w:t>P107集气站集气管道</w:t>
      </w:r>
      <w:r>
        <w:t>管径为</w:t>
      </w:r>
      <w:r>
        <w:rPr>
          <w:rFonts w:hint="eastAsia"/>
        </w:rPr>
        <w:t>80</w:t>
      </w:r>
      <w:r>
        <w:t>mm，因此当泄漏孔径为10%孔径时泄</w:t>
      </w:r>
      <w:r>
        <w:rPr>
          <w:rFonts w:hint="eastAsia"/>
        </w:rPr>
        <w:t>漏</w:t>
      </w:r>
      <w:r>
        <w:t>频率为0.0</w:t>
      </w:r>
      <w:r>
        <w:rPr>
          <w:rFonts w:hint="eastAsia"/>
        </w:rPr>
        <w:t>35</w:t>
      </w:r>
      <w:r>
        <w:t>/a，表明本项目在营运期存在发生泄漏事故的概率较小。本工程无论从管材、防腐还是施工工艺方面，都达到了先进水平，另外还必须最大限度地降低外部干扰、施工缺陷及材料失效等方面事故原因出现的可能，使管道能够安全平稳地营运。</w:t>
      </w:r>
    </w:p>
    <w:p>
      <w:pPr>
        <w:pStyle w:val="112"/>
        <w:ind w:firstLine="482"/>
        <w:rPr>
          <w:b/>
          <w:bCs/>
        </w:rPr>
      </w:pPr>
      <w:r>
        <w:rPr>
          <w:rFonts w:hint="eastAsia"/>
          <w:b/>
          <w:bCs/>
        </w:rPr>
        <w:t>3</w:t>
      </w:r>
      <w:r>
        <w:rPr>
          <w:b/>
          <w:bCs/>
        </w:rPr>
        <w:t>、天然气管道火灾、爆炸风险事故</w:t>
      </w:r>
    </w:p>
    <w:p>
      <w:pPr>
        <w:pStyle w:val="112"/>
        <w:ind w:firstLine="480"/>
      </w:pPr>
      <w:r>
        <w:t>据美国和欧洲的统计：管道大孔泄漏事故引起火灾的可能性为2.7%，小孔事故引起火灾的可能性为1.6%，管径小于406mm的管道破裂后火灾的可能性为4.9%，管径大于406mm的管道破裂后火灾的可能性为35.3%。</w:t>
      </w:r>
    </w:p>
    <w:p>
      <w:pPr>
        <w:pStyle w:val="112"/>
        <w:ind w:firstLine="480"/>
      </w:pPr>
      <w:r>
        <w:t>因此，本管道工程的火灾、爆炸事故概率见表7.7-1。</w:t>
      </w:r>
    </w:p>
    <w:p>
      <w:pPr>
        <w:pStyle w:val="125"/>
        <w:rPr>
          <w:rFonts w:eastAsia="宋体"/>
        </w:rPr>
      </w:pPr>
      <w:r>
        <w:rPr>
          <w:rFonts w:eastAsia="宋体"/>
        </w:rPr>
        <w:t>表7.7-1  泄漏频率表</w:t>
      </w:r>
    </w:p>
    <w:tbl>
      <w:tblPr>
        <w:tblStyle w:val="57"/>
        <w:tblW w:w="53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51"/>
        <w:gridCol w:w="1164"/>
        <w:gridCol w:w="1420"/>
        <w:gridCol w:w="895"/>
        <w:gridCol w:w="1672"/>
        <w:gridCol w:w="787"/>
        <w:gridCol w:w="19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8" w:hRule="atLeast"/>
          <w:tblHeader/>
          <w:jc w:val="center"/>
        </w:trPr>
        <w:tc>
          <w:tcPr>
            <w:tcW w:w="638" w:type="pct"/>
            <w:vAlign w:val="center"/>
          </w:tcPr>
          <w:p>
            <w:pPr>
              <w:snapToGrid w:val="0"/>
              <w:spacing w:line="240" w:lineRule="atLeast"/>
              <w:ind w:firstLine="0" w:firstLineChars="0"/>
              <w:jc w:val="center"/>
              <w:rPr>
                <w:rFonts w:ascii="Times New Roman" w:cs="Times New Roman"/>
                <w:b/>
                <w:sz w:val="21"/>
                <w:szCs w:val="21"/>
              </w:rPr>
            </w:pPr>
            <w:r>
              <w:rPr>
                <w:rFonts w:ascii="Times New Roman" w:cs="Times New Roman"/>
                <w:b/>
                <w:sz w:val="21"/>
                <w:szCs w:val="21"/>
              </w:rPr>
              <w:t>事故类型</w:t>
            </w:r>
          </w:p>
        </w:tc>
        <w:tc>
          <w:tcPr>
            <w:tcW w:w="645" w:type="pct"/>
            <w:vAlign w:val="center"/>
          </w:tcPr>
          <w:p>
            <w:pPr>
              <w:snapToGrid w:val="0"/>
              <w:spacing w:line="240" w:lineRule="atLeast"/>
              <w:ind w:firstLine="0" w:firstLineChars="0"/>
              <w:jc w:val="center"/>
              <w:rPr>
                <w:rFonts w:ascii="Times New Roman" w:cs="Times New Roman"/>
                <w:b/>
                <w:sz w:val="21"/>
                <w:szCs w:val="21"/>
              </w:rPr>
            </w:pPr>
            <w:r>
              <w:rPr>
                <w:rFonts w:ascii="Times New Roman" w:cs="Times New Roman"/>
                <w:b/>
                <w:sz w:val="21"/>
                <w:szCs w:val="21"/>
              </w:rPr>
              <w:t>事故比例</w:t>
            </w:r>
          </w:p>
        </w:tc>
        <w:tc>
          <w:tcPr>
            <w:tcW w:w="787" w:type="pct"/>
            <w:vAlign w:val="center"/>
          </w:tcPr>
          <w:p>
            <w:pPr>
              <w:snapToGrid w:val="0"/>
              <w:spacing w:line="240" w:lineRule="atLeast"/>
              <w:ind w:firstLine="0" w:firstLineChars="0"/>
              <w:jc w:val="center"/>
              <w:rPr>
                <w:rFonts w:ascii="Times New Roman" w:cs="Times New Roman"/>
                <w:b/>
                <w:sz w:val="21"/>
                <w:szCs w:val="21"/>
              </w:rPr>
            </w:pPr>
            <w:r>
              <w:rPr>
                <w:rFonts w:ascii="Times New Roman" w:cs="Times New Roman"/>
                <w:b/>
                <w:sz w:val="21"/>
                <w:szCs w:val="21"/>
              </w:rPr>
              <w:t>泄漏事故概率次/（m·a）</w:t>
            </w:r>
          </w:p>
        </w:tc>
        <w:tc>
          <w:tcPr>
            <w:tcW w:w="496" w:type="pct"/>
            <w:vAlign w:val="center"/>
          </w:tcPr>
          <w:p>
            <w:pPr>
              <w:snapToGrid w:val="0"/>
              <w:spacing w:line="240" w:lineRule="atLeast"/>
              <w:ind w:firstLine="0" w:firstLineChars="0"/>
              <w:jc w:val="center"/>
              <w:rPr>
                <w:rFonts w:ascii="Times New Roman" w:cs="Times New Roman"/>
                <w:b/>
                <w:sz w:val="21"/>
                <w:szCs w:val="21"/>
              </w:rPr>
            </w:pPr>
            <w:r>
              <w:rPr>
                <w:rFonts w:ascii="Times New Roman" w:cs="Times New Roman"/>
                <w:b/>
                <w:sz w:val="21"/>
                <w:szCs w:val="21"/>
              </w:rPr>
              <w:t>着火率</w:t>
            </w:r>
          </w:p>
        </w:tc>
        <w:tc>
          <w:tcPr>
            <w:tcW w:w="927" w:type="pct"/>
            <w:vAlign w:val="center"/>
          </w:tcPr>
          <w:p>
            <w:pPr>
              <w:snapToGrid w:val="0"/>
              <w:spacing w:line="240" w:lineRule="atLeast"/>
              <w:ind w:firstLine="0" w:firstLineChars="0"/>
              <w:jc w:val="center"/>
              <w:rPr>
                <w:rFonts w:ascii="Times New Roman" w:cs="Times New Roman"/>
                <w:b/>
                <w:sz w:val="21"/>
                <w:szCs w:val="21"/>
              </w:rPr>
            </w:pPr>
            <w:r>
              <w:rPr>
                <w:rFonts w:ascii="Times New Roman" w:cs="Times New Roman"/>
                <w:b/>
                <w:sz w:val="21"/>
                <w:szCs w:val="21"/>
              </w:rPr>
              <w:t>火灾、爆炸事故概率 次（/m·a）</w:t>
            </w:r>
          </w:p>
        </w:tc>
        <w:tc>
          <w:tcPr>
            <w:tcW w:w="436" w:type="pct"/>
            <w:vAlign w:val="center"/>
          </w:tcPr>
          <w:p>
            <w:pPr>
              <w:snapToGrid w:val="0"/>
              <w:spacing w:line="240" w:lineRule="atLeast"/>
              <w:ind w:firstLine="0" w:firstLineChars="0"/>
              <w:jc w:val="center"/>
              <w:rPr>
                <w:rFonts w:ascii="Times New Roman" w:cs="Times New Roman"/>
                <w:b/>
                <w:sz w:val="21"/>
                <w:szCs w:val="21"/>
              </w:rPr>
            </w:pPr>
            <w:r>
              <w:rPr>
                <w:rFonts w:ascii="Times New Roman" w:cs="Times New Roman"/>
                <w:b/>
                <w:sz w:val="21"/>
                <w:szCs w:val="21"/>
              </w:rPr>
              <w:t>管道长度km</w:t>
            </w:r>
          </w:p>
        </w:tc>
        <w:tc>
          <w:tcPr>
            <w:tcW w:w="1071" w:type="pct"/>
            <w:vAlign w:val="center"/>
          </w:tcPr>
          <w:p>
            <w:pPr>
              <w:snapToGrid w:val="0"/>
              <w:spacing w:line="240" w:lineRule="atLeast"/>
              <w:ind w:firstLine="0" w:firstLineChars="0"/>
              <w:jc w:val="center"/>
              <w:rPr>
                <w:rFonts w:ascii="Times New Roman" w:cs="Times New Roman"/>
                <w:b/>
                <w:sz w:val="21"/>
                <w:szCs w:val="21"/>
              </w:rPr>
            </w:pPr>
            <w:r>
              <w:rPr>
                <w:rFonts w:ascii="Times New Roman" w:cs="Times New Roman"/>
                <w:b/>
                <w:sz w:val="21"/>
                <w:szCs w:val="21"/>
              </w:rPr>
              <w:t>本管道工程火灾、爆炸事故概率 次/a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0" w:hRule="atLeast"/>
          <w:jc w:val="center"/>
        </w:trPr>
        <w:tc>
          <w:tcPr>
            <w:tcW w:w="638" w:type="pct"/>
            <w:vAlign w:val="center"/>
          </w:tcPr>
          <w:p>
            <w:pPr>
              <w:snapToGrid w:val="0"/>
              <w:spacing w:line="240" w:lineRule="atLeast"/>
              <w:ind w:firstLine="0" w:firstLineChars="0"/>
              <w:jc w:val="center"/>
              <w:rPr>
                <w:rFonts w:ascii="Times New Roman" w:cs="Times New Roman"/>
                <w:sz w:val="21"/>
                <w:szCs w:val="21"/>
              </w:rPr>
            </w:pPr>
            <w:r>
              <w:rPr>
                <w:rFonts w:ascii="Times New Roman" w:cs="Times New Roman"/>
                <w:sz w:val="21"/>
                <w:szCs w:val="21"/>
              </w:rPr>
              <w:t>小孔</w:t>
            </w:r>
          </w:p>
        </w:tc>
        <w:tc>
          <w:tcPr>
            <w:tcW w:w="645" w:type="pct"/>
            <w:vAlign w:val="center"/>
          </w:tcPr>
          <w:p>
            <w:pPr>
              <w:snapToGrid w:val="0"/>
              <w:spacing w:line="240" w:lineRule="atLeast"/>
              <w:ind w:firstLine="0" w:firstLineChars="0"/>
              <w:jc w:val="center"/>
              <w:rPr>
                <w:rFonts w:ascii="Times New Roman" w:cs="Times New Roman"/>
                <w:sz w:val="21"/>
                <w:szCs w:val="21"/>
              </w:rPr>
            </w:pPr>
            <w:r>
              <w:rPr>
                <w:rFonts w:ascii="Times New Roman" w:cs="Times New Roman"/>
                <w:sz w:val="21"/>
                <w:szCs w:val="21"/>
              </w:rPr>
              <w:t>0.8</w:t>
            </w:r>
          </w:p>
        </w:tc>
        <w:tc>
          <w:tcPr>
            <w:tcW w:w="787" w:type="pct"/>
            <w:vAlign w:val="center"/>
          </w:tcPr>
          <w:p>
            <w:pPr>
              <w:snapToGrid w:val="0"/>
              <w:spacing w:line="240" w:lineRule="atLeast"/>
              <w:ind w:firstLine="0" w:firstLineChars="0"/>
              <w:jc w:val="center"/>
              <w:rPr>
                <w:rFonts w:ascii="Times New Roman" w:cs="Times New Roman"/>
                <w:sz w:val="21"/>
                <w:szCs w:val="21"/>
              </w:rPr>
            </w:pPr>
            <w:r>
              <w:rPr>
                <w:rFonts w:ascii="Times New Roman" w:cs="Times New Roman"/>
                <w:sz w:val="21"/>
                <w:szCs w:val="21"/>
              </w:rPr>
              <w:t>2.0×10</w:t>
            </w:r>
            <w:r>
              <w:rPr>
                <w:rFonts w:ascii="Times New Roman" w:cs="Times New Roman"/>
                <w:sz w:val="21"/>
                <w:szCs w:val="21"/>
                <w:vertAlign w:val="superscript"/>
              </w:rPr>
              <w:t>-6</w:t>
            </w:r>
          </w:p>
        </w:tc>
        <w:tc>
          <w:tcPr>
            <w:tcW w:w="496" w:type="pct"/>
            <w:vAlign w:val="center"/>
          </w:tcPr>
          <w:p>
            <w:pPr>
              <w:snapToGrid w:val="0"/>
              <w:spacing w:line="240" w:lineRule="atLeast"/>
              <w:ind w:firstLine="0" w:firstLineChars="0"/>
              <w:jc w:val="center"/>
              <w:rPr>
                <w:rFonts w:ascii="Times New Roman" w:cs="Times New Roman"/>
                <w:sz w:val="21"/>
                <w:szCs w:val="21"/>
              </w:rPr>
            </w:pPr>
            <w:r>
              <w:rPr>
                <w:rFonts w:ascii="Times New Roman" w:cs="Times New Roman"/>
                <w:sz w:val="21"/>
                <w:szCs w:val="21"/>
              </w:rPr>
              <w:t>0.016</w:t>
            </w:r>
          </w:p>
        </w:tc>
        <w:tc>
          <w:tcPr>
            <w:tcW w:w="927" w:type="pct"/>
            <w:vAlign w:val="center"/>
          </w:tcPr>
          <w:p>
            <w:pPr>
              <w:snapToGrid w:val="0"/>
              <w:spacing w:line="240" w:lineRule="atLeast"/>
              <w:ind w:firstLine="0" w:firstLineChars="0"/>
              <w:jc w:val="center"/>
              <w:rPr>
                <w:rFonts w:ascii="Times New Roman" w:cs="Times New Roman"/>
                <w:sz w:val="21"/>
                <w:szCs w:val="21"/>
              </w:rPr>
            </w:pPr>
            <w:r>
              <w:rPr>
                <w:rFonts w:ascii="Times New Roman" w:cs="Times New Roman"/>
                <w:sz w:val="21"/>
                <w:szCs w:val="21"/>
              </w:rPr>
              <w:t>3.2×10</w:t>
            </w:r>
            <w:r>
              <w:rPr>
                <w:rFonts w:ascii="Times New Roman" w:cs="Times New Roman"/>
                <w:sz w:val="21"/>
                <w:szCs w:val="21"/>
                <w:vertAlign w:val="superscript"/>
              </w:rPr>
              <w:t>-8</w:t>
            </w:r>
          </w:p>
        </w:tc>
        <w:tc>
          <w:tcPr>
            <w:tcW w:w="436" w:type="pct"/>
            <w:vMerge w:val="restart"/>
            <w:vAlign w:val="center"/>
          </w:tcPr>
          <w:p>
            <w:pPr>
              <w:snapToGrid w:val="0"/>
              <w:spacing w:line="240" w:lineRule="atLeast"/>
              <w:ind w:firstLine="0" w:firstLineChars="0"/>
              <w:jc w:val="center"/>
              <w:rPr>
                <w:rFonts w:ascii="Times New Roman" w:cs="Times New Roman"/>
                <w:sz w:val="21"/>
                <w:szCs w:val="21"/>
              </w:rPr>
            </w:pPr>
            <w:r>
              <w:rPr>
                <w:rFonts w:hint="eastAsia" w:ascii="Times New Roman" w:cs="Times New Roman"/>
                <w:sz w:val="21"/>
                <w:szCs w:val="21"/>
              </w:rPr>
              <w:t>3.98</w:t>
            </w:r>
          </w:p>
        </w:tc>
        <w:tc>
          <w:tcPr>
            <w:tcW w:w="1071" w:type="pct"/>
            <w:vAlign w:val="center"/>
          </w:tcPr>
          <w:p>
            <w:pPr>
              <w:snapToGrid w:val="0"/>
              <w:spacing w:line="240" w:lineRule="atLeast"/>
              <w:ind w:firstLine="0" w:firstLineChars="0"/>
              <w:jc w:val="center"/>
              <w:rPr>
                <w:rFonts w:ascii="Times New Roman" w:cs="Times New Roman"/>
                <w:sz w:val="21"/>
                <w:szCs w:val="21"/>
              </w:rPr>
            </w:pPr>
            <w:r>
              <w:rPr>
                <w:rFonts w:ascii="Times New Roman" w:cs="Times New Roman"/>
                <w:sz w:val="21"/>
                <w:szCs w:val="21"/>
              </w:rPr>
              <w:t>1.98×10</w:t>
            </w:r>
            <w:r>
              <w:rPr>
                <w:rFonts w:ascii="Times New Roman" w:cs="Times New Roman"/>
                <w:sz w:val="21"/>
                <w:szCs w:val="21"/>
                <w:vertAlign w:val="superscript"/>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8" w:hRule="atLeast"/>
          <w:jc w:val="center"/>
        </w:trPr>
        <w:tc>
          <w:tcPr>
            <w:tcW w:w="638" w:type="pct"/>
            <w:vAlign w:val="center"/>
          </w:tcPr>
          <w:p>
            <w:pPr>
              <w:snapToGrid w:val="0"/>
              <w:spacing w:line="240" w:lineRule="atLeast"/>
              <w:ind w:firstLine="0" w:firstLineChars="0"/>
              <w:jc w:val="center"/>
              <w:rPr>
                <w:rFonts w:ascii="Times New Roman" w:cs="Times New Roman"/>
                <w:sz w:val="21"/>
                <w:szCs w:val="21"/>
              </w:rPr>
            </w:pPr>
            <w:r>
              <w:rPr>
                <w:rFonts w:ascii="Times New Roman" w:cs="Times New Roman"/>
                <w:sz w:val="21"/>
                <w:szCs w:val="21"/>
              </w:rPr>
              <w:t>大孔</w:t>
            </w:r>
          </w:p>
        </w:tc>
        <w:tc>
          <w:tcPr>
            <w:tcW w:w="645" w:type="pct"/>
            <w:vAlign w:val="center"/>
          </w:tcPr>
          <w:p>
            <w:pPr>
              <w:snapToGrid w:val="0"/>
              <w:spacing w:line="240" w:lineRule="atLeast"/>
              <w:ind w:firstLine="0" w:firstLineChars="0"/>
              <w:jc w:val="center"/>
              <w:rPr>
                <w:rFonts w:ascii="Times New Roman" w:cs="Times New Roman"/>
                <w:sz w:val="21"/>
                <w:szCs w:val="21"/>
              </w:rPr>
            </w:pPr>
            <w:r>
              <w:rPr>
                <w:rFonts w:ascii="Times New Roman" w:cs="Times New Roman"/>
                <w:sz w:val="21"/>
                <w:szCs w:val="21"/>
              </w:rPr>
              <w:t>1.5</w:t>
            </w:r>
          </w:p>
        </w:tc>
        <w:tc>
          <w:tcPr>
            <w:tcW w:w="787" w:type="pct"/>
            <w:vMerge w:val="restart"/>
            <w:vAlign w:val="center"/>
          </w:tcPr>
          <w:p>
            <w:pPr>
              <w:snapToGrid w:val="0"/>
              <w:spacing w:line="240" w:lineRule="atLeast"/>
              <w:ind w:firstLine="0" w:firstLineChars="0"/>
              <w:jc w:val="center"/>
              <w:rPr>
                <w:rFonts w:ascii="Times New Roman" w:cs="Times New Roman"/>
                <w:sz w:val="21"/>
                <w:szCs w:val="21"/>
              </w:rPr>
            </w:pPr>
            <w:r>
              <w:rPr>
                <w:rFonts w:ascii="Times New Roman" w:cs="Times New Roman"/>
                <w:sz w:val="21"/>
                <w:szCs w:val="21"/>
              </w:rPr>
              <w:t>1.0×10</w:t>
            </w:r>
            <w:r>
              <w:rPr>
                <w:rFonts w:ascii="Times New Roman" w:cs="Times New Roman"/>
                <w:sz w:val="21"/>
                <w:szCs w:val="21"/>
                <w:vertAlign w:val="superscript"/>
              </w:rPr>
              <w:t>-6</w:t>
            </w:r>
          </w:p>
        </w:tc>
        <w:tc>
          <w:tcPr>
            <w:tcW w:w="496" w:type="pct"/>
            <w:vAlign w:val="center"/>
          </w:tcPr>
          <w:p>
            <w:pPr>
              <w:snapToGrid w:val="0"/>
              <w:spacing w:line="240" w:lineRule="atLeast"/>
              <w:ind w:firstLine="0" w:firstLineChars="0"/>
              <w:jc w:val="center"/>
              <w:rPr>
                <w:rFonts w:ascii="Times New Roman" w:cs="Times New Roman"/>
                <w:sz w:val="21"/>
                <w:szCs w:val="21"/>
              </w:rPr>
            </w:pPr>
            <w:r>
              <w:rPr>
                <w:rFonts w:ascii="Times New Roman" w:cs="Times New Roman"/>
                <w:sz w:val="21"/>
                <w:szCs w:val="21"/>
              </w:rPr>
              <w:t>0.027</w:t>
            </w:r>
          </w:p>
        </w:tc>
        <w:tc>
          <w:tcPr>
            <w:tcW w:w="927" w:type="pct"/>
            <w:vAlign w:val="center"/>
          </w:tcPr>
          <w:p>
            <w:pPr>
              <w:snapToGrid w:val="0"/>
              <w:spacing w:line="240" w:lineRule="atLeast"/>
              <w:ind w:firstLine="0" w:firstLineChars="0"/>
              <w:jc w:val="center"/>
              <w:rPr>
                <w:rFonts w:ascii="Times New Roman" w:cs="Times New Roman"/>
                <w:sz w:val="21"/>
                <w:szCs w:val="21"/>
              </w:rPr>
            </w:pPr>
            <w:r>
              <w:rPr>
                <w:rFonts w:ascii="Times New Roman" w:cs="Times New Roman"/>
                <w:sz w:val="21"/>
                <w:szCs w:val="21"/>
              </w:rPr>
              <w:t>2.07×10</w:t>
            </w:r>
            <w:r>
              <w:rPr>
                <w:rFonts w:ascii="Times New Roman" w:cs="Times New Roman"/>
                <w:sz w:val="21"/>
                <w:szCs w:val="21"/>
                <w:vertAlign w:val="superscript"/>
              </w:rPr>
              <w:t>-8</w:t>
            </w:r>
          </w:p>
        </w:tc>
        <w:tc>
          <w:tcPr>
            <w:tcW w:w="436" w:type="pct"/>
            <w:vMerge w:val="continue"/>
            <w:vAlign w:val="center"/>
          </w:tcPr>
          <w:p>
            <w:pPr>
              <w:snapToGrid w:val="0"/>
              <w:spacing w:line="240" w:lineRule="atLeast"/>
              <w:ind w:firstLine="0" w:firstLineChars="0"/>
              <w:jc w:val="center"/>
              <w:rPr>
                <w:rFonts w:ascii="Times New Roman" w:cs="Times New Roman"/>
                <w:sz w:val="21"/>
                <w:szCs w:val="21"/>
              </w:rPr>
            </w:pPr>
          </w:p>
        </w:tc>
        <w:tc>
          <w:tcPr>
            <w:tcW w:w="1071" w:type="pct"/>
            <w:vAlign w:val="center"/>
          </w:tcPr>
          <w:p>
            <w:pPr>
              <w:snapToGrid w:val="0"/>
              <w:spacing w:line="240" w:lineRule="atLeast"/>
              <w:ind w:firstLine="0" w:firstLineChars="0"/>
              <w:jc w:val="center"/>
              <w:rPr>
                <w:rFonts w:ascii="Times New Roman" w:cs="Times New Roman"/>
                <w:sz w:val="21"/>
                <w:szCs w:val="21"/>
              </w:rPr>
            </w:pPr>
            <w:r>
              <w:rPr>
                <w:rFonts w:ascii="Times New Roman" w:cs="Times New Roman"/>
                <w:sz w:val="21"/>
                <w:szCs w:val="21"/>
              </w:rPr>
              <w:t>1.28×10</w:t>
            </w:r>
            <w:r>
              <w:rPr>
                <w:rFonts w:ascii="Times New Roman" w:cs="Times New Roman"/>
                <w:sz w:val="21"/>
                <w:szCs w:val="21"/>
                <w:vertAlign w:val="superscript"/>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0" w:hRule="atLeast"/>
          <w:jc w:val="center"/>
        </w:trPr>
        <w:tc>
          <w:tcPr>
            <w:tcW w:w="638" w:type="pct"/>
            <w:vAlign w:val="center"/>
          </w:tcPr>
          <w:p>
            <w:pPr>
              <w:snapToGrid w:val="0"/>
              <w:spacing w:line="240" w:lineRule="atLeast"/>
              <w:ind w:firstLine="0" w:firstLineChars="0"/>
              <w:jc w:val="center"/>
              <w:rPr>
                <w:rFonts w:ascii="Times New Roman" w:cs="Times New Roman"/>
                <w:sz w:val="21"/>
                <w:szCs w:val="21"/>
              </w:rPr>
            </w:pPr>
            <w:r>
              <w:rPr>
                <w:rFonts w:ascii="Times New Roman" w:cs="Times New Roman"/>
                <w:sz w:val="21"/>
                <w:szCs w:val="21"/>
              </w:rPr>
              <w:t>断裂</w:t>
            </w:r>
          </w:p>
        </w:tc>
        <w:tc>
          <w:tcPr>
            <w:tcW w:w="645" w:type="pct"/>
            <w:vAlign w:val="center"/>
          </w:tcPr>
          <w:p>
            <w:pPr>
              <w:snapToGrid w:val="0"/>
              <w:spacing w:line="240" w:lineRule="atLeast"/>
              <w:ind w:firstLine="0" w:firstLineChars="0"/>
              <w:jc w:val="center"/>
              <w:rPr>
                <w:rFonts w:ascii="Times New Roman" w:cs="Times New Roman"/>
                <w:sz w:val="21"/>
                <w:szCs w:val="21"/>
              </w:rPr>
            </w:pPr>
            <w:r>
              <w:rPr>
                <w:rFonts w:ascii="Times New Roman" w:cs="Times New Roman"/>
                <w:sz w:val="21"/>
                <w:szCs w:val="21"/>
              </w:rPr>
              <w:t>0.5</w:t>
            </w:r>
          </w:p>
        </w:tc>
        <w:tc>
          <w:tcPr>
            <w:tcW w:w="787" w:type="pct"/>
            <w:vMerge w:val="continue"/>
            <w:vAlign w:val="center"/>
          </w:tcPr>
          <w:p>
            <w:pPr>
              <w:snapToGrid w:val="0"/>
              <w:spacing w:line="240" w:lineRule="atLeast"/>
              <w:ind w:firstLine="0" w:firstLineChars="0"/>
              <w:jc w:val="center"/>
              <w:rPr>
                <w:rFonts w:ascii="Times New Roman" w:cs="Times New Roman"/>
                <w:sz w:val="21"/>
                <w:szCs w:val="21"/>
              </w:rPr>
            </w:pPr>
          </w:p>
        </w:tc>
        <w:tc>
          <w:tcPr>
            <w:tcW w:w="496" w:type="pct"/>
            <w:vAlign w:val="center"/>
          </w:tcPr>
          <w:p>
            <w:pPr>
              <w:snapToGrid w:val="0"/>
              <w:spacing w:line="240" w:lineRule="atLeast"/>
              <w:ind w:firstLine="0" w:firstLineChars="0"/>
              <w:jc w:val="center"/>
              <w:rPr>
                <w:rFonts w:ascii="Times New Roman" w:cs="Times New Roman"/>
                <w:sz w:val="21"/>
                <w:szCs w:val="21"/>
              </w:rPr>
            </w:pPr>
            <w:r>
              <w:rPr>
                <w:rFonts w:ascii="Times New Roman" w:cs="Times New Roman"/>
                <w:sz w:val="21"/>
                <w:szCs w:val="21"/>
              </w:rPr>
              <w:t>0.049</w:t>
            </w:r>
          </w:p>
        </w:tc>
        <w:tc>
          <w:tcPr>
            <w:tcW w:w="927" w:type="pct"/>
            <w:vAlign w:val="center"/>
          </w:tcPr>
          <w:p>
            <w:pPr>
              <w:snapToGrid w:val="0"/>
              <w:spacing w:line="240" w:lineRule="atLeast"/>
              <w:ind w:firstLine="0" w:firstLineChars="0"/>
              <w:jc w:val="center"/>
              <w:rPr>
                <w:rFonts w:ascii="Times New Roman" w:cs="Times New Roman"/>
                <w:sz w:val="21"/>
                <w:szCs w:val="21"/>
              </w:rPr>
            </w:pPr>
            <w:r>
              <w:rPr>
                <w:rFonts w:ascii="Times New Roman" w:cs="Times New Roman"/>
                <w:sz w:val="21"/>
                <w:szCs w:val="21"/>
              </w:rPr>
              <w:t>4.9×10</w:t>
            </w:r>
            <w:r>
              <w:rPr>
                <w:rFonts w:ascii="Times New Roman" w:cs="Times New Roman"/>
                <w:sz w:val="21"/>
                <w:szCs w:val="21"/>
                <w:vertAlign w:val="superscript"/>
              </w:rPr>
              <w:t>-8</w:t>
            </w:r>
          </w:p>
        </w:tc>
        <w:tc>
          <w:tcPr>
            <w:tcW w:w="436" w:type="pct"/>
            <w:vMerge w:val="continue"/>
            <w:vAlign w:val="center"/>
          </w:tcPr>
          <w:p>
            <w:pPr>
              <w:snapToGrid w:val="0"/>
              <w:spacing w:line="240" w:lineRule="atLeast"/>
              <w:ind w:firstLine="0" w:firstLineChars="0"/>
              <w:jc w:val="center"/>
              <w:rPr>
                <w:rFonts w:ascii="Times New Roman" w:cs="Times New Roman"/>
                <w:sz w:val="21"/>
                <w:szCs w:val="21"/>
              </w:rPr>
            </w:pPr>
          </w:p>
        </w:tc>
        <w:tc>
          <w:tcPr>
            <w:tcW w:w="1071" w:type="pct"/>
            <w:vAlign w:val="center"/>
          </w:tcPr>
          <w:p>
            <w:pPr>
              <w:snapToGrid w:val="0"/>
              <w:spacing w:line="240" w:lineRule="atLeast"/>
              <w:ind w:firstLine="0" w:firstLineChars="0"/>
              <w:jc w:val="center"/>
              <w:rPr>
                <w:rFonts w:ascii="Times New Roman" w:cs="Times New Roman"/>
                <w:sz w:val="21"/>
                <w:szCs w:val="21"/>
              </w:rPr>
            </w:pPr>
            <w:r>
              <w:rPr>
                <w:rFonts w:ascii="Times New Roman" w:cs="Times New Roman"/>
                <w:sz w:val="21"/>
                <w:szCs w:val="21"/>
              </w:rPr>
              <w:t>3.04×10</w:t>
            </w:r>
            <w:r>
              <w:rPr>
                <w:rFonts w:ascii="Times New Roman" w:cs="Times New Roman"/>
                <w:sz w:val="21"/>
                <w:szCs w:val="21"/>
                <w:vertAlign w:val="superscript"/>
              </w:rPr>
              <w:t>-4</w:t>
            </w:r>
          </w:p>
        </w:tc>
      </w:tr>
    </w:tbl>
    <w:p>
      <w:pPr>
        <w:pStyle w:val="112"/>
        <w:ind w:firstLine="480"/>
      </w:pPr>
      <w:r>
        <w:t>因此，本工程天然气管道火灾爆炸事故概率为3.04×10</w:t>
      </w:r>
      <w:r>
        <w:rPr>
          <w:vertAlign w:val="superscript"/>
        </w:rPr>
        <w:t>-4</w:t>
      </w:r>
      <w:r>
        <w:t>次/a，表明此类事故发生概率非常低，但是不为零。</w:t>
      </w:r>
    </w:p>
    <w:p>
      <w:pPr>
        <w:pStyle w:val="112"/>
        <w:ind w:firstLine="482"/>
        <w:rPr>
          <w:b/>
          <w:bCs/>
        </w:rPr>
      </w:pPr>
      <w:r>
        <w:rPr>
          <w:rFonts w:hint="eastAsia"/>
          <w:b/>
          <w:bCs/>
        </w:rPr>
        <w:t>4</w:t>
      </w:r>
      <w:r>
        <w:rPr>
          <w:b/>
          <w:bCs/>
        </w:rPr>
        <w:t>、</w:t>
      </w:r>
      <w:r>
        <w:rPr>
          <w:rFonts w:hint="eastAsia"/>
          <w:b/>
          <w:bCs/>
        </w:rPr>
        <w:t>柴油</w:t>
      </w:r>
      <w:r>
        <w:rPr>
          <w:b/>
          <w:bCs/>
        </w:rPr>
        <w:t>泄漏</w:t>
      </w:r>
      <w:r>
        <w:rPr>
          <w:rFonts w:hint="eastAsia"/>
          <w:b/>
          <w:bCs/>
        </w:rPr>
        <w:t>、</w:t>
      </w:r>
      <w:r>
        <w:rPr>
          <w:b/>
          <w:bCs/>
        </w:rPr>
        <w:t>火灾</w:t>
      </w:r>
    </w:p>
    <w:p>
      <w:pPr>
        <w:pStyle w:val="112"/>
        <w:ind w:firstLine="480"/>
      </w:pPr>
      <w:r>
        <w:rPr>
          <w:rFonts w:hint="eastAsia"/>
        </w:rPr>
        <w:t>柴油</w:t>
      </w:r>
      <w:r>
        <w:t>在储存过程中，若管理不善或操作失误，以及罐体不佳或腐蚀，导致</w:t>
      </w:r>
      <w:r>
        <w:rPr>
          <w:rFonts w:hint="eastAsia"/>
        </w:rPr>
        <w:t>柴油</w:t>
      </w:r>
      <w:r>
        <w:t>泄漏</w:t>
      </w:r>
      <w:r>
        <w:rPr>
          <w:rFonts w:hint="eastAsia"/>
        </w:rPr>
        <w:t>、</w:t>
      </w:r>
      <w:r>
        <w:t>火灾，影响大气</w:t>
      </w:r>
      <w:r>
        <w:rPr>
          <w:rFonts w:hint="eastAsia"/>
        </w:rPr>
        <w:t>、</w:t>
      </w:r>
      <w:r>
        <w:t>地表水环境、土壤和地下水环境。</w:t>
      </w:r>
    </w:p>
    <w:p>
      <w:pPr>
        <w:pStyle w:val="112"/>
        <w:ind w:firstLine="482"/>
        <w:rPr>
          <w:b/>
          <w:bCs/>
        </w:rPr>
      </w:pPr>
      <w:r>
        <w:rPr>
          <w:rFonts w:hint="eastAsia"/>
          <w:b/>
          <w:bCs/>
        </w:rPr>
        <w:t>5</w:t>
      </w:r>
      <w:r>
        <w:rPr>
          <w:b/>
          <w:bCs/>
        </w:rPr>
        <w:t>、</w:t>
      </w:r>
      <w:r>
        <w:rPr>
          <w:rFonts w:hint="eastAsia"/>
          <w:b/>
          <w:bCs/>
        </w:rPr>
        <w:t>凝析油</w:t>
      </w:r>
      <w:r>
        <w:rPr>
          <w:b/>
          <w:bCs/>
        </w:rPr>
        <w:t>泄漏</w:t>
      </w:r>
      <w:r>
        <w:rPr>
          <w:rFonts w:hint="eastAsia"/>
          <w:b/>
          <w:bCs/>
        </w:rPr>
        <w:t>、</w:t>
      </w:r>
      <w:r>
        <w:rPr>
          <w:b/>
          <w:bCs/>
        </w:rPr>
        <w:t>火灾</w:t>
      </w:r>
    </w:p>
    <w:p>
      <w:pPr>
        <w:pStyle w:val="112"/>
        <w:ind w:firstLine="480"/>
      </w:pPr>
      <w:r>
        <w:rPr>
          <w:rFonts w:hint="eastAsia"/>
        </w:rPr>
        <w:t>凝析油</w:t>
      </w:r>
      <w:r>
        <w:t>在储存过程中，若管理不善或操作失误，以及罐体不佳或腐蚀，导致</w:t>
      </w:r>
      <w:r>
        <w:rPr>
          <w:rFonts w:hint="eastAsia"/>
        </w:rPr>
        <w:t>凝析油</w:t>
      </w:r>
      <w:r>
        <w:t>泄漏</w:t>
      </w:r>
      <w:r>
        <w:rPr>
          <w:rFonts w:hint="eastAsia"/>
        </w:rPr>
        <w:t>、</w:t>
      </w:r>
      <w:r>
        <w:t>火灾，影响大气</w:t>
      </w:r>
      <w:r>
        <w:rPr>
          <w:rFonts w:hint="eastAsia"/>
        </w:rPr>
        <w:t>、</w:t>
      </w:r>
      <w:r>
        <w:t>地表水环境、土壤和地下水环境。</w:t>
      </w:r>
    </w:p>
    <w:p>
      <w:pPr>
        <w:pStyle w:val="112"/>
        <w:ind w:firstLine="482"/>
        <w:rPr>
          <w:b/>
          <w:bCs/>
        </w:rPr>
      </w:pPr>
      <w:r>
        <w:rPr>
          <w:rFonts w:hint="eastAsia"/>
          <w:b/>
          <w:bCs/>
        </w:rPr>
        <w:t>6</w:t>
      </w:r>
      <w:r>
        <w:rPr>
          <w:b/>
          <w:bCs/>
        </w:rPr>
        <w:t>、</w:t>
      </w:r>
      <w:r>
        <w:rPr>
          <w:rFonts w:hint="eastAsia"/>
          <w:b/>
          <w:bCs/>
        </w:rPr>
        <w:t>压裂、洗井废水</w:t>
      </w:r>
      <w:r>
        <w:rPr>
          <w:b/>
          <w:bCs/>
        </w:rPr>
        <w:t>泄漏</w:t>
      </w:r>
    </w:p>
    <w:p>
      <w:pPr>
        <w:pStyle w:val="112"/>
        <w:ind w:firstLine="480"/>
      </w:pPr>
      <w:r>
        <w:rPr>
          <w:rFonts w:hint="eastAsia"/>
        </w:rPr>
        <w:t>压裂、洗井废水、气田水</w:t>
      </w:r>
      <w:r>
        <w:t>在储存过程中，若管理不善或操作失误，以及</w:t>
      </w:r>
      <w:r>
        <w:rPr>
          <w:rFonts w:hint="eastAsia"/>
        </w:rPr>
        <w:t>池</w:t>
      </w:r>
      <w:r>
        <w:t>体</w:t>
      </w:r>
      <w:r>
        <w:rPr>
          <w:rFonts w:hint="eastAsia"/>
        </w:rPr>
        <w:t>破损</w:t>
      </w:r>
      <w:r>
        <w:t>，导致</w:t>
      </w:r>
      <w:r>
        <w:rPr>
          <w:rFonts w:hint="eastAsia"/>
        </w:rPr>
        <w:t>压裂、洗井废水</w:t>
      </w:r>
      <w:r>
        <w:t>泄漏，影响地表水环境、土壤和地下水环境。</w:t>
      </w:r>
    </w:p>
    <w:p>
      <w:pPr>
        <w:pStyle w:val="112"/>
        <w:ind w:firstLine="482"/>
        <w:rPr>
          <w:b/>
          <w:bCs/>
        </w:rPr>
      </w:pPr>
      <w:r>
        <w:rPr>
          <w:rFonts w:hint="eastAsia"/>
          <w:b/>
          <w:bCs/>
        </w:rPr>
        <w:t>7</w:t>
      </w:r>
      <w:r>
        <w:rPr>
          <w:b/>
          <w:bCs/>
        </w:rPr>
        <w:t>、气田</w:t>
      </w:r>
      <w:r>
        <w:rPr>
          <w:rFonts w:hint="eastAsia"/>
          <w:b/>
          <w:bCs/>
        </w:rPr>
        <w:t>水</w:t>
      </w:r>
      <w:r>
        <w:rPr>
          <w:b/>
          <w:bCs/>
        </w:rPr>
        <w:t>泄漏</w:t>
      </w:r>
    </w:p>
    <w:p>
      <w:pPr>
        <w:pStyle w:val="112"/>
        <w:ind w:firstLine="480"/>
      </w:pPr>
      <w:r>
        <w:rPr>
          <w:rFonts w:hint="eastAsia"/>
        </w:rPr>
        <w:t>气田水</w:t>
      </w:r>
      <w:r>
        <w:t>在储存过程中，若管理不善或操作失误，以及罐体不佳或腐蚀，导致</w:t>
      </w:r>
      <w:r>
        <w:rPr>
          <w:rFonts w:hint="eastAsia"/>
        </w:rPr>
        <w:t>气田水</w:t>
      </w:r>
      <w:r>
        <w:t>泄漏，影响地表水环境、土壤和地下水环境。</w:t>
      </w:r>
    </w:p>
    <w:p>
      <w:pPr>
        <w:pStyle w:val="112"/>
        <w:ind w:firstLine="480"/>
      </w:pPr>
      <w:r>
        <w:rPr>
          <w:rFonts w:hint="eastAsia"/>
        </w:rPr>
        <w:t>综合考虑本项目涉及有毒有害物质中可能发生的事故及产生</w:t>
      </w:r>
      <w:r>
        <w:t>的影响</w:t>
      </w:r>
      <w:r>
        <w:rPr>
          <w:rFonts w:hint="eastAsia"/>
        </w:rPr>
        <w:t>，本次评价确定的最大可信事故主要为：井喷失控造成天然气（不含硫）释放。</w:t>
      </w:r>
    </w:p>
    <w:p>
      <w:pPr>
        <w:pStyle w:val="4"/>
        <w:rPr>
          <w:rFonts w:eastAsia="宋体"/>
        </w:rPr>
      </w:pPr>
      <w:r>
        <w:rPr>
          <w:rFonts w:eastAsia="宋体"/>
        </w:rPr>
        <w:t>7.7.</w:t>
      </w:r>
      <w:r>
        <w:rPr>
          <w:rFonts w:hint="eastAsia" w:eastAsia="宋体"/>
        </w:rPr>
        <w:t>3</w:t>
      </w:r>
      <w:r>
        <w:rPr>
          <w:rFonts w:eastAsia="宋体"/>
        </w:rPr>
        <w:t xml:space="preserve"> </w:t>
      </w:r>
      <w:r>
        <w:rPr>
          <w:rFonts w:hint="eastAsia" w:eastAsia="宋体"/>
        </w:rPr>
        <w:t>源</w:t>
      </w:r>
      <w:r>
        <w:rPr>
          <w:rFonts w:eastAsia="宋体"/>
        </w:rPr>
        <w:t>项分析</w:t>
      </w:r>
    </w:p>
    <w:p>
      <w:pPr>
        <w:pStyle w:val="112"/>
        <w:ind w:firstLine="480"/>
      </w:pPr>
      <w:r>
        <w:rPr>
          <w:rFonts w:hint="eastAsia"/>
        </w:rPr>
        <w:t>发生井喷的过程主要是泥浆溢流→井涌→井喷。根据建设单位提供资料，在钻井过程中，井下监控发现井内泥浆溢流量达1m</w:t>
      </w:r>
      <w:r>
        <w:rPr>
          <w:rFonts w:hint="eastAsia"/>
          <w:vertAlign w:val="superscript"/>
        </w:rPr>
        <w:t>3</w:t>
      </w:r>
      <w:r>
        <w:rPr>
          <w:rFonts w:hint="eastAsia"/>
        </w:rPr>
        <w:t>时报警，达到2m</w:t>
      </w:r>
      <w:r>
        <w:rPr>
          <w:rFonts w:hint="eastAsia"/>
          <w:vertAlign w:val="superscript"/>
        </w:rPr>
        <w:t>3</w:t>
      </w:r>
      <w:r>
        <w:rPr>
          <w:rFonts w:hint="eastAsia"/>
        </w:rPr>
        <w:t>时马上采取关井措施。当所有关断措施全部失效，井口失控后，即发生井喷事故。由此看出，井喷不是突如其来的，由发生溢流开始一直到天然气从井口喷出，这段时间大约在20min～60min。在发生井涌开始，井下阀门自动关断时间大约在一分半至三分钟左右，因此可以说，在工程上，天然气从井口喷出后即可通过井场的自动点火装置立即点火，若井场自动点火装置失灵，也可以用点火枪远距离实施点火，从井涌至井喷至少要20min，足够井场工作人员安全撤离并且做好远距离点火准备。在工程技术看，天然气从井口喷出15min内，完全可以实现点火成功。</w:t>
      </w:r>
    </w:p>
    <w:p>
      <w:pPr>
        <w:pStyle w:val="112"/>
        <w:ind w:firstLine="480"/>
      </w:pPr>
      <w:r>
        <w:rPr>
          <w:rFonts w:hint="eastAsia"/>
        </w:rPr>
        <w:t>天然气喷射速率，将随着井内泥浆液柱的减小而增大，当井内的泥浆喷完后，达到最大喷射释放速率，其值取决于井的最大无阻流量。</w:t>
      </w:r>
      <w:r>
        <w:t>项目概况3.3中输送介质情况</w:t>
      </w:r>
      <w:r>
        <w:rPr>
          <w:rFonts w:hint="eastAsia"/>
        </w:rPr>
        <w:t>，</w:t>
      </w:r>
      <w:r>
        <w:t>天然气甲烷含量</w:t>
      </w:r>
      <w:r>
        <w:rPr>
          <w:rFonts w:hint="eastAsia"/>
        </w:rPr>
        <w:t>85.427</w:t>
      </w:r>
      <w:r>
        <w:t>%</w:t>
      </w:r>
      <w:r>
        <w:rPr>
          <w:rFonts w:hint="eastAsia"/>
        </w:rPr>
        <w:t>。</w:t>
      </w:r>
    </w:p>
    <w:p>
      <w:pPr>
        <w:pStyle w:val="112"/>
        <w:ind w:firstLine="480"/>
      </w:pPr>
      <w:r>
        <w:rPr>
          <w:rFonts w:hint="eastAsia"/>
          <w:bCs/>
        </w:rPr>
        <w:t>根据企业提供的资料，预计本项目可能放喷的最大天然气无阻流量为45×10</w:t>
      </w:r>
      <w:r>
        <w:rPr>
          <w:rFonts w:hint="eastAsia"/>
          <w:bCs/>
          <w:vertAlign w:val="superscript"/>
        </w:rPr>
        <w:t>4</w:t>
      </w:r>
      <w:r>
        <w:rPr>
          <w:rFonts w:hint="eastAsia"/>
          <w:bCs/>
        </w:rPr>
        <w:t>m</w:t>
      </w:r>
      <w:r>
        <w:rPr>
          <w:rFonts w:hint="eastAsia"/>
          <w:bCs/>
          <w:vertAlign w:val="superscript"/>
        </w:rPr>
        <w:t>3</w:t>
      </w:r>
      <w:r>
        <w:rPr>
          <w:rFonts w:hint="eastAsia"/>
          <w:bCs/>
        </w:rPr>
        <w:t>/d（</w:t>
      </w:r>
      <w:r>
        <w:rPr>
          <w:rFonts w:hint="eastAsia"/>
        </w:rPr>
        <w:t>15.625</w:t>
      </w:r>
      <w:r>
        <w:rPr>
          <w:rFonts w:hint="eastAsia"/>
          <w:bCs/>
        </w:rPr>
        <w:t>m</w:t>
      </w:r>
      <w:r>
        <w:rPr>
          <w:rFonts w:hint="eastAsia"/>
          <w:bCs/>
          <w:vertAlign w:val="superscript"/>
        </w:rPr>
        <w:t>3</w:t>
      </w:r>
      <w:r>
        <w:rPr>
          <w:rFonts w:hint="eastAsia"/>
          <w:bCs/>
        </w:rPr>
        <w:t>/</w:t>
      </w:r>
      <w:r>
        <w:rPr>
          <w:bCs/>
        </w:rPr>
        <w:t>s）</w:t>
      </w:r>
      <w:r>
        <w:rPr>
          <w:rFonts w:hint="eastAsia"/>
        </w:rPr>
        <w:t>。类比</w:t>
      </w:r>
      <w:r>
        <w:t>普</w:t>
      </w:r>
      <w:r>
        <w:rPr>
          <w:rFonts w:hint="eastAsia"/>
        </w:rPr>
        <w:t>光</w:t>
      </w:r>
      <w:r>
        <w:t>气田现有</w:t>
      </w:r>
      <w:r>
        <w:rPr>
          <w:rFonts w:hint="eastAsia"/>
        </w:rPr>
        <w:t>管理</w:t>
      </w:r>
      <w:r>
        <w:t>规定，</w:t>
      </w:r>
      <w:r>
        <w:rPr>
          <w:rFonts w:hint="eastAsia"/>
        </w:rPr>
        <w:t>按照</w:t>
      </w:r>
      <w:r>
        <w:t>井喷后</w:t>
      </w:r>
      <w:r>
        <w:rPr>
          <w:rFonts w:hint="eastAsia"/>
        </w:rPr>
        <w:t>15</w:t>
      </w:r>
      <w:r>
        <w:t>min点火</w:t>
      </w:r>
      <w:r>
        <w:rPr>
          <w:rFonts w:hint="eastAsia"/>
        </w:rPr>
        <w:t>。</w:t>
      </w:r>
    </w:p>
    <w:p>
      <w:pPr>
        <w:pStyle w:val="112"/>
        <w:ind w:firstLine="480" w:firstLineChars="0"/>
      </w:pPr>
      <w:r>
        <w:t>本项目井喷点火前释放的甲烷和H</w:t>
      </w:r>
      <w:r>
        <w:rPr>
          <w:vertAlign w:val="subscript"/>
        </w:rPr>
        <w:t>2</w:t>
      </w:r>
      <w:r>
        <w:t>S源强见</w:t>
      </w:r>
      <w:r>
        <w:fldChar w:fldCharType="begin"/>
      </w:r>
      <w:r>
        <w:instrText xml:space="preserve"> REF _Ref524420023 \h  \* MERGEFORMAT </w:instrText>
      </w:r>
      <w:r>
        <w:fldChar w:fldCharType="separate"/>
      </w:r>
      <w:r>
        <w:t>表7.7</w:t>
      </w:r>
      <w:r>
        <w:noBreakHyphen/>
      </w:r>
      <w:r>
        <w:t>1</w:t>
      </w:r>
      <w:r>
        <w:fldChar w:fldCharType="end"/>
      </w:r>
      <w:r>
        <w:t>。</w:t>
      </w:r>
    </w:p>
    <w:p>
      <w:pPr>
        <w:widowControl/>
        <w:topLinePunct w:val="0"/>
        <w:snapToGrid w:val="0"/>
        <w:spacing w:beforeLines="50"/>
        <w:ind w:firstLine="0" w:firstLineChars="0"/>
        <w:jc w:val="center"/>
        <w:rPr>
          <w:rFonts w:ascii="Times New Roman" w:cs="Times New Roman"/>
          <w:b/>
          <w:kern w:val="2"/>
          <w:sz w:val="21"/>
          <w:szCs w:val="20"/>
        </w:rPr>
      </w:pPr>
      <w:bookmarkStart w:id="551" w:name="_Ref524420023"/>
      <w:r>
        <w:rPr>
          <w:rFonts w:ascii="Times New Roman" w:cs="Times New Roman"/>
          <w:b/>
          <w:kern w:val="2"/>
          <w:sz w:val="21"/>
          <w:szCs w:val="20"/>
        </w:rPr>
        <w:t>表7.7</w:t>
      </w:r>
      <w:r>
        <w:rPr>
          <w:rFonts w:ascii="Times New Roman" w:cs="Times New Roman"/>
          <w:b/>
          <w:kern w:val="2"/>
          <w:sz w:val="21"/>
          <w:szCs w:val="20"/>
        </w:rPr>
        <w:noBreakHyphen/>
      </w:r>
      <w:r>
        <w:rPr>
          <w:rFonts w:ascii="Times New Roman" w:cs="Times New Roman"/>
          <w:b/>
          <w:kern w:val="2"/>
          <w:sz w:val="21"/>
          <w:szCs w:val="20"/>
        </w:rPr>
        <w:fldChar w:fldCharType="begin"/>
      </w:r>
      <w:r>
        <w:rPr>
          <w:rFonts w:ascii="Times New Roman" w:cs="Times New Roman"/>
          <w:b/>
          <w:kern w:val="2"/>
          <w:sz w:val="21"/>
          <w:szCs w:val="20"/>
        </w:rPr>
        <w:instrText xml:space="preserve"> SEQ 表 \* ARABIC \s 1 </w:instrText>
      </w:r>
      <w:r>
        <w:rPr>
          <w:rFonts w:ascii="Times New Roman" w:cs="Times New Roman"/>
          <w:b/>
          <w:kern w:val="2"/>
          <w:sz w:val="21"/>
          <w:szCs w:val="20"/>
        </w:rPr>
        <w:fldChar w:fldCharType="separate"/>
      </w:r>
      <w:r>
        <w:rPr>
          <w:rFonts w:ascii="Times New Roman" w:cs="Times New Roman"/>
          <w:b/>
          <w:kern w:val="2"/>
          <w:sz w:val="21"/>
          <w:szCs w:val="20"/>
        </w:rPr>
        <w:t>1</w:t>
      </w:r>
      <w:r>
        <w:rPr>
          <w:rFonts w:ascii="Times New Roman" w:cs="Times New Roman"/>
          <w:b/>
          <w:kern w:val="2"/>
          <w:sz w:val="21"/>
          <w:szCs w:val="20"/>
        </w:rPr>
        <w:fldChar w:fldCharType="end"/>
      </w:r>
      <w:bookmarkEnd w:id="551"/>
      <w:r>
        <w:rPr>
          <w:rFonts w:ascii="Times New Roman" w:cs="Times New Roman"/>
          <w:b/>
          <w:kern w:val="2"/>
          <w:sz w:val="21"/>
          <w:szCs w:val="20"/>
        </w:rPr>
        <w:t xml:space="preserve">  井喷污染物源强</w:t>
      </w:r>
    </w:p>
    <w:tbl>
      <w:tblPr>
        <w:tblStyle w:val="57"/>
        <w:tblW w:w="89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1556"/>
        <w:gridCol w:w="2203"/>
        <w:gridCol w:w="2203"/>
        <w:gridCol w:w="19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9" w:type="dxa"/>
            <w:vAlign w:val="center"/>
          </w:tcPr>
          <w:p>
            <w:pPr>
              <w:widowControl/>
              <w:topLinePunct w:val="0"/>
              <w:adjustRightInd/>
              <w:spacing w:line="240" w:lineRule="auto"/>
              <w:ind w:firstLine="0" w:firstLineChars="0"/>
              <w:jc w:val="center"/>
              <w:rPr>
                <w:rFonts w:ascii="Times New Roman" w:cs="Times New Roman"/>
                <w:b/>
                <w:sz w:val="21"/>
                <w:szCs w:val="21"/>
              </w:rPr>
            </w:pPr>
            <w:r>
              <w:rPr>
                <w:rFonts w:ascii="Times New Roman" w:hAnsi="宋体" w:cs="Times New Roman"/>
                <w:b/>
                <w:sz w:val="21"/>
                <w:szCs w:val="21"/>
              </w:rPr>
              <w:t>时段</w:t>
            </w:r>
          </w:p>
        </w:tc>
        <w:tc>
          <w:tcPr>
            <w:tcW w:w="1556" w:type="dxa"/>
            <w:vAlign w:val="center"/>
          </w:tcPr>
          <w:p>
            <w:pPr>
              <w:widowControl/>
              <w:topLinePunct w:val="0"/>
              <w:adjustRightInd/>
              <w:spacing w:line="240" w:lineRule="auto"/>
              <w:ind w:firstLine="0" w:firstLineChars="0"/>
              <w:jc w:val="center"/>
              <w:rPr>
                <w:rFonts w:ascii="Times New Roman" w:cs="Times New Roman"/>
                <w:b/>
                <w:sz w:val="21"/>
                <w:szCs w:val="21"/>
              </w:rPr>
            </w:pPr>
            <w:r>
              <w:rPr>
                <w:rFonts w:ascii="Times New Roman" w:hAnsi="宋体" w:cs="Times New Roman"/>
                <w:b/>
                <w:sz w:val="21"/>
                <w:szCs w:val="21"/>
              </w:rPr>
              <w:t>污染物名称</w:t>
            </w:r>
          </w:p>
        </w:tc>
        <w:tc>
          <w:tcPr>
            <w:tcW w:w="2203" w:type="dxa"/>
            <w:vAlign w:val="center"/>
          </w:tcPr>
          <w:p>
            <w:pPr>
              <w:widowControl/>
              <w:topLinePunct w:val="0"/>
              <w:adjustRightInd/>
              <w:spacing w:line="240" w:lineRule="auto"/>
              <w:ind w:firstLine="0" w:firstLineChars="0"/>
              <w:jc w:val="center"/>
              <w:rPr>
                <w:rFonts w:ascii="Times New Roman" w:cs="Times New Roman"/>
                <w:b/>
                <w:sz w:val="21"/>
                <w:szCs w:val="21"/>
              </w:rPr>
            </w:pPr>
            <w:r>
              <w:rPr>
                <w:rFonts w:ascii="Times New Roman" w:hAnsi="宋体" w:cs="Times New Roman"/>
                <w:b/>
                <w:sz w:val="21"/>
                <w:szCs w:val="21"/>
              </w:rPr>
              <w:t>气量（</w:t>
            </w:r>
            <w:r>
              <w:rPr>
                <w:rFonts w:ascii="Times New Roman" w:cs="Times New Roman"/>
                <w:b/>
                <w:sz w:val="21"/>
                <w:szCs w:val="21"/>
              </w:rPr>
              <w:t>m</w:t>
            </w:r>
            <w:r>
              <w:rPr>
                <w:rFonts w:ascii="Times New Roman" w:cs="Times New Roman"/>
                <w:b/>
                <w:sz w:val="21"/>
                <w:szCs w:val="21"/>
                <w:vertAlign w:val="superscript"/>
              </w:rPr>
              <w:t>3</w:t>
            </w:r>
            <w:r>
              <w:rPr>
                <w:rFonts w:ascii="Times New Roman" w:cs="Times New Roman"/>
                <w:b/>
                <w:sz w:val="21"/>
                <w:szCs w:val="21"/>
              </w:rPr>
              <w:t>/s</w:t>
            </w:r>
            <w:r>
              <w:rPr>
                <w:rFonts w:ascii="Times New Roman" w:hAnsi="宋体" w:cs="Times New Roman"/>
                <w:b/>
                <w:sz w:val="21"/>
                <w:szCs w:val="21"/>
              </w:rPr>
              <w:t>）</w:t>
            </w:r>
          </w:p>
        </w:tc>
        <w:tc>
          <w:tcPr>
            <w:tcW w:w="2203" w:type="dxa"/>
            <w:vAlign w:val="center"/>
          </w:tcPr>
          <w:p>
            <w:pPr>
              <w:widowControl/>
              <w:topLinePunct w:val="0"/>
              <w:adjustRightInd/>
              <w:spacing w:line="240" w:lineRule="auto"/>
              <w:ind w:firstLine="0" w:firstLineChars="0"/>
              <w:jc w:val="center"/>
              <w:rPr>
                <w:rFonts w:ascii="Times New Roman" w:cs="Times New Roman"/>
                <w:b/>
                <w:sz w:val="21"/>
                <w:szCs w:val="21"/>
              </w:rPr>
            </w:pPr>
            <w:r>
              <w:rPr>
                <w:rFonts w:ascii="Times New Roman" w:hAnsi="宋体" w:cs="Times New Roman"/>
                <w:b/>
                <w:sz w:val="21"/>
                <w:szCs w:val="21"/>
              </w:rPr>
              <w:t>排放速率（</w:t>
            </w:r>
            <w:r>
              <w:rPr>
                <w:rFonts w:hint="eastAsia" w:ascii="Times New Roman" w:hAnsi="宋体" w:cs="Times New Roman"/>
                <w:b/>
                <w:sz w:val="21"/>
                <w:szCs w:val="21"/>
              </w:rPr>
              <w:t>k</w:t>
            </w:r>
            <w:r>
              <w:rPr>
                <w:rFonts w:ascii="Times New Roman" w:cs="Times New Roman"/>
                <w:b/>
                <w:sz w:val="21"/>
                <w:szCs w:val="21"/>
              </w:rPr>
              <w:t>g/s</w:t>
            </w:r>
            <w:r>
              <w:rPr>
                <w:rFonts w:ascii="Times New Roman" w:hAnsi="宋体" w:cs="Times New Roman"/>
                <w:b/>
                <w:sz w:val="21"/>
                <w:szCs w:val="21"/>
              </w:rPr>
              <w:t>）</w:t>
            </w:r>
          </w:p>
        </w:tc>
        <w:tc>
          <w:tcPr>
            <w:tcW w:w="1945" w:type="dxa"/>
            <w:vAlign w:val="center"/>
          </w:tcPr>
          <w:p>
            <w:pPr>
              <w:widowControl/>
              <w:topLinePunct w:val="0"/>
              <w:adjustRightInd/>
              <w:spacing w:line="240" w:lineRule="auto"/>
              <w:ind w:firstLine="0" w:firstLineChars="0"/>
              <w:jc w:val="center"/>
              <w:rPr>
                <w:rFonts w:ascii="Times New Roman" w:cs="Times New Roman"/>
                <w:b/>
                <w:sz w:val="21"/>
                <w:szCs w:val="21"/>
              </w:rPr>
            </w:pPr>
            <w:r>
              <w:rPr>
                <w:rFonts w:ascii="Times New Roman" w:hAnsi="宋体" w:cs="Times New Roman"/>
                <w:b/>
                <w:sz w:val="21"/>
                <w:szCs w:val="21"/>
              </w:rPr>
              <w:t>排气筒内径（</w:t>
            </w:r>
            <w:r>
              <w:rPr>
                <w:rFonts w:ascii="Times New Roman" w:cs="Times New Roman"/>
                <w:b/>
                <w:sz w:val="21"/>
                <w:szCs w:val="21"/>
              </w:rPr>
              <w:t>m</w:t>
            </w:r>
            <w:r>
              <w:rPr>
                <w:rFonts w:ascii="Times New Roman" w:hAnsi="宋体" w:cs="Times New Roman"/>
                <w:b/>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9" w:type="dxa"/>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井喷</w:t>
            </w:r>
            <w:r>
              <w:rPr>
                <w:rFonts w:hint="eastAsia" w:ascii="Times New Roman" w:cs="Times New Roman"/>
                <w:sz w:val="21"/>
                <w:szCs w:val="21"/>
              </w:rPr>
              <w:t>15min</w:t>
            </w:r>
          </w:p>
        </w:tc>
        <w:tc>
          <w:tcPr>
            <w:tcW w:w="1556" w:type="dxa"/>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甲烷</w:t>
            </w:r>
          </w:p>
        </w:tc>
        <w:tc>
          <w:tcPr>
            <w:tcW w:w="2203" w:type="dxa"/>
            <w:vAlign w:val="center"/>
          </w:tcPr>
          <w:p>
            <w:pPr>
              <w:widowControl/>
              <w:topLinePunct w:val="0"/>
              <w:adjustRightInd/>
              <w:spacing w:line="240" w:lineRule="auto"/>
              <w:ind w:firstLine="0" w:firstLineChars="0"/>
              <w:jc w:val="center"/>
              <w:rPr>
                <w:rFonts w:ascii="Times New Roman" w:cs="Times New Roman"/>
                <w:sz w:val="21"/>
                <w:szCs w:val="21"/>
              </w:rPr>
            </w:pPr>
            <w:r>
              <w:rPr>
                <w:rFonts w:hint="eastAsia" w:ascii="Times New Roman" w:hAnsi="宋体" w:cs="Times New Roman"/>
                <w:sz w:val="21"/>
                <w:szCs w:val="21"/>
              </w:rPr>
              <w:t>15.625</w:t>
            </w:r>
            <w:r>
              <w:rPr>
                <w:rFonts w:ascii="Times New Roman" w:hAnsi="宋体" w:cs="Times New Roman"/>
                <w:sz w:val="21"/>
                <w:szCs w:val="21"/>
              </w:rPr>
              <w:t>（天然气）</w:t>
            </w:r>
          </w:p>
        </w:tc>
        <w:tc>
          <w:tcPr>
            <w:tcW w:w="2203" w:type="dxa"/>
            <w:vAlign w:val="center"/>
          </w:tcPr>
          <w:p>
            <w:pPr>
              <w:widowControl/>
              <w:topLinePunct w:val="0"/>
              <w:adjustRightInd/>
              <w:spacing w:line="240" w:lineRule="auto"/>
              <w:ind w:firstLine="0" w:firstLineChars="0"/>
              <w:jc w:val="center"/>
              <w:rPr>
                <w:rFonts w:ascii="Times New Roman" w:cs="Times New Roman"/>
                <w:sz w:val="21"/>
                <w:szCs w:val="21"/>
              </w:rPr>
            </w:pPr>
            <w:r>
              <w:rPr>
                <w:rFonts w:hint="eastAsia" w:ascii="Times New Roman" w:cs="Times New Roman"/>
                <w:sz w:val="21"/>
                <w:szCs w:val="21"/>
              </w:rPr>
              <w:t>9.36</w:t>
            </w:r>
          </w:p>
        </w:tc>
        <w:tc>
          <w:tcPr>
            <w:tcW w:w="1945" w:type="dxa"/>
            <w:vAlign w:val="center"/>
          </w:tcPr>
          <w:p>
            <w:pPr>
              <w:widowControl/>
              <w:topLinePunct w:val="0"/>
              <w:adjustRightInd/>
              <w:spacing w:line="240" w:lineRule="auto"/>
              <w:ind w:firstLine="0" w:firstLineChars="0"/>
              <w:jc w:val="center"/>
              <w:rPr>
                <w:rFonts w:ascii="Times New Roman" w:cs="Times New Roman"/>
                <w:sz w:val="21"/>
                <w:szCs w:val="21"/>
              </w:rPr>
            </w:pPr>
            <w:r>
              <w:rPr>
                <w:rFonts w:ascii="Times New Roman" w:cs="Times New Roman"/>
                <w:sz w:val="21"/>
                <w:szCs w:val="21"/>
              </w:rPr>
              <w:t>0.178</w:t>
            </w:r>
          </w:p>
        </w:tc>
      </w:tr>
    </w:tbl>
    <w:p>
      <w:pPr>
        <w:pStyle w:val="3"/>
        <w:spacing w:before="120"/>
        <w:rPr>
          <w:rFonts w:cs="Times New Roman"/>
        </w:rPr>
      </w:pPr>
      <w:bookmarkStart w:id="552" w:name="bookmark63"/>
      <w:bookmarkEnd w:id="552"/>
      <w:bookmarkStart w:id="553" w:name="_Toc12288741"/>
      <w:bookmarkStart w:id="554" w:name="_Toc19816110"/>
      <w:bookmarkStart w:id="555" w:name="_Toc81515300"/>
      <w:r>
        <w:rPr>
          <w:rFonts w:cs="Times New Roman"/>
        </w:rPr>
        <w:t>7.8</w:t>
      </w:r>
      <w:bookmarkEnd w:id="553"/>
      <w:bookmarkEnd w:id="554"/>
      <w:r>
        <w:rPr>
          <w:rFonts w:cs="Times New Roman"/>
        </w:rPr>
        <w:t xml:space="preserve"> 环境风险分析</w:t>
      </w:r>
      <w:bookmarkEnd w:id="555"/>
    </w:p>
    <w:p>
      <w:pPr>
        <w:pStyle w:val="4"/>
        <w:rPr>
          <w:rFonts w:eastAsia="宋体"/>
        </w:rPr>
      </w:pPr>
      <w:bookmarkStart w:id="556" w:name="_Toc19816111"/>
      <w:bookmarkStart w:id="557" w:name="_Toc12288742"/>
      <w:r>
        <w:rPr>
          <w:rFonts w:eastAsia="宋体"/>
        </w:rPr>
        <w:t>7.8.1</w:t>
      </w:r>
      <w:bookmarkEnd w:id="556"/>
      <w:bookmarkEnd w:id="557"/>
      <w:r>
        <w:rPr>
          <w:rFonts w:eastAsia="宋体"/>
        </w:rPr>
        <w:t xml:space="preserve"> </w:t>
      </w:r>
      <w:r>
        <w:rPr>
          <w:rFonts w:hint="eastAsia" w:eastAsia="宋体"/>
        </w:rPr>
        <w:t>井喷事故环境风险预测</w:t>
      </w:r>
    </w:p>
    <w:p>
      <w:pPr>
        <w:ind w:firstLine="482"/>
        <w:rPr>
          <w:rFonts w:ascii="Times New Roman" w:cs="Times New Roman"/>
          <w:b/>
          <w:bCs/>
        </w:rPr>
      </w:pPr>
      <w:r>
        <w:rPr>
          <w:rFonts w:ascii="Times New Roman" w:cs="Times New Roman"/>
          <w:b/>
          <w:bCs/>
        </w:rPr>
        <w:t>（1）预测模型选取</w:t>
      </w:r>
    </w:p>
    <w:p>
      <w:pPr>
        <w:ind w:firstLine="480"/>
        <w:rPr>
          <w:rFonts w:ascii="Times New Roman" w:cs="Times New Roman"/>
        </w:rPr>
      </w:pPr>
      <w:r>
        <w:rPr>
          <w:rFonts w:cs="Times New Roman" w:asciiTheme="minorEastAsia" w:hAnsiTheme="minorEastAsia" w:eastAsiaTheme="minorEastAsia"/>
        </w:rPr>
        <w:t>①</w:t>
      </w:r>
      <w:r>
        <w:rPr>
          <w:rFonts w:ascii="Times New Roman" w:cs="Times New Roman"/>
        </w:rPr>
        <w:t>泄漏气体排放方式判定</w:t>
      </w:r>
    </w:p>
    <w:p>
      <w:pPr>
        <w:ind w:firstLine="480"/>
        <w:rPr>
          <w:rFonts w:ascii="Times New Roman" w:cs="Times New Roman"/>
        </w:rPr>
      </w:pPr>
      <w:r>
        <w:rPr>
          <w:rFonts w:ascii="Times New Roman" w:cs="Times New Roman"/>
        </w:rPr>
        <w:t>根据《建设项目环境风险评价技术导则》（HJ169-2018），判定连续排放还是瞬时排放，可以通过排放时间Td和污染物到达最近的受体点（网格点或敏感点）的时间T确定。</w:t>
      </w:r>
    </w:p>
    <w:p>
      <w:pPr>
        <w:tabs>
          <w:tab w:val="left" w:pos="5925"/>
        </w:tabs>
        <w:overflowPunct w:val="0"/>
        <w:autoSpaceDE w:val="0"/>
        <w:ind w:firstLine="480"/>
        <w:jc w:val="center"/>
        <w:rPr>
          <w:rFonts w:ascii="Times New Roman" w:cs="Times New Roman"/>
        </w:rPr>
      </w:pPr>
      <w:r>
        <w:rPr>
          <w:rFonts w:ascii="Times New Roman" w:cs="Times New Roman"/>
        </w:rPr>
        <w:t>T=2X/U</w:t>
      </w:r>
    </w:p>
    <w:p>
      <w:pPr>
        <w:tabs>
          <w:tab w:val="left" w:pos="5925"/>
        </w:tabs>
        <w:overflowPunct w:val="0"/>
        <w:autoSpaceDE w:val="0"/>
        <w:ind w:firstLine="480"/>
        <w:rPr>
          <w:rFonts w:ascii="Times New Roman" w:cs="Times New Roman"/>
        </w:rPr>
      </w:pPr>
      <w:r>
        <w:rPr>
          <w:rFonts w:ascii="Times New Roman" w:cs="Times New Roman"/>
        </w:rPr>
        <w:t>式中：X—事故发生地与计算点的距离，本次天然气取泄漏发生地到网格点的距离100m；</w:t>
      </w:r>
    </w:p>
    <w:p>
      <w:pPr>
        <w:tabs>
          <w:tab w:val="left" w:pos="5925"/>
        </w:tabs>
        <w:overflowPunct w:val="0"/>
        <w:autoSpaceDE w:val="0"/>
        <w:ind w:firstLine="480"/>
        <w:rPr>
          <w:rFonts w:ascii="Times New Roman" w:cs="Times New Roman"/>
        </w:rPr>
      </w:pPr>
      <w:r>
        <w:rPr>
          <w:rFonts w:ascii="Times New Roman" w:cs="Times New Roman"/>
        </w:rPr>
        <w:t>Ur—10m高处风速。假设风速和风向在T时段内保持不变。本次取风速为1.5m/s。</w:t>
      </w:r>
    </w:p>
    <w:p>
      <w:pPr>
        <w:tabs>
          <w:tab w:val="left" w:pos="5925"/>
        </w:tabs>
        <w:overflowPunct w:val="0"/>
        <w:autoSpaceDE w:val="0"/>
        <w:ind w:firstLine="480"/>
        <w:rPr>
          <w:rFonts w:ascii="Times New Roman" w:cs="Times New Roman"/>
        </w:rPr>
      </w:pPr>
      <w:r>
        <w:rPr>
          <w:rFonts w:ascii="Times New Roman" w:cs="Times New Roman"/>
        </w:rPr>
        <w:t>当Td＞T时，可被认为是连续排放的；当Td≤T时，可被认为是瞬时排放的。</w:t>
      </w:r>
    </w:p>
    <w:p>
      <w:pPr>
        <w:tabs>
          <w:tab w:val="left" w:pos="5925"/>
        </w:tabs>
        <w:overflowPunct w:val="0"/>
        <w:autoSpaceDE w:val="0"/>
        <w:ind w:firstLine="480"/>
        <w:rPr>
          <w:rFonts w:ascii="Times New Roman" w:cs="Times New Roman"/>
        </w:rPr>
      </w:pPr>
      <w:r>
        <w:rPr>
          <w:rFonts w:ascii="Times New Roman" w:cs="Times New Roman"/>
        </w:rPr>
        <w:t>通过计算得出T=133.3s。</w:t>
      </w:r>
    </w:p>
    <w:p>
      <w:pPr>
        <w:tabs>
          <w:tab w:val="left" w:pos="5925"/>
        </w:tabs>
        <w:overflowPunct w:val="0"/>
        <w:autoSpaceDE w:val="0"/>
        <w:ind w:firstLine="480"/>
        <w:rPr>
          <w:rFonts w:ascii="Times New Roman" w:cs="Times New Roman"/>
        </w:rPr>
      </w:pPr>
      <w:r>
        <w:rPr>
          <w:rFonts w:ascii="Times New Roman" w:cs="Times New Roman"/>
        </w:rPr>
        <w:t>而本次评价确定天然气取泄漏事故排放时间为</w:t>
      </w:r>
      <w:r>
        <w:rPr>
          <w:rFonts w:hint="eastAsia" w:ascii="Times New Roman" w:cs="Times New Roman"/>
        </w:rPr>
        <w:t>900</w:t>
      </w:r>
      <w:r>
        <w:rPr>
          <w:rFonts w:ascii="Times New Roman" w:cs="Times New Roman"/>
        </w:rPr>
        <w:t>s，因此，Td＞T，为</w:t>
      </w:r>
      <w:r>
        <w:rPr>
          <w:rFonts w:hint="eastAsia" w:ascii="Times New Roman" w:cs="Times New Roman"/>
        </w:rPr>
        <w:t>连续</w:t>
      </w:r>
      <w:r>
        <w:rPr>
          <w:rFonts w:ascii="Times New Roman" w:cs="Times New Roman"/>
        </w:rPr>
        <w:t>排放。</w:t>
      </w:r>
    </w:p>
    <w:p>
      <w:pPr>
        <w:tabs>
          <w:tab w:val="left" w:pos="5925"/>
        </w:tabs>
        <w:overflowPunct w:val="0"/>
        <w:autoSpaceDE w:val="0"/>
        <w:ind w:firstLine="480"/>
        <w:rPr>
          <w:rFonts w:ascii="Times New Roman" w:cs="Times New Roman"/>
        </w:rPr>
      </w:pPr>
      <w:r>
        <w:rPr>
          <w:rFonts w:ascii="Times New Roman" w:hAnsi="宋体" w:cs="Times New Roman"/>
        </w:rPr>
        <w:t>②</w:t>
      </w:r>
      <w:r>
        <w:rPr>
          <w:rFonts w:ascii="Times New Roman" w:cs="Times New Roman"/>
        </w:rPr>
        <w:t>轻质/重质气体的判定</w:t>
      </w:r>
    </w:p>
    <w:p>
      <w:pPr>
        <w:tabs>
          <w:tab w:val="left" w:pos="5925"/>
        </w:tabs>
        <w:overflowPunct w:val="0"/>
        <w:autoSpaceDE w:val="0"/>
        <w:ind w:firstLine="480"/>
        <w:rPr>
          <w:rFonts w:ascii="Times New Roman" w:cs="Times New Roman"/>
        </w:rPr>
      </w:pPr>
      <w:r>
        <w:rPr>
          <w:rFonts w:ascii="Times New Roman" w:cs="Times New Roman"/>
        </w:rPr>
        <w:t>根据《建设项目环境风险评价技术导则》（HJ169-2018），判定烟团/烟羽是否为重质气体，取决于它相对空气的“过剩密度”和环境条件等因素。通常采用理查德森数（Ri）作为标准进行判断，Ri的概念公示为：</w:t>
      </w:r>
    </w:p>
    <w:p>
      <w:pPr>
        <w:tabs>
          <w:tab w:val="left" w:pos="5925"/>
        </w:tabs>
        <w:overflowPunct w:val="0"/>
        <w:autoSpaceDE w:val="0"/>
        <w:ind w:firstLine="480"/>
        <w:jc w:val="center"/>
        <w:rPr>
          <w:rFonts w:ascii="Times New Roman" w:cs="Times New Roman"/>
        </w:rPr>
      </w:pPr>
      <w:r>
        <w:rPr>
          <w:rFonts w:ascii="Times New Roman" w:cs="Times New Roman"/>
        </w:rPr>
        <w:drawing>
          <wp:inline distT="0" distB="0" distL="0" distR="0">
            <wp:extent cx="1735455" cy="550545"/>
            <wp:effectExtent l="19050" t="0" r="0" b="0"/>
            <wp:docPr id="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
                    <pic:cNvPicPr>
                      <a:picLocks noChangeAspect="1" noChangeArrowheads="1"/>
                    </pic:cNvPicPr>
                  </pic:nvPicPr>
                  <pic:blipFill>
                    <a:blip r:embed="rId116" cstate="print"/>
                    <a:srcRect/>
                    <a:stretch>
                      <a:fillRect/>
                    </a:stretch>
                  </pic:blipFill>
                  <pic:spPr>
                    <a:xfrm>
                      <a:off x="0" y="0"/>
                      <a:ext cx="1735455" cy="550545"/>
                    </a:xfrm>
                    <a:prstGeom prst="rect">
                      <a:avLst/>
                    </a:prstGeom>
                    <a:noFill/>
                    <a:ln w="9525">
                      <a:noFill/>
                      <a:miter lim="800000"/>
                      <a:headEnd/>
                      <a:tailEnd/>
                    </a:ln>
                  </pic:spPr>
                </pic:pic>
              </a:graphicData>
            </a:graphic>
          </wp:inline>
        </w:drawing>
      </w:r>
    </w:p>
    <w:p>
      <w:pPr>
        <w:tabs>
          <w:tab w:val="left" w:pos="5925"/>
        </w:tabs>
        <w:overflowPunct w:val="0"/>
        <w:autoSpaceDE w:val="0"/>
        <w:ind w:firstLine="480"/>
        <w:rPr>
          <w:rFonts w:ascii="Times New Roman" w:cs="Times New Roman"/>
        </w:rPr>
      </w:pPr>
      <w:r>
        <w:rPr>
          <w:rFonts w:ascii="Times New Roman" w:cs="Times New Roman"/>
        </w:rPr>
        <w:t>连续排放的公式为：</w:t>
      </w:r>
    </w:p>
    <w:p>
      <w:pPr>
        <w:tabs>
          <w:tab w:val="left" w:pos="5925"/>
        </w:tabs>
        <w:overflowPunct w:val="0"/>
        <w:autoSpaceDE w:val="0"/>
        <w:ind w:firstLine="480"/>
        <w:jc w:val="center"/>
        <w:rPr>
          <w:rFonts w:ascii="Times New Roman" w:cs="Times New Roman"/>
        </w:rPr>
      </w:pPr>
      <w:r>
        <w:rPr>
          <w:rFonts w:ascii="Times New Roman" w:cs="Times New Roman"/>
        </w:rPr>
        <w:drawing>
          <wp:inline distT="0" distB="0" distL="0" distR="0">
            <wp:extent cx="2014855" cy="643255"/>
            <wp:effectExtent l="19050" t="0" r="4445" b="0"/>
            <wp:docPr id="21" name="图片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187"/>
                    <pic:cNvPicPr>
                      <a:picLocks noChangeAspect="1" noChangeArrowheads="1"/>
                    </pic:cNvPicPr>
                  </pic:nvPicPr>
                  <pic:blipFill>
                    <a:blip r:embed="rId117" cstate="print"/>
                    <a:srcRect/>
                    <a:stretch>
                      <a:fillRect/>
                    </a:stretch>
                  </pic:blipFill>
                  <pic:spPr>
                    <a:xfrm>
                      <a:off x="0" y="0"/>
                      <a:ext cx="2014855" cy="643255"/>
                    </a:xfrm>
                    <a:prstGeom prst="rect">
                      <a:avLst/>
                    </a:prstGeom>
                    <a:noFill/>
                    <a:ln w="9525">
                      <a:noFill/>
                      <a:miter lim="800000"/>
                      <a:headEnd/>
                      <a:tailEnd/>
                    </a:ln>
                  </pic:spPr>
                </pic:pic>
              </a:graphicData>
            </a:graphic>
          </wp:inline>
        </w:drawing>
      </w:r>
    </w:p>
    <w:p>
      <w:pPr>
        <w:tabs>
          <w:tab w:val="left" w:pos="5925"/>
        </w:tabs>
        <w:overflowPunct w:val="0"/>
        <w:autoSpaceDE w:val="0"/>
        <w:ind w:firstLine="480"/>
        <w:rPr>
          <w:rFonts w:ascii="Times New Roman" w:cs="Times New Roman"/>
        </w:rPr>
      </w:pPr>
      <w:r>
        <w:rPr>
          <w:rFonts w:ascii="Times New Roman" w:cs="Times New Roman"/>
        </w:rPr>
        <w:t>式中：ρrel—排放物质进入大气的初始密度，kg/m</w:t>
      </w:r>
      <w:r>
        <w:rPr>
          <w:rFonts w:ascii="Times New Roman" w:cs="Times New Roman"/>
          <w:vertAlign w:val="superscript"/>
        </w:rPr>
        <w:t>3</w:t>
      </w:r>
      <w:r>
        <w:rPr>
          <w:rFonts w:ascii="Times New Roman" w:cs="Times New Roman"/>
        </w:rPr>
        <w:t>，天然气取0.7</w:t>
      </w:r>
      <w:r>
        <w:rPr>
          <w:rFonts w:hint="eastAsia" w:ascii="Times New Roman" w:cs="Times New Roman"/>
        </w:rPr>
        <w:t>012</w:t>
      </w:r>
      <w:r>
        <w:rPr>
          <w:rFonts w:ascii="Times New Roman" w:cs="Times New Roman"/>
        </w:rPr>
        <w:t>；</w:t>
      </w:r>
    </w:p>
    <w:p>
      <w:pPr>
        <w:tabs>
          <w:tab w:val="left" w:pos="5925"/>
        </w:tabs>
        <w:overflowPunct w:val="0"/>
        <w:autoSpaceDE w:val="0"/>
        <w:ind w:firstLine="480"/>
        <w:rPr>
          <w:rFonts w:ascii="Times New Roman" w:cs="Times New Roman"/>
        </w:rPr>
      </w:pPr>
      <w:r>
        <w:rPr>
          <w:rFonts w:ascii="Times New Roman" w:cs="Times New Roman"/>
        </w:rPr>
        <w:t>ρa—环境空气密度，kg/m</w:t>
      </w:r>
      <w:r>
        <w:rPr>
          <w:rFonts w:ascii="Times New Roman" w:cs="Times New Roman"/>
          <w:vertAlign w:val="superscript"/>
        </w:rPr>
        <w:t>3</w:t>
      </w:r>
      <w:r>
        <w:rPr>
          <w:rFonts w:ascii="Times New Roman" w:cs="Times New Roman"/>
        </w:rPr>
        <w:t>，取1.29；</w:t>
      </w:r>
    </w:p>
    <w:p>
      <w:pPr>
        <w:tabs>
          <w:tab w:val="left" w:pos="5925"/>
        </w:tabs>
        <w:overflowPunct w:val="0"/>
        <w:autoSpaceDE w:val="0"/>
        <w:ind w:firstLine="480"/>
        <w:rPr>
          <w:rFonts w:ascii="Times New Roman" w:cs="Times New Roman"/>
        </w:rPr>
      </w:pPr>
      <w:r>
        <w:rPr>
          <w:rFonts w:ascii="Times New Roman" w:cs="Times New Roman"/>
        </w:rPr>
        <w:t>Q—连续排放烟羽的排放速率，kg/s；</w:t>
      </w:r>
    </w:p>
    <w:p>
      <w:pPr>
        <w:tabs>
          <w:tab w:val="left" w:pos="5925"/>
        </w:tabs>
        <w:overflowPunct w:val="0"/>
        <w:autoSpaceDE w:val="0"/>
        <w:ind w:firstLine="480"/>
        <w:rPr>
          <w:rFonts w:ascii="Times New Roman" w:cs="Times New Roman"/>
        </w:rPr>
      </w:pPr>
      <w:r>
        <w:rPr>
          <w:rFonts w:ascii="Times New Roman" w:cs="Times New Roman"/>
        </w:rPr>
        <w:t>Drel—初始的烟团宽度，即源直径，m；</w:t>
      </w:r>
    </w:p>
    <w:p>
      <w:pPr>
        <w:tabs>
          <w:tab w:val="left" w:pos="5925"/>
        </w:tabs>
        <w:overflowPunct w:val="0"/>
        <w:autoSpaceDE w:val="0"/>
        <w:ind w:firstLine="480"/>
        <w:rPr>
          <w:rFonts w:ascii="Times New Roman" w:cs="Times New Roman"/>
        </w:rPr>
      </w:pPr>
      <w:r>
        <w:rPr>
          <w:rFonts w:ascii="Times New Roman" w:cs="Times New Roman"/>
        </w:rPr>
        <w:t>Ur—10m高处风速，m/s，取1.5m/s；</w:t>
      </w:r>
    </w:p>
    <w:p>
      <w:pPr>
        <w:tabs>
          <w:tab w:val="left" w:pos="5925"/>
        </w:tabs>
        <w:overflowPunct w:val="0"/>
        <w:autoSpaceDE w:val="0"/>
        <w:ind w:firstLine="480"/>
        <w:rPr>
          <w:rFonts w:ascii="Times New Roman" w:cs="Times New Roman"/>
        </w:rPr>
      </w:pPr>
      <w:r>
        <w:rPr>
          <w:rFonts w:ascii="Times New Roman" w:cs="Times New Roman"/>
        </w:rPr>
        <w:t>根据AERMOD风险源强估算模式计算得出：天然气烟团初始密度未大于空气密度，不计算理查德森数，即属于轻质气体。因此，天然气扩散计算采用AFTOX模式。</w:t>
      </w:r>
    </w:p>
    <w:p>
      <w:pPr>
        <w:spacing w:before="24"/>
        <w:ind w:firstLine="482"/>
        <w:rPr>
          <w:rFonts w:ascii="Times New Roman" w:cs="Times New Roman"/>
          <w:b/>
        </w:rPr>
      </w:pPr>
      <w:r>
        <w:rPr>
          <w:rFonts w:ascii="Times New Roman" w:cs="Times New Roman"/>
          <w:b/>
        </w:rPr>
        <w:t>（</w:t>
      </w:r>
      <w:r>
        <w:rPr>
          <w:rFonts w:ascii="Times New Roman" w:cs="Times New Roman"/>
          <w:b/>
          <w:bCs/>
        </w:rPr>
        <w:t>2</w:t>
      </w:r>
      <w:r>
        <w:rPr>
          <w:rFonts w:ascii="Times New Roman" w:cs="Times New Roman"/>
          <w:b/>
        </w:rPr>
        <w:t>）预测范围与计算点、预测时段</w:t>
      </w:r>
    </w:p>
    <w:p>
      <w:pPr>
        <w:spacing w:before="24"/>
        <w:ind w:firstLine="480"/>
        <w:rPr>
          <w:rFonts w:ascii="Times New Roman" w:cs="Times New Roman"/>
        </w:rPr>
      </w:pPr>
      <w:r>
        <w:rPr>
          <w:rFonts w:ascii="Times New Roman" w:cs="Times New Roman"/>
        </w:rPr>
        <w:t>预测范围5km。特殊计算点为5km内大气环境敏感目标，一般计算点设置100m间距。</w:t>
      </w:r>
    </w:p>
    <w:p>
      <w:pPr>
        <w:spacing w:before="24"/>
        <w:ind w:firstLine="480"/>
        <w:rPr>
          <w:rFonts w:ascii="Times New Roman" w:cs="Times New Roman"/>
        </w:rPr>
      </w:pPr>
      <w:r>
        <w:rPr>
          <w:rFonts w:ascii="Times New Roman" w:cs="Times New Roman"/>
        </w:rPr>
        <w:t xml:space="preserve">预测时段：[0，3600s]60s，预测时间1小时，间隔60秒。 </w:t>
      </w:r>
    </w:p>
    <w:p>
      <w:pPr>
        <w:spacing w:before="24"/>
        <w:ind w:firstLine="482"/>
        <w:rPr>
          <w:rFonts w:ascii="Times New Roman" w:cs="Times New Roman"/>
          <w:b/>
        </w:rPr>
      </w:pPr>
      <w:r>
        <w:rPr>
          <w:rFonts w:ascii="Times New Roman" w:cs="Times New Roman"/>
          <w:b/>
        </w:rPr>
        <w:t>（</w:t>
      </w:r>
      <w:r>
        <w:rPr>
          <w:rFonts w:ascii="Times New Roman" w:cs="Times New Roman"/>
          <w:b/>
          <w:bCs/>
        </w:rPr>
        <w:t>3</w:t>
      </w:r>
      <w:r>
        <w:rPr>
          <w:rFonts w:ascii="Times New Roman" w:cs="Times New Roman"/>
          <w:b/>
        </w:rPr>
        <w:t>）气象参数</w:t>
      </w:r>
    </w:p>
    <w:p>
      <w:pPr>
        <w:pStyle w:val="545"/>
        <w:ind w:firstLine="480"/>
      </w:pPr>
      <w:r>
        <w:t>二级评价，需选取最不利气象条件进行后果预测。最不利气象条件取F类稳定度，1.5m/s风速，温度25 ℃，相对湿度50%。</w:t>
      </w:r>
    </w:p>
    <w:p>
      <w:pPr>
        <w:topLinePunct w:val="0"/>
        <w:adjustRightInd/>
        <w:snapToGrid w:val="0"/>
        <w:spacing w:line="500" w:lineRule="exact"/>
        <w:ind w:firstLine="422"/>
        <w:jc w:val="center"/>
        <w:rPr>
          <w:rFonts w:ascii="Times New Roman" w:cs="Times New Roman"/>
          <w:b/>
          <w:kern w:val="2"/>
          <w:sz w:val="21"/>
          <w:szCs w:val="21"/>
        </w:rPr>
      </w:pPr>
      <w:r>
        <w:rPr>
          <w:rFonts w:ascii="Times New Roman" w:cs="Times New Roman"/>
          <w:b/>
          <w:kern w:val="2"/>
          <w:sz w:val="21"/>
          <w:szCs w:val="21"/>
        </w:rPr>
        <w:t>表</w:t>
      </w:r>
      <w:r>
        <w:rPr>
          <w:rFonts w:hint="eastAsia" w:ascii="Times New Roman" w:cs="Times New Roman"/>
          <w:b/>
          <w:kern w:val="2"/>
          <w:sz w:val="21"/>
          <w:szCs w:val="21"/>
        </w:rPr>
        <w:t>7</w:t>
      </w:r>
      <w:r>
        <w:rPr>
          <w:rFonts w:ascii="Times New Roman" w:cs="Times New Roman"/>
          <w:b/>
          <w:kern w:val="2"/>
          <w:sz w:val="21"/>
          <w:szCs w:val="21"/>
        </w:rPr>
        <w:t>.</w:t>
      </w:r>
      <w:r>
        <w:rPr>
          <w:rFonts w:hint="eastAsia" w:ascii="Times New Roman" w:cs="Times New Roman"/>
          <w:b/>
          <w:kern w:val="2"/>
          <w:sz w:val="21"/>
          <w:szCs w:val="21"/>
        </w:rPr>
        <w:t>8</w:t>
      </w:r>
      <w:r>
        <w:rPr>
          <w:rFonts w:ascii="Times New Roman" w:cs="Times New Roman"/>
          <w:b/>
          <w:kern w:val="2"/>
          <w:sz w:val="21"/>
          <w:szCs w:val="21"/>
        </w:rPr>
        <w:t>-1  大气风险预测模型筛选参数</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33"/>
        <w:gridCol w:w="2150"/>
        <w:gridCol w:w="42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5" w:hRule="atLeast"/>
          <w:jc w:val="center"/>
        </w:trPr>
        <w:tc>
          <w:tcPr>
            <w:tcW w:w="2300" w:type="dxa"/>
            <w:vAlign w:val="center"/>
          </w:tcPr>
          <w:p>
            <w:pPr>
              <w:topLinePunct w:val="0"/>
              <w:snapToGrid w:val="0"/>
              <w:spacing w:line="240" w:lineRule="exact"/>
              <w:ind w:firstLine="0" w:firstLineChars="0"/>
              <w:jc w:val="center"/>
              <w:rPr>
                <w:rFonts w:ascii="Times New Roman" w:cs="Times New Roman"/>
                <w:b/>
                <w:bCs/>
                <w:kern w:val="2"/>
                <w:sz w:val="21"/>
                <w:szCs w:val="21"/>
              </w:rPr>
            </w:pPr>
            <w:r>
              <w:rPr>
                <w:rFonts w:ascii="Times New Roman" w:cs="Times New Roman"/>
                <w:b/>
                <w:bCs/>
                <w:kern w:val="2"/>
                <w:sz w:val="21"/>
                <w:szCs w:val="21"/>
              </w:rPr>
              <w:t>参数类型</w:t>
            </w:r>
          </w:p>
        </w:tc>
        <w:tc>
          <w:tcPr>
            <w:tcW w:w="2318" w:type="dxa"/>
            <w:vAlign w:val="center"/>
          </w:tcPr>
          <w:p>
            <w:pPr>
              <w:topLinePunct w:val="0"/>
              <w:snapToGrid w:val="0"/>
              <w:spacing w:line="240" w:lineRule="exact"/>
              <w:ind w:firstLine="0" w:firstLineChars="0"/>
              <w:jc w:val="center"/>
              <w:rPr>
                <w:rFonts w:ascii="Times New Roman" w:cs="Times New Roman"/>
                <w:b/>
                <w:bCs/>
                <w:kern w:val="2"/>
                <w:sz w:val="21"/>
                <w:szCs w:val="21"/>
              </w:rPr>
            </w:pPr>
            <w:r>
              <w:rPr>
                <w:rFonts w:ascii="Times New Roman" w:cs="Times New Roman"/>
                <w:b/>
                <w:bCs/>
                <w:kern w:val="2"/>
                <w:sz w:val="21"/>
                <w:szCs w:val="21"/>
              </w:rPr>
              <w:t>选型</w:t>
            </w:r>
          </w:p>
        </w:tc>
        <w:tc>
          <w:tcPr>
            <w:tcW w:w="4590" w:type="dxa"/>
            <w:vAlign w:val="center"/>
          </w:tcPr>
          <w:p>
            <w:pPr>
              <w:topLinePunct w:val="0"/>
              <w:snapToGrid w:val="0"/>
              <w:spacing w:line="240" w:lineRule="exact"/>
              <w:ind w:firstLine="0" w:firstLineChars="0"/>
              <w:jc w:val="center"/>
              <w:rPr>
                <w:rFonts w:ascii="Times New Roman" w:cs="Times New Roman"/>
                <w:b/>
                <w:bCs/>
                <w:kern w:val="2"/>
                <w:sz w:val="21"/>
                <w:szCs w:val="21"/>
              </w:rPr>
            </w:pPr>
            <w:r>
              <w:rPr>
                <w:rFonts w:ascii="Times New Roman" w:cs="Times New Roman"/>
                <w:b/>
                <w:bCs/>
                <w:kern w:val="2"/>
                <w:sz w:val="21"/>
                <w:szCs w:val="21"/>
              </w:rPr>
              <w:t>参数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7" w:hRule="atLeast"/>
          <w:jc w:val="center"/>
        </w:trPr>
        <w:tc>
          <w:tcPr>
            <w:tcW w:w="2300" w:type="dxa"/>
            <w:vMerge w:val="restart"/>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基本情况</w:t>
            </w:r>
          </w:p>
        </w:tc>
        <w:tc>
          <w:tcPr>
            <w:tcW w:w="2318"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事故物质</w:t>
            </w:r>
          </w:p>
        </w:tc>
        <w:tc>
          <w:tcPr>
            <w:tcW w:w="4590"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甲烷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9" w:hRule="atLeast"/>
          <w:jc w:val="center"/>
        </w:trPr>
        <w:tc>
          <w:tcPr>
            <w:tcW w:w="2300" w:type="dxa"/>
            <w:vMerge w:val="continue"/>
            <w:vAlign w:val="center"/>
          </w:tcPr>
          <w:p>
            <w:pPr>
              <w:widowControl/>
              <w:topLinePunct w:val="0"/>
              <w:adjustRightInd/>
              <w:spacing w:line="240" w:lineRule="exact"/>
              <w:ind w:firstLine="420"/>
              <w:jc w:val="center"/>
              <w:rPr>
                <w:rFonts w:ascii="Times New Roman" w:cs="Times New Roman"/>
                <w:bCs/>
                <w:kern w:val="2"/>
                <w:sz w:val="21"/>
                <w:szCs w:val="21"/>
              </w:rPr>
            </w:pPr>
          </w:p>
        </w:tc>
        <w:tc>
          <w:tcPr>
            <w:tcW w:w="2318"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事故源类型</w:t>
            </w:r>
          </w:p>
        </w:tc>
        <w:tc>
          <w:tcPr>
            <w:tcW w:w="4590"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泄漏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1" w:hRule="atLeast"/>
          <w:jc w:val="center"/>
        </w:trPr>
        <w:tc>
          <w:tcPr>
            <w:tcW w:w="2300" w:type="dxa"/>
            <w:vMerge w:val="restart"/>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气象参数</w:t>
            </w:r>
          </w:p>
        </w:tc>
        <w:tc>
          <w:tcPr>
            <w:tcW w:w="2318"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气象条件类型</w:t>
            </w:r>
          </w:p>
        </w:tc>
        <w:tc>
          <w:tcPr>
            <w:tcW w:w="4590"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最不利气象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9" w:hRule="atLeast"/>
          <w:jc w:val="center"/>
        </w:trPr>
        <w:tc>
          <w:tcPr>
            <w:tcW w:w="2300" w:type="dxa"/>
            <w:vMerge w:val="continue"/>
            <w:vAlign w:val="center"/>
          </w:tcPr>
          <w:p>
            <w:pPr>
              <w:topLinePunct w:val="0"/>
              <w:snapToGrid w:val="0"/>
              <w:spacing w:line="240" w:lineRule="exact"/>
              <w:ind w:firstLine="420"/>
              <w:jc w:val="center"/>
              <w:rPr>
                <w:rFonts w:ascii="Times New Roman" w:cs="Times New Roman"/>
                <w:bCs/>
                <w:kern w:val="2"/>
                <w:sz w:val="21"/>
                <w:szCs w:val="21"/>
              </w:rPr>
            </w:pPr>
          </w:p>
        </w:tc>
        <w:tc>
          <w:tcPr>
            <w:tcW w:w="2318"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风速（m/s）</w:t>
            </w:r>
          </w:p>
        </w:tc>
        <w:tc>
          <w:tcPr>
            <w:tcW w:w="4590"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1.</w:t>
            </w:r>
            <w:r>
              <w:rPr>
                <w:rFonts w:hint="eastAsia" w:ascii="Times New Roman" w:cs="Times New Roman"/>
                <w:bCs/>
                <w:kern w:val="2"/>
                <w:sz w:val="21"/>
                <w:szCs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5" w:hRule="atLeast"/>
          <w:jc w:val="center"/>
        </w:trPr>
        <w:tc>
          <w:tcPr>
            <w:tcW w:w="2300" w:type="dxa"/>
            <w:vMerge w:val="continue"/>
            <w:vAlign w:val="center"/>
          </w:tcPr>
          <w:p>
            <w:pPr>
              <w:topLinePunct w:val="0"/>
              <w:snapToGrid w:val="0"/>
              <w:spacing w:line="240" w:lineRule="exact"/>
              <w:ind w:firstLine="420"/>
              <w:jc w:val="center"/>
              <w:rPr>
                <w:rFonts w:ascii="Times New Roman" w:cs="Times New Roman"/>
                <w:bCs/>
                <w:kern w:val="2"/>
                <w:sz w:val="21"/>
                <w:szCs w:val="21"/>
              </w:rPr>
            </w:pPr>
          </w:p>
        </w:tc>
        <w:tc>
          <w:tcPr>
            <w:tcW w:w="2318"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环境温度/</w:t>
            </w:r>
            <w:r>
              <w:rPr>
                <w:rFonts w:hint="eastAsia" w:hAnsi="宋体"/>
                <w:bCs/>
                <w:kern w:val="2"/>
                <w:sz w:val="21"/>
                <w:szCs w:val="21"/>
              </w:rPr>
              <w:t>℃</w:t>
            </w:r>
          </w:p>
        </w:tc>
        <w:tc>
          <w:tcPr>
            <w:tcW w:w="4590"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2300" w:type="dxa"/>
            <w:vMerge w:val="continue"/>
            <w:vAlign w:val="center"/>
          </w:tcPr>
          <w:p>
            <w:pPr>
              <w:topLinePunct w:val="0"/>
              <w:snapToGrid w:val="0"/>
              <w:spacing w:line="240" w:lineRule="exact"/>
              <w:ind w:firstLine="420"/>
              <w:jc w:val="center"/>
              <w:rPr>
                <w:rFonts w:ascii="Times New Roman" w:cs="Times New Roman"/>
                <w:bCs/>
                <w:kern w:val="2"/>
                <w:sz w:val="21"/>
                <w:szCs w:val="21"/>
              </w:rPr>
            </w:pPr>
          </w:p>
        </w:tc>
        <w:tc>
          <w:tcPr>
            <w:tcW w:w="2318"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相对湿度/%</w:t>
            </w:r>
          </w:p>
        </w:tc>
        <w:tc>
          <w:tcPr>
            <w:tcW w:w="4590"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2300" w:type="dxa"/>
            <w:vMerge w:val="continue"/>
            <w:vAlign w:val="center"/>
          </w:tcPr>
          <w:p>
            <w:pPr>
              <w:topLinePunct w:val="0"/>
              <w:snapToGrid w:val="0"/>
              <w:spacing w:line="240" w:lineRule="exact"/>
              <w:ind w:firstLine="420"/>
              <w:jc w:val="center"/>
              <w:rPr>
                <w:rFonts w:ascii="Times New Roman" w:cs="Times New Roman"/>
                <w:bCs/>
                <w:kern w:val="2"/>
                <w:sz w:val="21"/>
                <w:szCs w:val="21"/>
              </w:rPr>
            </w:pPr>
          </w:p>
        </w:tc>
        <w:tc>
          <w:tcPr>
            <w:tcW w:w="2318"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稳定度</w:t>
            </w:r>
          </w:p>
        </w:tc>
        <w:tc>
          <w:tcPr>
            <w:tcW w:w="4590"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F</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5" w:hRule="atLeast"/>
          <w:jc w:val="center"/>
        </w:trPr>
        <w:tc>
          <w:tcPr>
            <w:tcW w:w="2300" w:type="dxa"/>
            <w:vMerge w:val="restart"/>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其他参数</w:t>
            </w:r>
          </w:p>
        </w:tc>
        <w:tc>
          <w:tcPr>
            <w:tcW w:w="2318"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地表粗糙度/m</w:t>
            </w:r>
          </w:p>
        </w:tc>
        <w:tc>
          <w:tcPr>
            <w:tcW w:w="4590"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sz w:val="21"/>
                <w:szCs w:val="21"/>
              </w:rPr>
              <w: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7" w:hRule="atLeast"/>
          <w:jc w:val="center"/>
        </w:trPr>
        <w:tc>
          <w:tcPr>
            <w:tcW w:w="2300" w:type="dxa"/>
            <w:vMerge w:val="continue"/>
            <w:vAlign w:val="center"/>
          </w:tcPr>
          <w:p>
            <w:pPr>
              <w:widowControl/>
              <w:topLinePunct w:val="0"/>
              <w:adjustRightInd/>
              <w:spacing w:line="240" w:lineRule="exact"/>
              <w:ind w:firstLine="420"/>
              <w:jc w:val="center"/>
              <w:rPr>
                <w:rFonts w:ascii="Times New Roman" w:cs="Times New Roman"/>
                <w:bCs/>
                <w:kern w:val="2"/>
                <w:sz w:val="21"/>
                <w:szCs w:val="21"/>
              </w:rPr>
            </w:pPr>
          </w:p>
        </w:tc>
        <w:tc>
          <w:tcPr>
            <w:tcW w:w="2318"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是否考虑地形</w:t>
            </w:r>
          </w:p>
        </w:tc>
        <w:tc>
          <w:tcPr>
            <w:tcW w:w="4590" w:type="dxa"/>
            <w:vAlign w:val="center"/>
          </w:tcPr>
          <w:p>
            <w:pPr>
              <w:topLinePunct w:val="0"/>
              <w:snapToGrid w:val="0"/>
              <w:spacing w:line="240" w:lineRule="exact"/>
              <w:ind w:firstLine="0" w:firstLineChars="0"/>
              <w:jc w:val="center"/>
              <w:rPr>
                <w:rFonts w:ascii="Times New Roman" w:cs="Times New Roman"/>
                <w:sz w:val="21"/>
                <w:szCs w:val="21"/>
              </w:rPr>
            </w:pPr>
            <w:r>
              <w:rPr>
                <w:rFonts w:hint="eastAsia" w:ascii="Times New Roman" w:cs="Times New Roman"/>
                <w:sz w:val="21"/>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7" w:hRule="atLeast"/>
          <w:jc w:val="center"/>
        </w:trPr>
        <w:tc>
          <w:tcPr>
            <w:tcW w:w="2300" w:type="dxa"/>
            <w:vMerge w:val="continue"/>
            <w:vAlign w:val="center"/>
          </w:tcPr>
          <w:p>
            <w:pPr>
              <w:widowControl/>
              <w:topLinePunct w:val="0"/>
              <w:adjustRightInd/>
              <w:spacing w:line="240" w:lineRule="exact"/>
              <w:ind w:firstLine="420"/>
              <w:jc w:val="center"/>
              <w:rPr>
                <w:rFonts w:ascii="Times New Roman" w:cs="Times New Roman"/>
                <w:bCs/>
                <w:kern w:val="2"/>
                <w:sz w:val="21"/>
                <w:szCs w:val="21"/>
              </w:rPr>
            </w:pPr>
          </w:p>
        </w:tc>
        <w:tc>
          <w:tcPr>
            <w:tcW w:w="2318" w:type="dxa"/>
            <w:vAlign w:val="center"/>
          </w:tcPr>
          <w:p>
            <w:pPr>
              <w:topLinePunct w:val="0"/>
              <w:snapToGrid w:val="0"/>
              <w:spacing w:line="240" w:lineRule="exact"/>
              <w:ind w:firstLine="0" w:firstLineChars="0"/>
              <w:jc w:val="center"/>
              <w:rPr>
                <w:rFonts w:ascii="Times New Roman" w:cs="Times New Roman"/>
                <w:bCs/>
                <w:kern w:val="2"/>
                <w:sz w:val="21"/>
                <w:szCs w:val="21"/>
              </w:rPr>
            </w:pPr>
            <w:r>
              <w:rPr>
                <w:rFonts w:ascii="Times New Roman" w:cs="Times New Roman"/>
                <w:bCs/>
                <w:kern w:val="2"/>
                <w:sz w:val="21"/>
                <w:szCs w:val="21"/>
              </w:rPr>
              <w:t>地形数据精度/m</w:t>
            </w:r>
          </w:p>
        </w:tc>
        <w:tc>
          <w:tcPr>
            <w:tcW w:w="4590" w:type="dxa"/>
            <w:vAlign w:val="center"/>
          </w:tcPr>
          <w:p>
            <w:pPr>
              <w:topLinePunct w:val="0"/>
              <w:snapToGrid w:val="0"/>
              <w:spacing w:line="240" w:lineRule="exact"/>
              <w:ind w:firstLine="0" w:firstLineChars="0"/>
              <w:jc w:val="center"/>
              <w:rPr>
                <w:rFonts w:ascii="Times New Roman" w:cs="Times New Roman"/>
                <w:sz w:val="21"/>
                <w:szCs w:val="21"/>
              </w:rPr>
            </w:pPr>
            <w:r>
              <w:rPr>
                <w:rFonts w:hint="eastAsia" w:ascii="Times New Roman" w:cs="Times New Roman"/>
                <w:sz w:val="21"/>
                <w:szCs w:val="21"/>
              </w:rPr>
              <w:t>90</w:t>
            </w:r>
          </w:p>
        </w:tc>
      </w:tr>
    </w:tbl>
    <w:p>
      <w:pPr>
        <w:topLinePunct w:val="0"/>
        <w:adjustRightInd/>
        <w:spacing w:before="24"/>
        <w:ind w:firstLine="482"/>
        <w:rPr>
          <w:rFonts w:ascii="Times New Roman" w:cs="Times New Roman"/>
          <w:b/>
          <w:kern w:val="2"/>
        </w:rPr>
      </w:pPr>
      <w:r>
        <w:rPr>
          <w:rFonts w:ascii="Times New Roman" w:cs="Times New Roman"/>
          <w:b/>
          <w:kern w:val="2"/>
        </w:rPr>
        <w:t>（</w:t>
      </w:r>
      <w:r>
        <w:rPr>
          <w:rFonts w:hint="eastAsia" w:ascii="Times New Roman" w:cs="Times New Roman"/>
          <w:b/>
          <w:bCs/>
          <w:kern w:val="2"/>
        </w:rPr>
        <w:t>4</w:t>
      </w:r>
      <w:r>
        <w:rPr>
          <w:rFonts w:ascii="Times New Roman" w:cs="Times New Roman"/>
          <w:b/>
          <w:kern w:val="2"/>
        </w:rPr>
        <w:t>）大气毒性终点浓度值选取</w:t>
      </w:r>
    </w:p>
    <w:p>
      <w:pPr>
        <w:topLinePunct w:val="0"/>
        <w:adjustRightInd/>
        <w:ind w:firstLine="480"/>
        <w:rPr>
          <w:rFonts w:ascii="Times New Roman" w:cs="Times New Roman"/>
          <w:kern w:val="2"/>
        </w:rPr>
      </w:pPr>
      <w:r>
        <w:rPr>
          <w:rFonts w:ascii="Times New Roman" w:cs="Times New Roman"/>
          <w:kern w:val="2"/>
        </w:rPr>
        <w:t>甲烷的大气毒性终点浓度见表</w:t>
      </w:r>
      <w:r>
        <w:rPr>
          <w:rFonts w:hint="eastAsia" w:ascii="Times New Roman" w:cs="Times New Roman"/>
          <w:kern w:val="2"/>
        </w:rPr>
        <w:t>7</w:t>
      </w:r>
      <w:r>
        <w:rPr>
          <w:rFonts w:ascii="Times New Roman" w:cs="Times New Roman"/>
          <w:kern w:val="2"/>
        </w:rPr>
        <w:t>.</w:t>
      </w:r>
      <w:r>
        <w:rPr>
          <w:rFonts w:hint="eastAsia" w:ascii="Times New Roman" w:cs="Times New Roman"/>
          <w:kern w:val="2"/>
        </w:rPr>
        <w:t>8</w:t>
      </w:r>
      <w:r>
        <w:rPr>
          <w:rFonts w:ascii="Times New Roman" w:cs="Times New Roman"/>
          <w:kern w:val="2"/>
        </w:rPr>
        <w:t>-2。</w:t>
      </w:r>
    </w:p>
    <w:p>
      <w:pPr>
        <w:topLinePunct w:val="0"/>
        <w:adjustRightInd/>
        <w:snapToGrid w:val="0"/>
        <w:spacing w:line="500" w:lineRule="exact"/>
        <w:ind w:firstLine="422"/>
        <w:jc w:val="center"/>
        <w:rPr>
          <w:rFonts w:ascii="Times New Roman" w:cs="Times New Roman"/>
          <w:b/>
          <w:kern w:val="2"/>
          <w:sz w:val="21"/>
          <w:szCs w:val="21"/>
        </w:rPr>
      </w:pPr>
      <w:r>
        <w:rPr>
          <w:rFonts w:ascii="Times New Roman" w:cs="Times New Roman"/>
          <w:b/>
          <w:kern w:val="2"/>
          <w:sz w:val="21"/>
          <w:szCs w:val="21"/>
        </w:rPr>
        <w:t>表</w:t>
      </w:r>
      <w:r>
        <w:rPr>
          <w:rFonts w:hint="eastAsia" w:ascii="Times New Roman" w:cs="Times New Roman"/>
          <w:b/>
          <w:kern w:val="2"/>
          <w:sz w:val="21"/>
          <w:szCs w:val="21"/>
        </w:rPr>
        <w:t>7</w:t>
      </w:r>
      <w:r>
        <w:rPr>
          <w:rFonts w:ascii="Times New Roman" w:cs="Times New Roman"/>
          <w:b/>
          <w:kern w:val="2"/>
          <w:sz w:val="21"/>
          <w:szCs w:val="21"/>
        </w:rPr>
        <w:t>.</w:t>
      </w:r>
      <w:r>
        <w:rPr>
          <w:rFonts w:hint="eastAsia" w:ascii="Times New Roman" w:cs="Times New Roman"/>
          <w:b/>
          <w:kern w:val="2"/>
          <w:sz w:val="21"/>
          <w:szCs w:val="21"/>
        </w:rPr>
        <w:t>8</w:t>
      </w:r>
      <w:r>
        <w:rPr>
          <w:rFonts w:ascii="Times New Roman" w:cs="Times New Roman"/>
          <w:b/>
          <w:kern w:val="2"/>
          <w:sz w:val="21"/>
          <w:szCs w:val="21"/>
        </w:rPr>
        <w:t>-2 甲烷的大气毒性终点浓度表</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57"/>
        <w:gridCol w:w="1824"/>
        <w:gridCol w:w="1778"/>
        <w:gridCol w:w="2217"/>
        <w:gridCol w:w="194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44" w:type="pct"/>
            <w:vAlign w:val="center"/>
          </w:tcPr>
          <w:p>
            <w:pPr>
              <w:topLinePunct w:val="0"/>
              <w:adjustRightInd/>
              <w:spacing w:line="240" w:lineRule="exact"/>
              <w:ind w:firstLine="0" w:firstLineChars="0"/>
              <w:jc w:val="center"/>
              <w:rPr>
                <w:rFonts w:ascii="Times New Roman" w:cs="Times New Roman"/>
                <w:b/>
                <w:kern w:val="2"/>
                <w:sz w:val="21"/>
              </w:rPr>
            </w:pPr>
            <w:r>
              <w:rPr>
                <w:rFonts w:ascii="Times New Roman" w:cs="Times New Roman"/>
                <w:b/>
                <w:kern w:val="2"/>
                <w:sz w:val="21"/>
              </w:rPr>
              <w:t>序号</w:t>
            </w:r>
          </w:p>
        </w:tc>
        <w:tc>
          <w:tcPr>
            <w:tcW w:w="1070" w:type="pct"/>
            <w:vAlign w:val="center"/>
          </w:tcPr>
          <w:p>
            <w:pPr>
              <w:topLinePunct w:val="0"/>
              <w:adjustRightInd/>
              <w:spacing w:line="240" w:lineRule="exact"/>
              <w:ind w:firstLine="0" w:firstLineChars="0"/>
              <w:jc w:val="center"/>
              <w:rPr>
                <w:rFonts w:ascii="Times New Roman" w:cs="Times New Roman"/>
                <w:b/>
                <w:kern w:val="2"/>
                <w:sz w:val="21"/>
              </w:rPr>
            </w:pPr>
            <w:r>
              <w:rPr>
                <w:rFonts w:ascii="Times New Roman" w:cs="Times New Roman"/>
                <w:b/>
                <w:kern w:val="2"/>
                <w:sz w:val="21"/>
              </w:rPr>
              <w:t>污染物名称</w:t>
            </w:r>
          </w:p>
        </w:tc>
        <w:tc>
          <w:tcPr>
            <w:tcW w:w="1043" w:type="pct"/>
            <w:vAlign w:val="center"/>
          </w:tcPr>
          <w:p>
            <w:pPr>
              <w:topLinePunct w:val="0"/>
              <w:adjustRightInd/>
              <w:spacing w:line="240" w:lineRule="exact"/>
              <w:ind w:firstLine="0" w:firstLineChars="0"/>
              <w:jc w:val="center"/>
              <w:rPr>
                <w:rFonts w:ascii="Times New Roman" w:cs="Times New Roman"/>
                <w:b/>
                <w:kern w:val="2"/>
                <w:sz w:val="21"/>
              </w:rPr>
            </w:pPr>
            <w:r>
              <w:rPr>
                <w:rFonts w:ascii="Times New Roman" w:cs="Times New Roman"/>
                <w:b/>
                <w:kern w:val="2"/>
                <w:sz w:val="21"/>
              </w:rPr>
              <w:t>CAS号</w:t>
            </w:r>
          </w:p>
        </w:tc>
        <w:tc>
          <w:tcPr>
            <w:tcW w:w="1301" w:type="pct"/>
            <w:vAlign w:val="center"/>
          </w:tcPr>
          <w:p>
            <w:pPr>
              <w:topLinePunct w:val="0"/>
              <w:adjustRightInd/>
              <w:spacing w:line="240" w:lineRule="exact"/>
              <w:ind w:firstLine="0" w:firstLineChars="0"/>
              <w:jc w:val="center"/>
              <w:rPr>
                <w:rFonts w:ascii="Times New Roman" w:cs="Times New Roman"/>
                <w:b/>
                <w:kern w:val="2"/>
                <w:sz w:val="21"/>
              </w:rPr>
            </w:pPr>
            <w:r>
              <w:rPr>
                <w:rFonts w:ascii="Times New Roman" w:cs="Times New Roman"/>
                <w:b/>
                <w:kern w:val="2"/>
                <w:sz w:val="21"/>
              </w:rPr>
              <w:t>毒性终点浓度-1/（mg/m</w:t>
            </w:r>
            <w:r>
              <w:rPr>
                <w:rFonts w:ascii="Times New Roman" w:cs="Times New Roman"/>
                <w:b/>
                <w:kern w:val="2"/>
                <w:sz w:val="21"/>
                <w:vertAlign w:val="superscript"/>
              </w:rPr>
              <w:t>3</w:t>
            </w:r>
            <w:r>
              <w:rPr>
                <w:rFonts w:ascii="Times New Roman" w:cs="Times New Roman"/>
                <w:b/>
                <w:kern w:val="2"/>
                <w:sz w:val="21"/>
              </w:rPr>
              <w:t>）</w:t>
            </w:r>
          </w:p>
        </w:tc>
        <w:tc>
          <w:tcPr>
            <w:tcW w:w="1142" w:type="pct"/>
            <w:vAlign w:val="center"/>
          </w:tcPr>
          <w:p>
            <w:pPr>
              <w:topLinePunct w:val="0"/>
              <w:adjustRightInd/>
              <w:spacing w:line="240" w:lineRule="exact"/>
              <w:ind w:firstLine="0" w:firstLineChars="0"/>
              <w:jc w:val="center"/>
              <w:rPr>
                <w:rFonts w:ascii="Times New Roman" w:cs="Times New Roman"/>
                <w:b/>
                <w:kern w:val="2"/>
                <w:sz w:val="21"/>
              </w:rPr>
            </w:pPr>
            <w:r>
              <w:rPr>
                <w:rFonts w:ascii="Times New Roman" w:cs="Times New Roman"/>
                <w:b/>
                <w:kern w:val="2"/>
                <w:sz w:val="21"/>
              </w:rPr>
              <w:t>毒性终点浓度-2/（mg/m</w:t>
            </w:r>
            <w:r>
              <w:rPr>
                <w:rFonts w:ascii="Times New Roman" w:cs="Times New Roman"/>
                <w:b/>
                <w:kern w:val="2"/>
                <w:sz w:val="21"/>
                <w:vertAlign w:val="superscript"/>
              </w:rPr>
              <w:t>3</w:t>
            </w:r>
            <w:r>
              <w:rPr>
                <w:rFonts w:ascii="Times New Roman" w:cs="Times New Roman"/>
                <w:b/>
                <w:kern w:val="2"/>
                <w:sz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44" w:type="pct"/>
            <w:vAlign w:val="center"/>
          </w:tcPr>
          <w:p>
            <w:pPr>
              <w:topLinePunct w:val="0"/>
              <w:adjustRightInd/>
              <w:spacing w:line="240" w:lineRule="exact"/>
              <w:ind w:firstLine="0" w:firstLineChars="0"/>
              <w:jc w:val="center"/>
              <w:rPr>
                <w:rFonts w:ascii="Times New Roman" w:cs="Times New Roman"/>
                <w:kern w:val="2"/>
                <w:sz w:val="21"/>
              </w:rPr>
            </w:pPr>
            <w:r>
              <w:rPr>
                <w:rFonts w:ascii="Times New Roman" w:cs="Times New Roman"/>
                <w:kern w:val="2"/>
                <w:sz w:val="21"/>
              </w:rPr>
              <w:t>1</w:t>
            </w:r>
          </w:p>
        </w:tc>
        <w:tc>
          <w:tcPr>
            <w:tcW w:w="1070" w:type="pct"/>
            <w:vAlign w:val="center"/>
          </w:tcPr>
          <w:p>
            <w:pPr>
              <w:topLinePunct w:val="0"/>
              <w:adjustRightInd/>
              <w:spacing w:line="240" w:lineRule="exact"/>
              <w:ind w:firstLine="0" w:firstLineChars="0"/>
              <w:jc w:val="center"/>
              <w:rPr>
                <w:rFonts w:ascii="Times New Roman" w:cs="Times New Roman"/>
                <w:kern w:val="2"/>
                <w:sz w:val="21"/>
              </w:rPr>
            </w:pPr>
            <w:r>
              <w:rPr>
                <w:rFonts w:ascii="Times New Roman" w:cs="Times New Roman"/>
                <w:kern w:val="2"/>
                <w:sz w:val="21"/>
              </w:rPr>
              <w:t>甲烷</w:t>
            </w:r>
          </w:p>
        </w:tc>
        <w:tc>
          <w:tcPr>
            <w:tcW w:w="1043" w:type="pct"/>
            <w:vAlign w:val="center"/>
          </w:tcPr>
          <w:p>
            <w:pPr>
              <w:topLinePunct w:val="0"/>
              <w:adjustRightInd/>
              <w:spacing w:line="240" w:lineRule="exact"/>
              <w:ind w:firstLine="0" w:firstLineChars="0"/>
              <w:jc w:val="center"/>
              <w:rPr>
                <w:rFonts w:ascii="Times New Roman" w:cs="Times New Roman"/>
                <w:kern w:val="2"/>
                <w:sz w:val="21"/>
              </w:rPr>
            </w:pPr>
            <w:r>
              <w:rPr>
                <w:rFonts w:ascii="Times New Roman" w:cs="Times New Roman"/>
                <w:kern w:val="2"/>
                <w:sz w:val="21"/>
              </w:rPr>
              <w:t>74-82-8</w:t>
            </w:r>
          </w:p>
        </w:tc>
        <w:tc>
          <w:tcPr>
            <w:tcW w:w="1301" w:type="pct"/>
            <w:vAlign w:val="center"/>
          </w:tcPr>
          <w:p>
            <w:pPr>
              <w:topLinePunct w:val="0"/>
              <w:adjustRightInd/>
              <w:spacing w:line="240" w:lineRule="exact"/>
              <w:ind w:firstLine="0" w:firstLineChars="0"/>
              <w:jc w:val="center"/>
              <w:rPr>
                <w:rFonts w:ascii="Times New Roman" w:cs="Times New Roman"/>
                <w:kern w:val="2"/>
                <w:sz w:val="21"/>
              </w:rPr>
            </w:pPr>
            <w:r>
              <w:rPr>
                <w:rFonts w:ascii="Times New Roman" w:cs="Times New Roman"/>
                <w:kern w:val="2"/>
                <w:sz w:val="21"/>
              </w:rPr>
              <w:t>260000</w:t>
            </w:r>
          </w:p>
        </w:tc>
        <w:tc>
          <w:tcPr>
            <w:tcW w:w="1142" w:type="pct"/>
            <w:vAlign w:val="center"/>
          </w:tcPr>
          <w:p>
            <w:pPr>
              <w:topLinePunct w:val="0"/>
              <w:adjustRightInd/>
              <w:spacing w:line="240" w:lineRule="exact"/>
              <w:ind w:firstLine="0" w:firstLineChars="0"/>
              <w:jc w:val="center"/>
              <w:rPr>
                <w:rFonts w:ascii="Times New Roman" w:cs="Times New Roman"/>
                <w:kern w:val="2"/>
                <w:sz w:val="21"/>
              </w:rPr>
            </w:pPr>
            <w:r>
              <w:rPr>
                <w:rFonts w:ascii="Times New Roman" w:cs="Times New Roman"/>
                <w:kern w:val="2"/>
                <w:sz w:val="21"/>
              </w:rPr>
              <w:t>150000</w:t>
            </w:r>
          </w:p>
        </w:tc>
      </w:tr>
    </w:tbl>
    <w:p>
      <w:pPr>
        <w:topLinePunct w:val="0"/>
        <w:adjustRightInd/>
        <w:ind w:firstLine="482"/>
        <w:rPr>
          <w:rFonts w:ascii="Times New Roman" w:cs="Times New Roman"/>
          <w:b/>
          <w:kern w:val="2"/>
        </w:rPr>
      </w:pPr>
      <w:r>
        <w:rPr>
          <w:rFonts w:ascii="Times New Roman" w:cs="Times New Roman"/>
          <w:b/>
          <w:kern w:val="2"/>
        </w:rPr>
        <w:t>（</w:t>
      </w:r>
      <w:r>
        <w:rPr>
          <w:rFonts w:hint="eastAsia" w:ascii="Times New Roman" w:cs="Times New Roman"/>
          <w:b/>
          <w:kern w:val="2"/>
        </w:rPr>
        <w:t>5</w:t>
      </w:r>
      <w:r>
        <w:rPr>
          <w:rFonts w:ascii="Times New Roman" w:cs="Times New Roman"/>
          <w:b/>
          <w:kern w:val="2"/>
        </w:rPr>
        <w:t>）计算结果</w:t>
      </w:r>
    </w:p>
    <w:p>
      <w:pPr>
        <w:topLinePunct w:val="0"/>
        <w:adjustRightInd/>
        <w:ind w:firstLine="480"/>
        <w:rPr>
          <w:rFonts w:ascii="Times New Roman" w:cs="Times New Roman"/>
          <w:kern w:val="2"/>
        </w:rPr>
      </w:pPr>
      <w:r>
        <w:rPr>
          <w:rFonts w:ascii="Times New Roman" w:cs="Times New Roman"/>
          <w:kern w:val="2"/>
        </w:rPr>
        <w:t>评价选取最不利气象状况下，计算下风向甲烷的最大浓度。预测结果见表</w:t>
      </w:r>
      <w:r>
        <w:rPr>
          <w:rFonts w:hint="eastAsia" w:ascii="Times New Roman" w:cs="Times New Roman"/>
          <w:kern w:val="2"/>
        </w:rPr>
        <w:t>7</w:t>
      </w:r>
      <w:r>
        <w:rPr>
          <w:rFonts w:ascii="Times New Roman" w:cs="Times New Roman"/>
          <w:kern w:val="2"/>
        </w:rPr>
        <w:t>.</w:t>
      </w:r>
      <w:r>
        <w:rPr>
          <w:rFonts w:hint="eastAsia" w:ascii="Times New Roman" w:cs="Times New Roman"/>
          <w:kern w:val="2"/>
        </w:rPr>
        <w:t>8</w:t>
      </w:r>
      <w:r>
        <w:rPr>
          <w:rFonts w:ascii="Times New Roman" w:cs="Times New Roman"/>
          <w:kern w:val="2"/>
        </w:rPr>
        <w:t>-3。</w:t>
      </w:r>
    </w:p>
    <w:p>
      <w:pPr>
        <w:topLinePunct w:val="0"/>
        <w:adjustRightInd/>
        <w:ind w:firstLine="480"/>
        <w:rPr>
          <w:rFonts w:ascii="Times New Roman" w:cs="Times New Roman"/>
          <w:kern w:val="2"/>
        </w:rPr>
      </w:pPr>
    </w:p>
    <w:p>
      <w:pPr>
        <w:topLinePunct w:val="0"/>
        <w:adjustRightInd/>
        <w:ind w:firstLine="0" w:firstLineChars="0"/>
        <w:jc w:val="center"/>
        <w:rPr>
          <w:rFonts w:ascii="Times New Roman" w:cs="Times New Roman"/>
          <w:b/>
          <w:kern w:val="2"/>
          <w:sz w:val="21"/>
          <w:szCs w:val="21"/>
          <w:vertAlign w:val="superscript"/>
        </w:rPr>
      </w:pPr>
      <w:r>
        <w:rPr>
          <w:rFonts w:ascii="Times New Roman" w:cs="Times New Roman"/>
          <w:b/>
          <w:kern w:val="2"/>
          <w:sz w:val="21"/>
          <w:szCs w:val="21"/>
        </w:rPr>
        <w:t>表</w:t>
      </w:r>
      <w:r>
        <w:rPr>
          <w:rFonts w:hint="eastAsia" w:ascii="Times New Roman" w:cs="Times New Roman"/>
          <w:b/>
          <w:kern w:val="2"/>
          <w:sz w:val="21"/>
          <w:szCs w:val="21"/>
        </w:rPr>
        <w:t>7</w:t>
      </w:r>
      <w:r>
        <w:rPr>
          <w:rFonts w:ascii="Times New Roman" w:cs="Times New Roman"/>
          <w:b/>
          <w:kern w:val="2"/>
          <w:sz w:val="21"/>
          <w:szCs w:val="21"/>
        </w:rPr>
        <w:t>.</w:t>
      </w:r>
      <w:r>
        <w:rPr>
          <w:rFonts w:hint="eastAsia" w:ascii="Times New Roman" w:cs="Times New Roman"/>
          <w:b/>
          <w:kern w:val="2"/>
          <w:sz w:val="21"/>
          <w:szCs w:val="21"/>
        </w:rPr>
        <w:t>8</w:t>
      </w:r>
      <w:r>
        <w:rPr>
          <w:rFonts w:ascii="Times New Roman" w:cs="Times New Roman"/>
          <w:b/>
          <w:kern w:val="2"/>
          <w:sz w:val="21"/>
          <w:szCs w:val="21"/>
        </w:rPr>
        <w:t xml:space="preserve">-3  </w:t>
      </w:r>
      <w:r>
        <w:rPr>
          <w:rFonts w:ascii="Times New Roman" w:cs="Times New Roman"/>
          <w:b/>
          <w:bCs/>
          <w:kern w:val="2"/>
          <w:sz w:val="21"/>
          <w:szCs w:val="21"/>
        </w:rPr>
        <w:t>甲烷泄漏时下风向</w:t>
      </w:r>
      <w:r>
        <w:rPr>
          <w:rFonts w:ascii="Times New Roman" w:cs="Times New Roman"/>
          <w:b/>
          <w:kern w:val="2"/>
          <w:sz w:val="21"/>
          <w:szCs w:val="21"/>
        </w:rPr>
        <w:t>浓度</w:t>
      </w:r>
      <w:r>
        <w:rPr>
          <w:rFonts w:ascii="Times New Roman" w:cs="Times New Roman"/>
          <w:b/>
          <w:bCs/>
          <w:kern w:val="2"/>
          <w:sz w:val="21"/>
          <w:szCs w:val="21"/>
        </w:rPr>
        <w:t>分布表</w:t>
      </w:r>
      <w:r>
        <w:rPr>
          <w:rFonts w:ascii="Times New Roman" w:cs="Times New Roman"/>
          <w:b/>
          <w:kern w:val="2"/>
          <w:sz w:val="21"/>
          <w:szCs w:val="21"/>
        </w:rPr>
        <w:t xml:space="preserve">  单位：mg/m</w:t>
      </w:r>
      <w:r>
        <w:rPr>
          <w:rFonts w:ascii="Times New Roman" w:cs="Times New Roman"/>
          <w:b/>
          <w:kern w:val="2"/>
          <w:sz w:val="21"/>
          <w:szCs w:val="21"/>
          <w:vertAlign w:val="superscript"/>
        </w:rPr>
        <w:t>3</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705"/>
        <w:gridCol w:w="2630"/>
        <w:gridCol w:w="31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2"/>
              <w:jc w:val="center"/>
              <w:rPr>
                <w:rFonts w:ascii="Times New Roman" w:eastAsia="等线" w:cs="Times New Roman"/>
                <w:b/>
                <w:sz w:val="21"/>
                <w:szCs w:val="21"/>
              </w:rPr>
            </w:pPr>
            <w:r>
              <w:rPr>
                <w:rFonts w:ascii="Times New Roman" w:cs="Times New Roman"/>
                <w:b/>
                <w:kern w:val="2"/>
                <w:sz w:val="21"/>
                <w:szCs w:val="21"/>
              </w:rPr>
              <w:t>下风向距离</w:t>
            </w:r>
            <w:r>
              <w:rPr>
                <w:rFonts w:hint="eastAsia" w:ascii="Times New Roman" w:cs="Times New Roman"/>
                <w:b/>
                <w:kern w:val="2"/>
                <w:sz w:val="21"/>
                <w:szCs w:val="21"/>
              </w:rPr>
              <w:t>（</w:t>
            </w:r>
            <w:r>
              <w:rPr>
                <w:rFonts w:ascii="Times New Roman" w:cs="Times New Roman"/>
                <w:b/>
                <w:kern w:val="2"/>
                <w:sz w:val="21"/>
                <w:szCs w:val="21"/>
              </w:rPr>
              <w:t>m</w:t>
            </w:r>
            <w:r>
              <w:rPr>
                <w:rFonts w:hint="eastAsia" w:ascii="Times New Roman" w:cs="Times New Roman"/>
                <w:b/>
                <w:kern w:val="2"/>
                <w:sz w:val="21"/>
                <w:szCs w:val="21"/>
              </w:rPr>
              <w:t>）</w:t>
            </w:r>
          </w:p>
        </w:tc>
        <w:tc>
          <w:tcPr>
            <w:tcW w:w="1543" w:type="pct"/>
            <w:shd w:val="clear" w:color="auto" w:fill="auto"/>
            <w:vAlign w:val="center"/>
          </w:tcPr>
          <w:p>
            <w:pPr>
              <w:widowControl/>
              <w:topLinePunct w:val="0"/>
              <w:adjustRightInd/>
              <w:ind w:firstLine="422"/>
              <w:jc w:val="center"/>
              <w:rPr>
                <w:rFonts w:ascii="Times New Roman" w:eastAsia="等线" w:cs="Times New Roman"/>
                <w:b/>
                <w:sz w:val="21"/>
                <w:szCs w:val="21"/>
              </w:rPr>
            </w:pPr>
            <w:r>
              <w:rPr>
                <w:rFonts w:ascii="Times New Roman" w:cs="Times New Roman"/>
                <w:b/>
                <w:kern w:val="2"/>
                <w:sz w:val="21"/>
                <w:szCs w:val="21"/>
              </w:rPr>
              <w:t>浓度出现时间</w:t>
            </w:r>
            <w:r>
              <w:rPr>
                <w:rFonts w:hint="eastAsia" w:ascii="Times New Roman" w:cs="Times New Roman"/>
                <w:b/>
                <w:kern w:val="2"/>
                <w:sz w:val="21"/>
                <w:szCs w:val="21"/>
              </w:rPr>
              <w:t>（</w:t>
            </w:r>
            <w:r>
              <w:rPr>
                <w:rFonts w:ascii="Times New Roman" w:cs="Times New Roman"/>
                <w:b/>
                <w:kern w:val="2"/>
                <w:sz w:val="21"/>
                <w:szCs w:val="21"/>
              </w:rPr>
              <w:t>min</w:t>
            </w:r>
            <w:r>
              <w:rPr>
                <w:rFonts w:hint="eastAsia" w:ascii="Times New Roman" w:cs="Times New Roman"/>
                <w:b/>
                <w:kern w:val="2"/>
                <w:sz w:val="21"/>
                <w:szCs w:val="21"/>
              </w:rPr>
              <w:t>）</w:t>
            </w:r>
          </w:p>
        </w:tc>
        <w:tc>
          <w:tcPr>
            <w:tcW w:w="1870" w:type="pct"/>
            <w:shd w:val="clear" w:color="auto" w:fill="auto"/>
            <w:vAlign w:val="center"/>
          </w:tcPr>
          <w:p>
            <w:pPr>
              <w:widowControl/>
              <w:topLinePunct w:val="0"/>
              <w:adjustRightInd/>
              <w:ind w:firstLine="211" w:firstLineChars="100"/>
              <w:jc w:val="center"/>
              <w:rPr>
                <w:rFonts w:ascii="Times New Roman" w:eastAsia="等线" w:cs="Times New Roman"/>
                <w:b/>
                <w:sz w:val="21"/>
                <w:szCs w:val="21"/>
              </w:rPr>
            </w:pPr>
            <w:r>
              <w:rPr>
                <w:rFonts w:ascii="Times New Roman" w:cs="Times New Roman"/>
                <w:b/>
                <w:kern w:val="2"/>
                <w:sz w:val="21"/>
                <w:szCs w:val="21"/>
              </w:rPr>
              <w:t>高峰浓度</w:t>
            </w:r>
            <w:r>
              <w:rPr>
                <w:rFonts w:hint="eastAsia" w:ascii="Times New Roman" w:cs="Times New Roman"/>
                <w:b/>
                <w:kern w:val="2"/>
                <w:sz w:val="21"/>
                <w:szCs w:val="21"/>
              </w:rPr>
              <w:t>（</w:t>
            </w:r>
            <w:r>
              <w:rPr>
                <w:rFonts w:ascii="Times New Roman" w:cs="Times New Roman"/>
                <w:b/>
                <w:kern w:val="2"/>
                <w:sz w:val="21"/>
                <w:szCs w:val="21"/>
              </w:rPr>
              <w:t>mg/m</w:t>
            </w:r>
            <w:r>
              <w:rPr>
                <w:rFonts w:ascii="Times New Roman" w:cs="Times New Roman"/>
                <w:b/>
                <w:kern w:val="2"/>
                <w:sz w:val="21"/>
                <w:szCs w:val="21"/>
                <w:vertAlign w:val="superscript"/>
              </w:rPr>
              <w:t>3</w:t>
            </w:r>
            <w:r>
              <w:rPr>
                <w:rFonts w:hint="eastAsia" w:ascii="Times New Roman" w:cs="Times New Roman"/>
                <w:b/>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0.</w:t>
            </w:r>
            <w:r>
              <w:rPr>
                <w:rFonts w:hint="eastAsia" w:ascii="Times New Roman" w:eastAsia="等线" w:cs="Times New Roman"/>
                <w:sz w:val="21"/>
                <w:szCs w:val="21"/>
              </w:rPr>
              <w:t>1</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293.8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0.</w:t>
            </w:r>
            <w:r>
              <w:rPr>
                <w:rFonts w:hint="eastAsia" w:ascii="Times New Roman" w:eastAsia="等线" w:cs="Times New Roman"/>
                <w:sz w:val="21"/>
                <w:szCs w:val="21"/>
              </w:rPr>
              <w:t>9</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55732.4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1.8</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26352.3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2.6</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18864.3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3.4</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15732.4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510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4.3</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13945.7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610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5.1</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13457.6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710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5.9</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12856.4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810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6.8</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11347.5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910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7.6</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10357.9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1010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8.4</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10157.6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1110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9.3</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9357.6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1210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10.1</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8754.3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1310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10.9</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8467.5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1410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11.8</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7932.1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1510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12.6</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7546.3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1610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13.4</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6740.5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1710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14.3</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6695.3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1810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15.1</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5657.2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1910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15.9</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5234.1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2010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16.8</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5095.5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2110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17.6</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4856.2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2210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18.4</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4532.7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2310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19.3</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4356.7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2410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20.1</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4125.2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2510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20.9</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3845.2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2610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21.8</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3667.5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2710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22.6</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3189.1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2810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23.4</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3012.5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2910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24.3</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2845.3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3010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25.1</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2695.6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3110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25.9</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2565.2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3210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26.8</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2412.4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3310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27.6</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2315.6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3410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28.4</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2214.6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3510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29.3</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2165.2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3610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30.1</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2067.5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3710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30.9</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2014.3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3810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31.8</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2000.5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3910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32.6</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1892.5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4010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33.4</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1885.4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4110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34.3</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1840.2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4210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35.1</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1675.3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4310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35.9</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1567.2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4410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36.8</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1489.5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4510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37.6</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1377.4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4610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38.4</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1345.2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4710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39.3</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1265.3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4810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40.1</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1245.2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1587" w:type="pct"/>
            <w:shd w:val="clear" w:color="auto" w:fill="auto"/>
            <w:noWrap/>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4910</w:t>
            </w:r>
          </w:p>
        </w:tc>
        <w:tc>
          <w:tcPr>
            <w:tcW w:w="1543" w:type="pct"/>
            <w:shd w:val="clear" w:color="auto" w:fill="auto"/>
            <w:vAlign w:val="center"/>
          </w:tcPr>
          <w:p>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40.9</w:t>
            </w:r>
          </w:p>
        </w:tc>
        <w:tc>
          <w:tcPr>
            <w:tcW w:w="1870" w:type="pct"/>
            <w:shd w:val="clear" w:color="auto" w:fill="auto"/>
            <w:vAlign w:val="center"/>
          </w:tcPr>
          <w:p>
            <w:pPr>
              <w:widowControl/>
              <w:topLinePunct w:val="0"/>
              <w:adjustRightInd/>
              <w:ind w:firstLine="210" w:firstLineChars="100"/>
              <w:jc w:val="center"/>
              <w:rPr>
                <w:rFonts w:ascii="Times New Roman" w:eastAsia="等线" w:cs="Times New Roman"/>
                <w:sz w:val="21"/>
                <w:szCs w:val="21"/>
              </w:rPr>
            </w:pPr>
            <w:r>
              <w:rPr>
                <w:rFonts w:hint="eastAsia" w:ascii="Times New Roman" w:eastAsia="等线" w:cs="Times New Roman"/>
                <w:sz w:val="21"/>
                <w:szCs w:val="21"/>
              </w:rPr>
              <w:t>1152.4</w:t>
            </w:r>
          </w:p>
        </w:tc>
      </w:tr>
    </w:tbl>
    <w:p>
      <w:pPr>
        <w:topLinePunct w:val="0"/>
        <w:adjustRightInd/>
        <w:ind w:firstLine="480"/>
        <w:rPr>
          <w:rFonts w:ascii="Times New Roman" w:cs="Times New Roman"/>
          <w:kern w:val="2"/>
        </w:rPr>
      </w:pPr>
      <w:r>
        <w:t>甲烷泄漏时下风向浓度分布</w:t>
      </w:r>
      <w:r>
        <w:rPr>
          <w:rFonts w:hint="eastAsia"/>
        </w:rPr>
        <w:t>计算结果见图</w:t>
      </w:r>
      <w:r>
        <w:rPr>
          <w:rFonts w:ascii="Times New Roman" w:cs="Times New Roman"/>
        </w:rPr>
        <w:t>7.8-1</w:t>
      </w:r>
      <w:r>
        <w:rPr>
          <w:rFonts w:hint="eastAsia"/>
        </w:rPr>
        <w:t>。</w:t>
      </w:r>
    </w:p>
    <w:p>
      <w:pPr>
        <w:topLinePunct w:val="0"/>
        <w:adjustRightInd/>
        <w:ind w:firstLine="480"/>
        <w:rPr>
          <w:rFonts w:ascii="Times New Roman" w:cs="Times New Roman"/>
          <w:kern w:val="2"/>
        </w:rPr>
      </w:pPr>
      <w:r>
        <w:drawing>
          <wp:inline distT="0" distB="0" distL="114300" distR="114300">
            <wp:extent cx="4919980" cy="2872105"/>
            <wp:effectExtent l="0" t="0" r="13970" b="4445"/>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118" cstate="print"/>
                    <a:stretch>
                      <a:fillRect/>
                    </a:stretch>
                  </pic:blipFill>
                  <pic:spPr>
                    <a:xfrm>
                      <a:off x="0" y="0"/>
                      <a:ext cx="4922748" cy="2874026"/>
                    </a:xfrm>
                    <a:prstGeom prst="rect">
                      <a:avLst/>
                    </a:prstGeom>
                    <a:noFill/>
                    <a:ln>
                      <a:noFill/>
                    </a:ln>
                  </pic:spPr>
                </pic:pic>
              </a:graphicData>
            </a:graphic>
          </wp:inline>
        </w:drawing>
      </w:r>
    </w:p>
    <w:p>
      <w:pPr>
        <w:topLinePunct w:val="0"/>
        <w:adjustRightInd/>
        <w:ind w:firstLine="480"/>
        <w:rPr>
          <w:rFonts w:ascii="Times New Roman" w:cs="Times New Roman"/>
          <w:kern w:val="2"/>
        </w:rPr>
      </w:pPr>
      <w:r>
        <w:rPr>
          <w:rFonts w:ascii="Times New Roman" w:cs="Times New Roman"/>
          <w:kern w:val="2"/>
        </w:rPr>
        <w:t>（4）后果分析</w:t>
      </w:r>
    </w:p>
    <w:p>
      <w:pPr>
        <w:topLinePunct w:val="0"/>
        <w:adjustRightInd/>
        <w:ind w:firstLine="480"/>
        <w:rPr>
          <w:rFonts w:ascii="Times New Roman" w:cs="Times New Roman"/>
          <w:kern w:val="2"/>
        </w:rPr>
      </w:pPr>
      <w:r>
        <w:rPr>
          <w:rFonts w:ascii="Times New Roman" w:cs="Times New Roman"/>
          <w:kern w:val="2"/>
        </w:rPr>
        <w:t>甲烷泄漏后果分析见表</w:t>
      </w:r>
      <w:r>
        <w:rPr>
          <w:rFonts w:hint="eastAsia" w:ascii="Times New Roman" w:cs="Times New Roman"/>
          <w:kern w:val="2"/>
        </w:rPr>
        <w:t>7</w:t>
      </w:r>
      <w:r>
        <w:rPr>
          <w:rFonts w:ascii="Times New Roman" w:cs="Times New Roman"/>
          <w:kern w:val="2"/>
        </w:rPr>
        <w:t>.</w:t>
      </w:r>
      <w:r>
        <w:rPr>
          <w:rFonts w:hint="eastAsia" w:ascii="Times New Roman" w:cs="Times New Roman"/>
          <w:kern w:val="2"/>
        </w:rPr>
        <w:t>8</w:t>
      </w:r>
      <w:r>
        <w:rPr>
          <w:rFonts w:ascii="Times New Roman" w:cs="Times New Roman"/>
          <w:kern w:val="2"/>
        </w:rPr>
        <w:t>-</w:t>
      </w:r>
      <w:r>
        <w:rPr>
          <w:rFonts w:hint="eastAsia" w:ascii="Times New Roman" w:cs="Times New Roman"/>
          <w:kern w:val="2"/>
        </w:rPr>
        <w:t>4</w:t>
      </w:r>
      <w:r>
        <w:rPr>
          <w:rFonts w:ascii="Times New Roman" w:cs="Times New Roman"/>
          <w:kern w:val="2"/>
        </w:rPr>
        <w:t>。</w:t>
      </w:r>
    </w:p>
    <w:p>
      <w:pPr>
        <w:topLinePunct w:val="0"/>
        <w:adjustRightInd/>
        <w:snapToGrid w:val="0"/>
        <w:spacing w:line="500" w:lineRule="exact"/>
        <w:ind w:firstLine="420"/>
        <w:jc w:val="center"/>
        <w:rPr>
          <w:rFonts w:ascii="Times New Roman" w:cs="Times New Roman"/>
          <w:kern w:val="2"/>
          <w:sz w:val="21"/>
          <w:szCs w:val="21"/>
        </w:rPr>
      </w:pPr>
      <w:r>
        <w:rPr>
          <w:rFonts w:ascii="Times New Roman" w:cs="Times New Roman"/>
          <w:kern w:val="2"/>
          <w:sz w:val="21"/>
          <w:szCs w:val="21"/>
        </w:rPr>
        <w:t>表</w:t>
      </w:r>
      <w:r>
        <w:rPr>
          <w:rFonts w:hint="eastAsia" w:ascii="Times New Roman" w:cs="Times New Roman"/>
          <w:kern w:val="2"/>
          <w:sz w:val="21"/>
          <w:szCs w:val="21"/>
        </w:rPr>
        <w:t>7</w:t>
      </w:r>
      <w:r>
        <w:rPr>
          <w:rFonts w:ascii="Times New Roman" w:cs="Times New Roman"/>
          <w:kern w:val="2"/>
          <w:sz w:val="21"/>
          <w:szCs w:val="21"/>
        </w:rPr>
        <w:t>.</w:t>
      </w:r>
      <w:r>
        <w:rPr>
          <w:rFonts w:hint="eastAsia" w:ascii="Times New Roman" w:cs="Times New Roman"/>
          <w:kern w:val="2"/>
          <w:sz w:val="21"/>
          <w:szCs w:val="21"/>
        </w:rPr>
        <w:t>8</w:t>
      </w:r>
      <w:r>
        <w:rPr>
          <w:rFonts w:ascii="Times New Roman" w:cs="Times New Roman"/>
          <w:kern w:val="2"/>
          <w:sz w:val="21"/>
          <w:szCs w:val="21"/>
        </w:rPr>
        <w:t>-</w:t>
      </w:r>
      <w:r>
        <w:rPr>
          <w:rFonts w:hint="eastAsia" w:ascii="Times New Roman" w:cs="Times New Roman"/>
          <w:kern w:val="2"/>
          <w:sz w:val="21"/>
          <w:szCs w:val="21"/>
        </w:rPr>
        <w:t>4</w:t>
      </w:r>
      <w:r>
        <w:rPr>
          <w:rFonts w:ascii="Times New Roman" w:cs="Times New Roman"/>
          <w:kern w:val="2"/>
          <w:sz w:val="21"/>
          <w:szCs w:val="21"/>
        </w:rPr>
        <w:t xml:space="preserve">  甲烷泄漏事故后果分析</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217"/>
        <w:gridCol w:w="330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061" w:type="pct"/>
            <w:vAlign w:val="center"/>
          </w:tcPr>
          <w:p>
            <w:pPr>
              <w:topLinePunct w:val="0"/>
              <w:adjustRightInd/>
              <w:spacing w:line="240" w:lineRule="exact"/>
              <w:ind w:firstLine="0" w:firstLineChars="0"/>
              <w:jc w:val="center"/>
              <w:rPr>
                <w:rFonts w:ascii="Times New Roman" w:cs="Times New Roman"/>
                <w:kern w:val="2"/>
                <w:sz w:val="21"/>
                <w:szCs w:val="21"/>
              </w:rPr>
            </w:pPr>
            <w:r>
              <w:rPr>
                <w:rFonts w:ascii="Times New Roman" w:cs="Times New Roman"/>
                <w:kern w:val="2"/>
                <w:sz w:val="21"/>
                <w:szCs w:val="21"/>
              </w:rPr>
              <w:t>浓度</w:t>
            </w:r>
          </w:p>
        </w:tc>
        <w:tc>
          <w:tcPr>
            <w:tcW w:w="1939" w:type="pct"/>
            <w:vAlign w:val="center"/>
          </w:tcPr>
          <w:p>
            <w:pPr>
              <w:topLinePunct w:val="0"/>
              <w:adjustRightInd/>
              <w:spacing w:line="240" w:lineRule="exact"/>
              <w:ind w:firstLine="0" w:firstLineChars="0"/>
              <w:jc w:val="center"/>
              <w:rPr>
                <w:rFonts w:ascii="Times New Roman" w:cs="Times New Roman"/>
                <w:kern w:val="2"/>
                <w:sz w:val="21"/>
                <w:szCs w:val="21"/>
              </w:rPr>
            </w:pPr>
            <w:r>
              <w:rPr>
                <w:rFonts w:ascii="Times New Roman" w:cs="Times New Roman"/>
                <w:kern w:val="2"/>
                <w:sz w:val="21"/>
                <w:szCs w:val="21"/>
              </w:rPr>
              <w:t>最不利气象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061" w:type="pct"/>
            <w:vAlign w:val="center"/>
          </w:tcPr>
          <w:p>
            <w:pPr>
              <w:topLinePunct w:val="0"/>
              <w:adjustRightInd/>
              <w:spacing w:line="240" w:lineRule="exact"/>
              <w:ind w:firstLine="0" w:firstLineChars="0"/>
              <w:jc w:val="center"/>
              <w:rPr>
                <w:rFonts w:ascii="Times New Roman" w:cs="Times New Roman"/>
                <w:kern w:val="2"/>
                <w:sz w:val="21"/>
                <w:szCs w:val="21"/>
              </w:rPr>
            </w:pPr>
            <w:r>
              <w:rPr>
                <w:rFonts w:ascii="Times New Roman" w:cs="Times New Roman"/>
                <w:kern w:val="2"/>
                <w:sz w:val="21"/>
                <w:szCs w:val="21"/>
              </w:rPr>
              <w:t>毒性终点浓度-1/（260000mg/m</w:t>
            </w:r>
            <w:r>
              <w:rPr>
                <w:rFonts w:ascii="Times New Roman" w:cs="Times New Roman"/>
                <w:kern w:val="2"/>
                <w:sz w:val="21"/>
                <w:szCs w:val="21"/>
                <w:vertAlign w:val="superscript"/>
              </w:rPr>
              <w:t>3</w:t>
            </w:r>
            <w:r>
              <w:rPr>
                <w:rFonts w:ascii="Times New Roman" w:cs="Times New Roman"/>
                <w:kern w:val="2"/>
                <w:sz w:val="21"/>
                <w:szCs w:val="21"/>
              </w:rPr>
              <w:t>）</w:t>
            </w:r>
          </w:p>
        </w:tc>
        <w:tc>
          <w:tcPr>
            <w:tcW w:w="1939" w:type="pct"/>
            <w:vAlign w:val="center"/>
          </w:tcPr>
          <w:p>
            <w:pPr>
              <w:topLinePunct w:val="0"/>
              <w:adjustRightInd/>
              <w:spacing w:line="240" w:lineRule="exact"/>
              <w:ind w:firstLine="0" w:firstLineChars="0"/>
              <w:jc w:val="center"/>
              <w:rPr>
                <w:rFonts w:ascii="Times New Roman" w:cs="Times New Roman"/>
                <w:kern w:val="2"/>
                <w:sz w:val="21"/>
                <w:szCs w:val="21"/>
              </w:rPr>
            </w:pPr>
            <w:r>
              <w:rPr>
                <w:rFonts w:ascii="Times New Roman" w:cs="Times New Roman"/>
                <w:kern w:val="2"/>
                <w:sz w:val="21"/>
                <w:szCs w:val="21"/>
              </w:rPr>
              <w:t>～0m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061" w:type="pct"/>
            <w:vAlign w:val="center"/>
          </w:tcPr>
          <w:p>
            <w:pPr>
              <w:topLinePunct w:val="0"/>
              <w:adjustRightInd/>
              <w:spacing w:line="240" w:lineRule="exact"/>
              <w:ind w:firstLine="0" w:firstLineChars="0"/>
              <w:jc w:val="center"/>
              <w:rPr>
                <w:rFonts w:ascii="Times New Roman" w:cs="Times New Roman"/>
                <w:kern w:val="2"/>
                <w:sz w:val="21"/>
                <w:szCs w:val="21"/>
              </w:rPr>
            </w:pPr>
            <w:r>
              <w:rPr>
                <w:rFonts w:ascii="Times New Roman" w:cs="Times New Roman"/>
                <w:kern w:val="2"/>
                <w:sz w:val="21"/>
                <w:szCs w:val="21"/>
              </w:rPr>
              <w:t>毒性终点浓度-2/（150000mg/m</w:t>
            </w:r>
            <w:r>
              <w:rPr>
                <w:rFonts w:ascii="Times New Roman" w:cs="Times New Roman"/>
                <w:kern w:val="2"/>
                <w:sz w:val="21"/>
                <w:szCs w:val="21"/>
                <w:vertAlign w:val="superscript"/>
              </w:rPr>
              <w:t>3</w:t>
            </w:r>
            <w:r>
              <w:rPr>
                <w:rFonts w:ascii="Times New Roman" w:cs="Times New Roman"/>
                <w:kern w:val="2"/>
                <w:sz w:val="21"/>
                <w:szCs w:val="21"/>
              </w:rPr>
              <w:t>）</w:t>
            </w:r>
          </w:p>
        </w:tc>
        <w:tc>
          <w:tcPr>
            <w:tcW w:w="1939" w:type="pct"/>
            <w:vAlign w:val="center"/>
          </w:tcPr>
          <w:p>
            <w:pPr>
              <w:topLinePunct w:val="0"/>
              <w:adjustRightInd/>
              <w:spacing w:line="240" w:lineRule="exact"/>
              <w:ind w:firstLine="0" w:firstLineChars="0"/>
              <w:jc w:val="center"/>
              <w:rPr>
                <w:rFonts w:ascii="Times New Roman" w:cs="Times New Roman"/>
                <w:kern w:val="2"/>
                <w:sz w:val="21"/>
                <w:szCs w:val="21"/>
              </w:rPr>
            </w:pPr>
            <w:r>
              <w:rPr>
                <w:rFonts w:ascii="Times New Roman" w:cs="Times New Roman"/>
                <w:kern w:val="2"/>
                <w:sz w:val="21"/>
                <w:szCs w:val="21"/>
              </w:rPr>
              <w:t>～0m</w:t>
            </w:r>
          </w:p>
        </w:tc>
      </w:tr>
    </w:tbl>
    <w:p>
      <w:pPr>
        <w:pStyle w:val="545"/>
        <w:ind w:firstLine="480"/>
      </w:pPr>
      <w:r>
        <w:rPr>
          <w:snapToGrid/>
          <w:kern w:val="2"/>
        </w:rPr>
        <w:t>最不利气象状况下，甲烷泄漏，超过毒性终点浓度-1和毒性终点浓度-2的距离均为0m，下风向的最大浓度均远低于毒性终点浓度-1和毒性终点浓度-2</w:t>
      </w:r>
      <w:r>
        <w:rPr>
          <w:rFonts w:hint="eastAsia"/>
          <w:snapToGrid/>
          <w:kern w:val="2"/>
        </w:rPr>
        <w:t>，</w:t>
      </w:r>
      <w:r>
        <w:rPr>
          <w:snapToGrid/>
          <w:kern w:val="2"/>
        </w:rPr>
        <w:t>若发生井喷事故</w:t>
      </w:r>
      <w:r>
        <w:rPr>
          <w:rFonts w:hint="eastAsia"/>
          <w:snapToGrid/>
          <w:kern w:val="2"/>
        </w:rPr>
        <w:t>，</w:t>
      </w:r>
      <w:r>
        <w:rPr>
          <w:snapToGrid/>
          <w:kern w:val="2"/>
        </w:rPr>
        <w:t>应对井场周边</w:t>
      </w:r>
      <w:r>
        <w:rPr>
          <w:rFonts w:hint="eastAsia"/>
          <w:snapToGrid/>
          <w:kern w:val="2"/>
        </w:rPr>
        <w:t>500m范围内的居民采取</w:t>
      </w:r>
      <w:r>
        <w:rPr>
          <w:snapToGrid/>
          <w:kern w:val="2"/>
        </w:rPr>
        <w:t>紧急疏散措施</w:t>
      </w:r>
      <w:r>
        <w:rPr>
          <w:rFonts w:hint="eastAsia"/>
          <w:snapToGrid/>
          <w:kern w:val="2"/>
        </w:rPr>
        <w:t>，同时井喷失控事故发生后及时进行点火，以减轻事故风险对环境的影响</w:t>
      </w:r>
      <w:r>
        <w:rPr>
          <w:snapToGrid/>
          <w:kern w:val="2"/>
        </w:rPr>
        <w:t>。</w:t>
      </w:r>
    </w:p>
    <w:p>
      <w:pPr>
        <w:pStyle w:val="4"/>
        <w:rPr>
          <w:rFonts w:eastAsia="宋体"/>
        </w:rPr>
      </w:pPr>
      <w:r>
        <w:rPr>
          <w:rFonts w:eastAsia="宋体"/>
        </w:rPr>
        <w:t>7.8.2 天然气管道泄漏后果分析</w:t>
      </w:r>
    </w:p>
    <w:p>
      <w:pPr>
        <w:pStyle w:val="112"/>
        <w:ind w:firstLine="480"/>
      </w:pPr>
      <w:r>
        <w:t>依据前述分析，本项目集气管线输送介质为</w:t>
      </w:r>
      <w:r>
        <w:rPr>
          <w:rFonts w:hint="eastAsia"/>
        </w:rPr>
        <w:t>不</w:t>
      </w:r>
      <w:r>
        <w:t>含硫天然气，主要考虑管道腐蚀或应力作用引起的甲烷泄漏事故，进而进入大气，引起群众缺氧、窒息等，如果遇火星或明火，可能发生火灾爆炸事故。根据类比同类型事故分析，由于各个危险单元前后设置了紧急隔离系统，泄漏时间一般为10min，泄漏量按管道截面100%断裂进行估算。</w:t>
      </w:r>
    </w:p>
    <w:p>
      <w:pPr>
        <w:pStyle w:val="112"/>
        <w:ind w:firstLine="480"/>
      </w:pPr>
      <w:r>
        <w:t>天然气管道泄漏后，发生事故的情况共分为3种类型，主要有泄漏后，在泄漏口立即燃烧，形成喷射火焰；泄漏后推迟燃烧，形成闪烁火焰或爆炸；泄漏后不立即燃烧也不推迟燃烧，形成环境污染。</w:t>
      </w:r>
    </w:p>
    <w:p>
      <w:pPr>
        <w:pStyle w:val="112"/>
        <w:ind w:firstLine="482"/>
        <w:rPr>
          <w:b/>
          <w:bCs/>
        </w:rPr>
      </w:pPr>
      <w:r>
        <w:rPr>
          <w:b/>
          <w:bCs/>
        </w:rPr>
        <w:t>1、管道泄漏天然气对人群健康危害影响</w:t>
      </w:r>
    </w:p>
    <w:p>
      <w:pPr>
        <w:pStyle w:val="112"/>
        <w:ind w:firstLine="480"/>
      </w:pPr>
      <w:r>
        <w:t>管道内天然气一旦泄漏，则会出现两种情况：泄漏的</w:t>
      </w:r>
      <w:r>
        <w:rPr>
          <w:rFonts w:hint="eastAsia"/>
        </w:rPr>
        <w:t>不</w:t>
      </w:r>
      <w:r>
        <w:t>含硫天然气立即被点火燃烧排放，对环境空气的影响主要是</w:t>
      </w:r>
      <w:r>
        <w:rPr>
          <w:rFonts w:hint="eastAsia"/>
        </w:rPr>
        <w:t>C</w:t>
      </w:r>
      <w:r>
        <w:t>O；释放的</w:t>
      </w:r>
      <w:r>
        <w:rPr>
          <w:rFonts w:hint="eastAsia"/>
        </w:rPr>
        <w:t>不</w:t>
      </w:r>
      <w:r>
        <w:t>含硫天然气未能立即点火，大量</w:t>
      </w:r>
      <w:r>
        <w:rPr>
          <w:rFonts w:hint="eastAsia"/>
        </w:rPr>
        <w:t>甲烷</w:t>
      </w:r>
      <w:r>
        <w:t>释放到空气中，将周围环境造成</w:t>
      </w:r>
      <w:r>
        <w:rPr>
          <w:rFonts w:hint="eastAsia"/>
        </w:rPr>
        <w:t>一定的影响</w:t>
      </w:r>
      <w:r>
        <w:t>，由于泄漏量较小，且当地大气扩散条件好，不会对周边居民造成影响。</w:t>
      </w:r>
    </w:p>
    <w:p>
      <w:pPr>
        <w:pStyle w:val="112"/>
        <w:ind w:firstLine="480"/>
      </w:pPr>
      <w:r>
        <w:t>甲烷的密度比空气的一半还小，稀释扩散很快，随着距泄漏点距离的增加，甲烷测试浓度下降非常快，一个泄漏点泄漏的甲烷对环境、人和动物的影响是局部影响。</w:t>
      </w:r>
    </w:p>
    <w:p>
      <w:pPr>
        <w:pStyle w:val="112"/>
        <w:ind w:firstLine="480"/>
      </w:pPr>
      <w:r>
        <w:t>为防止可燃气体泄漏引发事故，站内需设置</w:t>
      </w:r>
      <w:r>
        <w:rPr>
          <w:rFonts w:hint="eastAsia"/>
        </w:rPr>
        <w:t>天然气</w:t>
      </w:r>
      <w:r>
        <w:t>泄漏检测报警系统，对站场天然气泄漏进行检测及报警。普陆4集气平台数据上传至中国石油化工股份有限公司中原油田普光分公司调控中心，工作人员应根据报警值采取相应处理措施。</w:t>
      </w:r>
    </w:p>
    <w:p>
      <w:pPr>
        <w:pStyle w:val="112"/>
        <w:ind w:firstLine="480"/>
      </w:pPr>
      <w:r>
        <w:t>企业天然气管道均设有自动阀门，若遇泄漏，系统会自动启动关闭阀门，自阀门关闭到管道内气体泄漏完毕，最多历时10min，天然气泄漏量极少。综上分析，泄漏的天然气对环境影响较小。</w:t>
      </w:r>
    </w:p>
    <w:p>
      <w:pPr>
        <w:pStyle w:val="112"/>
        <w:ind w:firstLine="480"/>
      </w:pPr>
      <w:r>
        <w:t>为了减小对周围居民的影响，</w:t>
      </w:r>
      <w:r>
        <w:rPr>
          <w:rFonts w:hint="eastAsia"/>
        </w:rPr>
        <w:t>应加强对周边</w:t>
      </w:r>
      <w:r>
        <w:t>群众</w:t>
      </w:r>
      <w:r>
        <w:rPr>
          <w:rFonts w:hint="eastAsia"/>
        </w:rPr>
        <w:t>的</w:t>
      </w:r>
      <w:r>
        <w:t>宣传</w:t>
      </w:r>
      <w:r>
        <w:rPr>
          <w:rFonts w:hint="eastAsia"/>
        </w:rPr>
        <w:t>教育，遇到此类事故应立即撤离泄露点，撤离距离根据应急监测确定。企业应在可能的泄露点周边设置便携监测仪，确定浓度，根据浓度确定具体撤离范围。企业同时应对事故后主要是堵漏，通过井口周边放喷管放喷燃烧泄压，减少周边地表泄露点泄露量，对地表泄露点进行点火燃烧。</w:t>
      </w:r>
    </w:p>
    <w:p>
      <w:pPr>
        <w:pStyle w:val="112"/>
        <w:ind w:firstLine="482"/>
        <w:rPr>
          <w:b/>
          <w:bCs/>
        </w:rPr>
      </w:pPr>
      <w:r>
        <w:rPr>
          <w:b/>
          <w:bCs/>
        </w:rPr>
        <w:t>2、火灾或爆炸事故次生污染物对环境的影响</w:t>
      </w:r>
    </w:p>
    <w:p>
      <w:pPr>
        <w:pStyle w:val="112"/>
        <w:ind w:firstLine="480"/>
      </w:pPr>
      <w:r>
        <w:t>在事故状态下，若发生火灾或爆炸事故，天然气燃烧生成的主要产物为CO</w:t>
      </w:r>
      <w:r>
        <w:rPr>
          <w:vertAlign w:val="subscript"/>
        </w:rPr>
        <w:t>2</w:t>
      </w:r>
      <w:r>
        <w:t>、H</w:t>
      </w:r>
      <w:r>
        <w:rPr>
          <w:vertAlign w:val="subscript"/>
        </w:rPr>
        <w:t>2</w:t>
      </w:r>
      <w:r>
        <w:t>O，仅在事故刚发生时有少量甲烷等释放，且很快就能扩散，不会长期影响空气质量。</w:t>
      </w:r>
    </w:p>
    <w:p>
      <w:pPr>
        <w:pStyle w:val="112"/>
        <w:ind w:firstLine="480"/>
      </w:pPr>
      <w:r>
        <w:t>事故时天然气燃烧主要采用二氧化碳或干粉灭火器等进行灭火。若引发大面积火灾时会产生一定的消防水，但该类消防水不含有有毒有害物质，对项目拟建地周围环境不会造成较大污染。</w:t>
      </w:r>
    </w:p>
    <w:p>
      <w:pPr>
        <w:pStyle w:val="112"/>
        <w:ind w:firstLine="482"/>
        <w:rPr>
          <w:b/>
          <w:bCs/>
        </w:rPr>
      </w:pPr>
      <w:r>
        <w:rPr>
          <w:b/>
          <w:bCs/>
        </w:rPr>
        <w:t>3、事故燃烧生成CO、NO</w:t>
      </w:r>
      <w:r>
        <w:rPr>
          <w:b/>
          <w:bCs/>
          <w:vertAlign w:val="subscript"/>
        </w:rPr>
        <w:t>2</w:t>
      </w:r>
      <w:r>
        <w:rPr>
          <w:b/>
          <w:bCs/>
        </w:rPr>
        <w:t>对环境的影响</w:t>
      </w:r>
    </w:p>
    <w:p>
      <w:pPr>
        <w:pStyle w:val="112"/>
        <w:ind w:firstLine="480"/>
      </w:pPr>
      <w:r>
        <w:t>项目天然气主要成分为甲烷，天然气燃烧将伴生CO、NO</w:t>
      </w:r>
      <w:r>
        <w:rPr>
          <w:vertAlign w:val="subscript"/>
        </w:rPr>
        <w:t>2</w:t>
      </w:r>
      <w:r>
        <w:t>等污染物，将对周围环境空气产生影响。</w:t>
      </w:r>
    </w:p>
    <w:p>
      <w:pPr>
        <w:pStyle w:val="112"/>
        <w:ind w:firstLine="480"/>
      </w:pPr>
      <w:r>
        <w:t>CO可能会使周围含氧量降低，导致植物光合作用效率降低，影响动植物生长，甚至死亡。但这种影响是可逆的，事故得到控制后能够恢复生产。同时项目区域无自然保护区、风景区等敏感生态区域，为农业生态环境，事故对生态环境的影响是可恢复的。</w:t>
      </w:r>
    </w:p>
    <w:p>
      <w:pPr>
        <w:pStyle w:val="112"/>
        <w:ind w:firstLine="480"/>
      </w:pPr>
      <w:r>
        <w:t>就农业生态环境而言，事故发生后对生态环境的影响是可恢复的。事故发生后的区域农作物及植被不会出现大范围的影响，主要在事故附近区域出现植被受损，事故后生态环境基本能恢复到原来的状态。</w:t>
      </w:r>
    </w:p>
    <w:p>
      <w:pPr>
        <w:pStyle w:val="112"/>
        <w:ind w:firstLine="480"/>
        <w:rPr>
          <w:sz w:val="23"/>
          <w:szCs w:val="23"/>
        </w:rPr>
      </w:pPr>
      <w:r>
        <w:rPr>
          <w:szCs w:val="24"/>
        </w:rPr>
        <w:t>项目在天然气泄漏事故发生时（如管道穿孔、管道断裂），井站内部截断阀自动关闭，管道内天然气通过点火火炬放空。项目风险可控，对环境空气影响较小</w:t>
      </w:r>
      <w:r>
        <w:rPr>
          <w:sz w:val="23"/>
          <w:szCs w:val="23"/>
        </w:rPr>
        <w:t>。</w:t>
      </w:r>
    </w:p>
    <w:p>
      <w:pPr>
        <w:pStyle w:val="4"/>
        <w:rPr>
          <w:rFonts w:eastAsia="宋体"/>
        </w:rPr>
      </w:pPr>
      <w:r>
        <w:rPr>
          <w:rFonts w:eastAsia="宋体"/>
        </w:rPr>
        <w:t>7.8.</w:t>
      </w:r>
      <w:r>
        <w:rPr>
          <w:rFonts w:hint="eastAsia" w:eastAsia="宋体"/>
        </w:rPr>
        <w:t>3柴油</w:t>
      </w:r>
      <w:r>
        <w:rPr>
          <w:rFonts w:eastAsia="宋体"/>
        </w:rPr>
        <w:t>泄漏后果分析</w:t>
      </w:r>
    </w:p>
    <w:p>
      <w:pPr>
        <w:pStyle w:val="112"/>
        <w:ind w:firstLine="480"/>
      </w:pPr>
      <w:r>
        <w:t>本项目</w:t>
      </w:r>
      <w:r>
        <w:rPr>
          <w:rFonts w:hint="eastAsia"/>
        </w:rPr>
        <w:t>柴油主要储存于柴油储罐</w:t>
      </w:r>
      <w:r>
        <w:t>，主要考虑</w:t>
      </w:r>
      <w:r>
        <w:rPr>
          <w:rFonts w:hint="eastAsia"/>
        </w:rPr>
        <w:t>罐体破损</w:t>
      </w:r>
      <w:r>
        <w:t>引起的</w:t>
      </w:r>
      <w:r>
        <w:rPr>
          <w:rFonts w:hint="eastAsia"/>
        </w:rPr>
        <w:t>柴油</w:t>
      </w:r>
      <w:r>
        <w:t>泄漏</w:t>
      </w:r>
      <w:r>
        <w:rPr>
          <w:rFonts w:hint="eastAsia"/>
        </w:rPr>
        <w:t>、</w:t>
      </w:r>
      <w:r>
        <w:t>火灾事故，进而进入大气</w:t>
      </w:r>
      <w:r>
        <w:rPr>
          <w:rFonts w:hint="eastAsia"/>
        </w:rPr>
        <w:t>、</w:t>
      </w:r>
      <w:r>
        <w:t>地下水、土壤环境，降低大气</w:t>
      </w:r>
      <w:r>
        <w:rPr>
          <w:rFonts w:hint="eastAsia"/>
        </w:rPr>
        <w:t>、</w:t>
      </w:r>
      <w:r>
        <w:t>地下水水质及土壤质量，影响植被生长。</w:t>
      </w:r>
    </w:p>
    <w:p>
      <w:pPr>
        <w:pStyle w:val="112"/>
        <w:ind w:firstLine="480"/>
      </w:pPr>
      <w:r>
        <w:t>本项目</w:t>
      </w:r>
      <w:r>
        <w:rPr>
          <w:rFonts w:hint="eastAsia"/>
        </w:rPr>
        <w:t>柴油</w:t>
      </w:r>
      <w:r>
        <w:t>采用符合标准的</w:t>
      </w:r>
      <w:r>
        <w:rPr>
          <w:rFonts w:hint="eastAsia"/>
        </w:rPr>
        <w:t>储罐</w:t>
      </w:r>
      <w:r>
        <w:t>进行密闭储存，</w:t>
      </w:r>
      <w:r>
        <w:rPr>
          <w:rFonts w:hint="eastAsia"/>
        </w:rPr>
        <w:t>柴油储罐四周设置围堰，并</w:t>
      </w:r>
      <w:r>
        <w:t>进行防渗处理。一般情况管道阀门泄漏，少量跑冒漏滴均收集在围堰内，可有效进行防止污染。罐体破裂导致大量泄漏的机率很小，即便储罐发生泄漏，也能够通过围堰收集，避免泄漏进入周边环境中。因此，</w:t>
      </w:r>
      <w:r>
        <w:rPr>
          <w:rFonts w:hint="eastAsia"/>
        </w:rPr>
        <w:t>柴油</w:t>
      </w:r>
      <w:r>
        <w:t>发生泄漏进入周边环境的概率极低，影响较小。</w:t>
      </w:r>
    </w:p>
    <w:p>
      <w:pPr>
        <w:pStyle w:val="4"/>
        <w:rPr>
          <w:rFonts w:eastAsia="宋体"/>
        </w:rPr>
      </w:pPr>
      <w:r>
        <w:rPr>
          <w:rFonts w:eastAsia="宋体"/>
        </w:rPr>
        <w:t>7.8.</w:t>
      </w:r>
      <w:r>
        <w:rPr>
          <w:rFonts w:hint="eastAsia" w:eastAsia="宋体"/>
        </w:rPr>
        <w:t>4凝析油</w:t>
      </w:r>
      <w:r>
        <w:rPr>
          <w:rFonts w:eastAsia="宋体"/>
        </w:rPr>
        <w:t>泄漏后果分析</w:t>
      </w:r>
    </w:p>
    <w:p>
      <w:pPr>
        <w:pStyle w:val="112"/>
        <w:ind w:firstLine="480"/>
        <w:rPr>
          <w:sz w:val="23"/>
          <w:szCs w:val="23"/>
        </w:rPr>
      </w:pPr>
      <w:r>
        <w:t>本项目</w:t>
      </w:r>
      <w:r>
        <w:rPr>
          <w:rFonts w:hint="eastAsia"/>
        </w:rPr>
        <w:t>凝析油</w:t>
      </w:r>
      <w:r>
        <w:t>储</w:t>
      </w:r>
      <w:r>
        <w:rPr>
          <w:rFonts w:hint="eastAsia"/>
        </w:rPr>
        <w:t>存</w:t>
      </w:r>
      <w:r>
        <w:t>罐采用符合标准的</w:t>
      </w:r>
      <w:r>
        <w:rPr>
          <w:rFonts w:hint="eastAsia"/>
        </w:rPr>
        <w:t>储罐</w:t>
      </w:r>
      <w:r>
        <w:t>进行密闭储存，</w:t>
      </w:r>
      <w:r>
        <w:rPr>
          <w:rFonts w:hint="eastAsia"/>
        </w:rPr>
        <w:t>凝析油</w:t>
      </w:r>
      <w:r>
        <w:t>储</w:t>
      </w:r>
      <w:r>
        <w:rPr>
          <w:rFonts w:hint="eastAsia"/>
        </w:rPr>
        <w:t>存</w:t>
      </w:r>
      <w:r>
        <w:t>罐</w:t>
      </w:r>
      <w:r>
        <w:rPr>
          <w:rFonts w:hint="eastAsia"/>
        </w:rPr>
        <w:t>四周设置围堰，并</w:t>
      </w:r>
      <w:r>
        <w:t>进行防渗处理。一般情况管道阀门泄漏，少量跑冒漏滴均收集在围堰内，可有效进行防止污染。罐体破裂导致大量泄漏的机率很小，即便储罐发生泄漏，也能够通过围堰收集，避免泄漏进入周边环境中。因此，</w:t>
      </w:r>
      <w:r>
        <w:rPr>
          <w:rFonts w:hint="eastAsia"/>
        </w:rPr>
        <w:t>凝析油</w:t>
      </w:r>
      <w:r>
        <w:t>发生泄漏进入周边环境的概率极低，影响较小。</w:t>
      </w:r>
    </w:p>
    <w:p>
      <w:pPr>
        <w:pStyle w:val="4"/>
        <w:rPr>
          <w:rFonts w:eastAsia="宋体"/>
        </w:rPr>
      </w:pPr>
      <w:r>
        <w:rPr>
          <w:rFonts w:eastAsia="宋体"/>
        </w:rPr>
        <w:t>7.8.</w:t>
      </w:r>
      <w:bookmarkStart w:id="558" w:name="OLE_LINK117"/>
      <w:bookmarkStart w:id="559" w:name="OLE_LINK118"/>
      <w:r>
        <w:rPr>
          <w:rFonts w:hint="eastAsia" w:eastAsia="宋体"/>
        </w:rPr>
        <w:t>5压裂、洗井废水</w:t>
      </w:r>
      <w:bookmarkEnd w:id="558"/>
      <w:bookmarkEnd w:id="559"/>
      <w:r>
        <w:rPr>
          <w:rFonts w:eastAsia="宋体"/>
        </w:rPr>
        <w:t>泄漏后果分析</w:t>
      </w:r>
    </w:p>
    <w:p>
      <w:pPr>
        <w:pStyle w:val="112"/>
        <w:ind w:firstLine="480"/>
      </w:pPr>
      <w:r>
        <w:t>本项目</w:t>
      </w:r>
      <w:r>
        <w:rPr>
          <w:rFonts w:hint="eastAsia"/>
        </w:rPr>
        <w:t>压裂、洗井废水主要储存于污水池</w:t>
      </w:r>
      <w:r>
        <w:t>，主要</w:t>
      </w:r>
      <w:r>
        <w:rPr>
          <w:rFonts w:hint="eastAsia"/>
        </w:rPr>
        <w:t>污水池</w:t>
      </w:r>
      <w:r>
        <w:t>池</w:t>
      </w:r>
      <w:r>
        <w:rPr>
          <w:rFonts w:hint="eastAsia"/>
        </w:rPr>
        <w:t>体破损</w:t>
      </w:r>
      <w:r>
        <w:t>引起的污水泄漏事故，进而进入地下水、土壤环境，降低地下水水质及土壤质量，影响植被生长。</w:t>
      </w:r>
    </w:p>
    <w:p>
      <w:pPr>
        <w:pStyle w:val="112"/>
        <w:ind w:firstLine="480"/>
      </w:pPr>
      <w:r>
        <w:t>本项目</w:t>
      </w:r>
      <w:r>
        <w:rPr>
          <w:rFonts w:hint="eastAsia"/>
        </w:rPr>
        <w:t>污水池池底和池壁</w:t>
      </w:r>
      <w:r>
        <w:t>采取防渗处理。一般情况池体破裂导致大量泄漏的机率很小。因此，</w:t>
      </w:r>
      <w:r>
        <w:rPr>
          <w:rFonts w:hint="eastAsia"/>
        </w:rPr>
        <w:t>压裂、洗井废水</w:t>
      </w:r>
      <w:r>
        <w:t>发生泄漏进入周边环境的概率极低，影响较小。</w:t>
      </w:r>
    </w:p>
    <w:p>
      <w:pPr>
        <w:pStyle w:val="4"/>
        <w:rPr>
          <w:rFonts w:eastAsia="宋体"/>
        </w:rPr>
      </w:pPr>
      <w:r>
        <w:rPr>
          <w:rFonts w:eastAsia="宋体"/>
        </w:rPr>
        <w:t>7.8.</w:t>
      </w:r>
      <w:r>
        <w:rPr>
          <w:rFonts w:hint="eastAsia" w:eastAsia="宋体"/>
        </w:rPr>
        <w:t>6气田水</w:t>
      </w:r>
      <w:r>
        <w:rPr>
          <w:rFonts w:eastAsia="宋体"/>
        </w:rPr>
        <w:t>泄漏后果分析</w:t>
      </w:r>
    </w:p>
    <w:p>
      <w:pPr>
        <w:pStyle w:val="112"/>
        <w:ind w:firstLine="480"/>
      </w:pPr>
      <w:r>
        <w:t>本项目</w:t>
      </w:r>
      <w:r>
        <w:rPr>
          <w:rFonts w:hint="eastAsia"/>
        </w:rPr>
        <w:t>气田水主要储存于污水缓冲罐</w:t>
      </w:r>
      <w:r>
        <w:t>，主要考虑</w:t>
      </w:r>
      <w:r>
        <w:rPr>
          <w:rFonts w:hint="eastAsia"/>
        </w:rPr>
        <w:t>罐体破损</w:t>
      </w:r>
      <w:r>
        <w:t>引起的污水泄漏事故，进而进入地下水、土壤环境，降低地下水水质及土壤质量，影响植被生长。</w:t>
      </w:r>
    </w:p>
    <w:p>
      <w:pPr>
        <w:pStyle w:val="112"/>
        <w:ind w:firstLine="480"/>
      </w:pPr>
      <w:r>
        <w:t>本项目</w:t>
      </w:r>
      <w:r>
        <w:rPr>
          <w:rFonts w:hint="eastAsia"/>
        </w:rPr>
        <w:t>气田水</w:t>
      </w:r>
      <w:r>
        <w:t>储罐采用符合标准的</w:t>
      </w:r>
      <w:r>
        <w:rPr>
          <w:rFonts w:hint="eastAsia"/>
        </w:rPr>
        <w:t>污水缓冲罐</w:t>
      </w:r>
      <w:r>
        <w:t>进行密闭储存，</w:t>
      </w:r>
      <w:r>
        <w:rPr>
          <w:rFonts w:hint="eastAsia"/>
        </w:rPr>
        <w:t>污水缓冲罐四周设置围堰，并</w:t>
      </w:r>
      <w:r>
        <w:t>进行防渗处理。一般情况管道阀门泄漏，少量跑冒漏滴均收集在围堰内，可有效进行防止污染。罐体破裂导致大量泄漏的机率很小，即便储罐发生泄漏，也能够通过围堰收集，避免泄漏进入周边环境中。因此</w:t>
      </w:r>
      <w:r>
        <w:rPr>
          <w:rFonts w:hint="eastAsia"/>
        </w:rPr>
        <w:t>，气田水</w:t>
      </w:r>
      <w:r>
        <w:t>发生泄漏进入周边环境的概率极低，影响较小。</w:t>
      </w:r>
    </w:p>
    <w:p>
      <w:pPr>
        <w:pStyle w:val="4"/>
        <w:rPr>
          <w:rFonts w:eastAsia="宋体"/>
        </w:rPr>
      </w:pPr>
      <w:r>
        <w:rPr>
          <w:rFonts w:eastAsia="宋体"/>
        </w:rPr>
        <w:t>7.8.</w:t>
      </w:r>
      <w:r>
        <w:rPr>
          <w:rFonts w:hint="eastAsia" w:eastAsia="宋体"/>
        </w:rPr>
        <w:t>7</w:t>
      </w:r>
      <w:r>
        <w:rPr>
          <w:rFonts w:eastAsia="宋体"/>
        </w:rPr>
        <w:t xml:space="preserve"> </w:t>
      </w:r>
      <w:r>
        <w:rPr>
          <w:rFonts w:eastAsia="宋体"/>
          <w:bCs/>
        </w:rPr>
        <w:t>环境风险事故对生态环境影响分析</w:t>
      </w:r>
    </w:p>
    <w:p>
      <w:pPr>
        <w:pStyle w:val="6"/>
        <w:ind w:firstLine="480"/>
        <w:rPr>
          <w:rFonts w:ascii="Times New Roman" w:cs="Times New Roman"/>
        </w:rPr>
      </w:pPr>
      <w:r>
        <w:rPr>
          <w:rFonts w:ascii="Times New Roman" w:cs="Times New Roman"/>
        </w:rPr>
        <w:t>如果在处理泄漏事故时，由于误操作引发火灾、爆炸，发生火灾的地方为林场、森林一类的植被茂密地区，在一定的气象条件下还可能引发森林大火，这会给当地的生态环境造成极大的破坏。在管道经过林区段，分别依据《中华人民共和国森林法》、《森林防火条例》及省、市森林防火条例，采取营造生物防火带、加强瞭望、巡视等措施，严格规范管道维修、维护操作规程等措施，防止事故或处理事故时引起森林火灾。由于环境风险具有突发性和破坏性（有时甚至为灾难性）的特点，所以必须采取措施加以防范，加强控制和管理是杜绝、减轻和避免环境风险的有效办法。沿线要加大力度进行《中华人民共和国石油天然气管道保护法》的宣传，强化“保护管道安全就是保护沿线群众自身安全”的教育，并密切与地方有关部门共同协调保护管道，以法律来约束管道保护中的违规行为，做到有法可依，有法必依，严惩罪犯，确保管道长期安全稳定运行。管道建设管理方还应与沿线各级地方政府、各基础设施所属管辖单位协调配合，进行事故应急演练，通过宣传、教育、演练等手段加强沿线居民、相关企事业单位、相关人员的事故防范意识和能力，正确采取各种应急措施的能力，以将事故损失降低到最小。事故状态下，主要影响是天然气泄漏，伴生或次生火灾爆炸事故。由于天然气属于易燃易爆危险物品，其管线的泄漏环境为开放环境，不易形成爆炸性蒸气云，多数形成火灾，会对保护区内的人员和周围环境产生破坏性的影响。主要影响表现在：</w:t>
      </w:r>
    </w:p>
    <w:p>
      <w:pPr>
        <w:pStyle w:val="6"/>
        <w:ind w:firstLine="480"/>
        <w:rPr>
          <w:rFonts w:ascii="Times New Roman" w:cs="Times New Roman"/>
        </w:rPr>
      </w:pPr>
      <w:r>
        <w:rPr>
          <w:rFonts w:ascii="Times New Roman" w:cs="Times New Roman"/>
        </w:rPr>
        <w:t>（1）直接伤害保护区内的生物资源，包括动物、植物、微生物等。</w:t>
      </w:r>
    </w:p>
    <w:p>
      <w:pPr>
        <w:pStyle w:val="6"/>
        <w:ind w:firstLine="480"/>
        <w:rPr>
          <w:rFonts w:ascii="Times New Roman" w:cs="Times New Roman"/>
        </w:rPr>
      </w:pPr>
      <w:r>
        <w:rPr>
          <w:rFonts w:ascii="Times New Roman" w:cs="Times New Roman"/>
        </w:rPr>
        <w:t>（2）改变土壤的温度、结构、理化性质、肥力、土壤微生物含量等。</w:t>
      </w:r>
    </w:p>
    <w:p>
      <w:pPr>
        <w:pStyle w:val="6"/>
        <w:ind w:firstLine="480"/>
        <w:rPr>
          <w:rFonts w:ascii="Times New Roman" w:cs="Times New Roman"/>
        </w:rPr>
      </w:pPr>
      <w:r>
        <w:rPr>
          <w:rFonts w:ascii="Times New Roman" w:cs="Times New Roman"/>
        </w:rPr>
        <w:t>（3）改变野生动物的栖息环境、食源、种间竞争关系、野生动物之间的捕食与被捕食关系等。</w:t>
      </w:r>
    </w:p>
    <w:p>
      <w:pPr>
        <w:pStyle w:val="6"/>
        <w:ind w:firstLine="480"/>
        <w:rPr>
          <w:rFonts w:ascii="Times New Roman" w:cs="Times New Roman"/>
        </w:rPr>
      </w:pPr>
      <w:r>
        <w:rPr>
          <w:rFonts w:ascii="Times New Roman" w:cs="Times New Roman"/>
        </w:rPr>
        <w:t>（4）对植物的影响表现为直接伤害、促进、引起植物种群和群落的变化。根据国际国内的类比调查，同类天然气输送管路工程运行阶段发生泄漏引起爆炸、火灾的几率非常低。尽管如此，在该工程的运行阶段，对其发生的风险应给于足够的重视，采取必要的防范、防护措施，主要从施工阶段和运行阶段采取防护措施。事故产生的影响一般在半径200m范围内，影响时间相对较短，从管线沿线植被分布图来看，该区域基本为栽培植被和草地植被，另有小面积的灌木林地，有林地相对较少，因此对植被造成的破坏损失量较小。</w:t>
      </w:r>
    </w:p>
    <w:p>
      <w:pPr>
        <w:pStyle w:val="6"/>
        <w:ind w:firstLine="480"/>
        <w:rPr>
          <w:rFonts w:ascii="Times New Roman" w:cs="Times New Roman"/>
        </w:rPr>
      </w:pPr>
      <w:r>
        <w:rPr>
          <w:rFonts w:ascii="Times New Roman" w:cs="Times New Roman"/>
        </w:rPr>
        <w:t>因此，在管道经过林区段，应依据《中华人民共和国森林法》、《森林防火条例》等采取营造制定森林防火预案、增加巡线频次，发现隐患及时处理，防患于未然，防止林区火灾发生，杜绝破坏林区生态系统的事故发生。</w:t>
      </w:r>
    </w:p>
    <w:bookmarkEnd w:id="502"/>
    <w:p>
      <w:pPr>
        <w:pStyle w:val="3"/>
        <w:spacing w:before="120"/>
        <w:rPr>
          <w:rFonts w:cs="Times New Roman"/>
        </w:rPr>
      </w:pPr>
      <w:bookmarkStart w:id="560" w:name="bookmark64"/>
      <w:bookmarkEnd w:id="560"/>
      <w:bookmarkStart w:id="561" w:name="_Toc19816113"/>
      <w:bookmarkStart w:id="562" w:name="_Toc81515301"/>
      <w:bookmarkStart w:id="563" w:name="_Hlk56973869"/>
      <w:r>
        <w:rPr>
          <w:rFonts w:cs="Times New Roman"/>
        </w:rPr>
        <w:t>7.9 环境风险管理</w:t>
      </w:r>
      <w:bookmarkEnd w:id="561"/>
      <w:bookmarkEnd w:id="562"/>
    </w:p>
    <w:p>
      <w:pPr>
        <w:pStyle w:val="4"/>
        <w:rPr>
          <w:rFonts w:eastAsia="宋体"/>
        </w:rPr>
      </w:pPr>
      <w:bookmarkStart w:id="564" w:name="_Toc19816114"/>
      <w:r>
        <w:rPr>
          <w:rFonts w:eastAsia="宋体"/>
        </w:rPr>
        <w:t xml:space="preserve">7.9.1 </w:t>
      </w:r>
      <w:bookmarkEnd w:id="564"/>
      <w:r>
        <w:rPr>
          <w:rFonts w:eastAsia="宋体"/>
          <w:bCs/>
        </w:rPr>
        <w:t>管道</w:t>
      </w:r>
      <w:r>
        <w:rPr>
          <w:rFonts w:hint="eastAsia" w:eastAsia="宋体"/>
          <w:bCs/>
        </w:rPr>
        <w:t>设计及施工</w:t>
      </w:r>
      <w:r>
        <w:rPr>
          <w:rFonts w:eastAsia="宋体"/>
          <w:bCs/>
        </w:rPr>
        <w:t>风险防范措施</w:t>
      </w:r>
    </w:p>
    <w:p>
      <w:pPr>
        <w:pStyle w:val="112"/>
        <w:ind w:firstLine="482"/>
        <w:rPr>
          <w:b/>
          <w:bCs/>
        </w:rPr>
      </w:pPr>
      <w:r>
        <w:rPr>
          <w:b/>
          <w:bCs/>
        </w:rPr>
        <w:t>1、管道风险防范措施</w:t>
      </w:r>
    </w:p>
    <w:p>
      <w:pPr>
        <w:pStyle w:val="112"/>
        <w:ind w:firstLine="480"/>
      </w:pPr>
      <w:r>
        <w:rPr>
          <w:rFonts w:hint="eastAsia" w:ascii="宋体" w:hAnsi="宋体" w:cs="宋体"/>
        </w:rPr>
        <w:t>①</w:t>
      </w:r>
      <w:r>
        <w:t>选择线路走向时，尽可能避开居民区以及复杂地质段，以减少由于不良地质造成管道泄漏事故，以及天然气泄漏引起的火灾、爆炸事故对居民危害经济损失；</w:t>
      </w:r>
    </w:p>
    <w:p>
      <w:pPr>
        <w:pStyle w:val="112"/>
        <w:ind w:firstLine="480"/>
      </w:pPr>
      <w:r>
        <w:rPr>
          <w:rFonts w:hint="eastAsia" w:ascii="宋体" w:hAnsi="宋体" w:cs="宋体"/>
        </w:rPr>
        <w:t>②</w:t>
      </w:r>
      <w:r>
        <w:t>管道沿线人口密集、房屋距管线较近等敏感地区，提高设计系数，增加管线壁厚，以及其它保护管道的措施，以增强管道抵抗外部可能造成破坏的能力；</w:t>
      </w:r>
    </w:p>
    <w:p>
      <w:pPr>
        <w:pStyle w:val="112"/>
        <w:ind w:firstLine="480"/>
      </w:pPr>
      <w:r>
        <w:rPr>
          <w:rFonts w:hint="eastAsia" w:ascii="宋体" w:hAnsi="宋体" w:cs="宋体"/>
        </w:rPr>
        <w:t>③</w:t>
      </w:r>
      <w:r>
        <w:t>据《输气管道工程设计规范》（GB50251-2003）的要求，输气管道通过的地区，应按沿线居民户数和建筑物的密集程度，划分地区等级，并依据地区等级作出相应的管道设计。</w:t>
      </w:r>
    </w:p>
    <w:p>
      <w:pPr>
        <w:pStyle w:val="112"/>
        <w:ind w:firstLine="482"/>
        <w:rPr>
          <w:b/>
          <w:bCs/>
        </w:rPr>
      </w:pPr>
      <w:r>
        <w:rPr>
          <w:b/>
          <w:bCs/>
        </w:rPr>
        <w:t>2、线路用管选择</w:t>
      </w:r>
    </w:p>
    <w:p>
      <w:pPr>
        <w:pStyle w:val="112"/>
        <w:ind w:firstLine="480"/>
      </w:pPr>
      <w:r>
        <w:rPr>
          <w:rFonts w:hint="eastAsia" w:ascii="宋体" w:hAnsi="宋体" w:cs="宋体"/>
        </w:rPr>
        <w:t>①</w:t>
      </w:r>
      <w:r>
        <w:t>选择符合国家标准《石油天然气工业输送钢管交货技术条件》（GB/T9711.1-1997）的钢管。</w:t>
      </w:r>
    </w:p>
    <w:p>
      <w:pPr>
        <w:pStyle w:val="112"/>
        <w:ind w:firstLine="480"/>
      </w:pPr>
      <w:r>
        <w:rPr>
          <w:rFonts w:hint="eastAsia" w:ascii="宋体" w:hAnsi="宋体" w:cs="宋体"/>
        </w:rPr>
        <w:t>②</w:t>
      </w:r>
      <w:r>
        <w:rPr>
          <w:rFonts w:hint="eastAsia"/>
        </w:rPr>
        <w:t>压裂、洗井废水、气田水</w:t>
      </w:r>
      <w:r>
        <w:rPr>
          <w:szCs w:val="26"/>
        </w:rPr>
        <w:t>管线采用增强型塑料复合管，是一种由高分子复合材料制成的具有一定高强度、高压力、耐腐蚀、耐结垢、摩阻系数小、保温性好、柔性好、寿命长的石油天然气工业用管件，该类管道在污水输送管中被大规模的使用，技术成熟可靠。</w:t>
      </w:r>
    </w:p>
    <w:p>
      <w:pPr>
        <w:pStyle w:val="112"/>
        <w:ind w:firstLine="482"/>
        <w:rPr>
          <w:b/>
          <w:bCs/>
        </w:rPr>
      </w:pPr>
      <w:r>
        <w:rPr>
          <w:b/>
          <w:bCs/>
        </w:rPr>
        <w:t>3、防腐蚀措施</w:t>
      </w:r>
    </w:p>
    <w:p>
      <w:pPr>
        <w:pStyle w:val="112"/>
        <w:ind w:firstLine="480"/>
      </w:pPr>
      <w:r>
        <w:rPr>
          <w:rFonts w:hint="eastAsia" w:ascii="宋体" w:hAnsi="宋体" w:cs="宋体"/>
        </w:rPr>
        <w:t>①</w:t>
      </w:r>
      <w:r>
        <w:t>外防腐</w:t>
      </w:r>
    </w:p>
    <w:p>
      <w:pPr>
        <w:pStyle w:val="112"/>
        <w:ind w:firstLine="480"/>
      </w:pPr>
      <w:r>
        <w:t>埋地酸气管线防腐保温采用“管中管”成型工艺，保温层采用硬质</w:t>
      </w:r>
      <w:r>
        <w:rPr>
          <w:rFonts w:hint="eastAsia"/>
          <w:lang w:eastAsia="zh-CN"/>
        </w:rPr>
        <w:t>聚氨酯</w:t>
      </w:r>
      <w:r>
        <w:t>泡沫聚乙烯防腐保温层（保温层厚40mm），防腐层采用环氧粉末；防护层采用聚乙烯层，酸气管道补口采用现场发泡，补口防腐采用无溶剂液体环氧涂料+粘弹体胶带+聚乙烯袖套管+粘弹体胶带+辐射交联聚乙烯热收缩带。</w:t>
      </w:r>
    </w:p>
    <w:p>
      <w:pPr>
        <w:pStyle w:val="112"/>
        <w:ind w:firstLine="480"/>
      </w:pPr>
      <w:r>
        <w:t>燃料气管线采用机械强度高，耐磨耐冲击，耐化学介质腐蚀，抗植物根茎穿透，吸水性低，使用寿命长，电绝缘性好，使用寿命长的加强级三层PE防腐层，管道补口采用辐射交联聚乙烯热收缩套。</w:t>
      </w:r>
    </w:p>
    <w:p>
      <w:pPr>
        <w:pStyle w:val="112"/>
        <w:ind w:firstLine="480"/>
      </w:pPr>
      <w:r>
        <w:rPr>
          <w:rFonts w:hint="eastAsia" w:ascii="宋体" w:hAnsi="宋体" w:cs="宋体"/>
        </w:rPr>
        <w:t>②</w:t>
      </w:r>
      <w:r>
        <w:t>阴极保护</w:t>
      </w:r>
    </w:p>
    <w:p>
      <w:pPr>
        <w:pStyle w:val="112"/>
        <w:ind w:firstLine="480"/>
      </w:pPr>
      <w:r>
        <w:t>为保证防腐工作的可靠性，采用外防腐层和强制电流阴极保护联合方式。对管线采用以强制电流为主，牲牺阳极为辅的阴极保护方法。</w:t>
      </w:r>
    </w:p>
    <w:p>
      <w:pPr>
        <w:pStyle w:val="112"/>
        <w:ind w:firstLine="480"/>
      </w:pPr>
      <w:r>
        <w:t>在杂散电流流出点安装成组的锌阳极，以达到排流的目的，减轻干扰。</w:t>
      </w:r>
    </w:p>
    <w:p>
      <w:pPr>
        <w:pStyle w:val="112"/>
        <w:ind w:firstLine="480"/>
      </w:pPr>
      <w:r>
        <w:rPr>
          <w:rFonts w:hint="eastAsia" w:ascii="宋体" w:hAnsi="宋体" w:cs="宋体"/>
        </w:rPr>
        <w:t>③</w:t>
      </w:r>
      <w:r>
        <w:rPr>
          <w:szCs w:val="26"/>
        </w:rPr>
        <w:t>外部干预消除</w:t>
      </w:r>
    </w:p>
    <w:p>
      <w:pPr>
        <w:pStyle w:val="112"/>
        <w:ind w:firstLine="480"/>
        <w:rPr>
          <w:szCs w:val="26"/>
        </w:rPr>
      </w:pPr>
      <w:r>
        <w:rPr>
          <w:szCs w:val="26"/>
        </w:rPr>
        <w:t>近年来，随着国家经济发展，外部干扰（第三方破坏）导致天然气管道环境风险事故的情况持续上升。针对这一情况，建设单位制定了一系列的宣传、保护措施。管道敷设完毕后，建设单位在管道沿线设置明显的标志桩，组织站场、管道沿线居民学习《中华人民共和国石油天然气管道保护法》，强化“保护管道安全就是保护沿线群众自身安全”的教育，并密切与地方有关部门共同协调保护管道，以法律来约束管道保护中的违规行为，确保管道安全运行。</w:t>
      </w:r>
    </w:p>
    <w:p>
      <w:pPr>
        <w:pStyle w:val="112"/>
        <w:ind w:firstLine="482"/>
        <w:rPr>
          <w:b/>
          <w:bCs/>
        </w:rPr>
      </w:pPr>
      <w:r>
        <w:rPr>
          <w:b/>
          <w:bCs/>
        </w:rPr>
        <w:t>4、管道抗震防范措施</w:t>
      </w:r>
    </w:p>
    <w:p>
      <w:pPr>
        <w:pStyle w:val="112"/>
        <w:ind w:firstLine="480"/>
      </w:pPr>
      <w:r>
        <w:rPr>
          <w:rFonts w:hint="eastAsia" w:ascii="宋体" w:hAnsi="宋体" w:cs="宋体"/>
        </w:rPr>
        <w:t>①</w:t>
      </w:r>
      <w:r>
        <w:t>管线与活动断裂平行时，管线设在其外200m；与管线交叉时，选择合适的交角，或采取管线水平弯曲补偿形式敷设。</w:t>
      </w:r>
    </w:p>
    <w:p>
      <w:pPr>
        <w:pStyle w:val="112"/>
        <w:ind w:firstLine="480"/>
      </w:pPr>
      <w:r>
        <w:rPr>
          <w:rFonts w:hint="eastAsia" w:ascii="宋体" w:hAnsi="宋体" w:cs="宋体"/>
        </w:rPr>
        <w:t>②</w:t>
      </w:r>
      <w:r>
        <w:t>增加交叉段管壁厚度。</w:t>
      </w:r>
    </w:p>
    <w:p>
      <w:pPr>
        <w:pStyle w:val="112"/>
        <w:ind w:firstLine="480"/>
      </w:pPr>
      <w:r>
        <w:rPr>
          <w:rFonts w:hint="eastAsia" w:ascii="宋体" w:hAnsi="宋体" w:cs="宋体"/>
        </w:rPr>
        <w:t>③</w:t>
      </w:r>
      <w:r>
        <w:t>尽量采取弹性敷设来处理管道转角。</w:t>
      </w:r>
    </w:p>
    <w:p>
      <w:pPr>
        <w:pStyle w:val="112"/>
        <w:ind w:firstLine="480"/>
      </w:pPr>
      <w:r>
        <w:rPr>
          <w:rFonts w:hint="eastAsia" w:ascii="宋体" w:hAnsi="宋体" w:cs="宋体"/>
        </w:rPr>
        <w:t>④</w:t>
      </w:r>
      <w:r>
        <w:t>加宽管沟，回填松散土。</w:t>
      </w:r>
    </w:p>
    <w:p>
      <w:pPr>
        <w:pStyle w:val="112"/>
        <w:ind w:firstLine="480"/>
      </w:pPr>
      <w:r>
        <w:rPr>
          <w:rFonts w:hint="eastAsia" w:ascii="宋体" w:hAnsi="宋体" w:cs="宋体"/>
        </w:rPr>
        <w:t>⑤</w:t>
      </w:r>
      <w:r>
        <w:t>对可能发生崩塌和沙土液化地区，采取排水，支挡、削坡等。</w:t>
      </w:r>
    </w:p>
    <w:p>
      <w:pPr>
        <w:pStyle w:val="112"/>
        <w:ind w:firstLine="480"/>
      </w:pPr>
      <w:r>
        <w:rPr>
          <w:rFonts w:hint="eastAsia" w:ascii="宋体" w:hAnsi="宋体" w:cs="宋体"/>
        </w:rPr>
        <w:t>⑥</w:t>
      </w:r>
      <w:r>
        <w:t>采用外壁摩阻较小的外防腐涂层。</w:t>
      </w:r>
    </w:p>
    <w:p>
      <w:pPr>
        <w:pStyle w:val="6"/>
        <w:ind w:firstLine="482"/>
        <w:rPr>
          <w:rFonts w:ascii="Times New Roman" w:cs="Times New Roman"/>
          <w:b/>
        </w:rPr>
      </w:pPr>
      <w:r>
        <w:rPr>
          <w:rFonts w:hint="eastAsia" w:ascii="Times New Roman" w:cs="Times New Roman"/>
          <w:b/>
        </w:rPr>
        <w:t>5</w:t>
      </w:r>
      <w:r>
        <w:rPr>
          <w:rFonts w:ascii="Times New Roman" w:cs="Times New Roman"/>
          <w:b/>
        </w:rPr>
        <w:t>、天然气</w:t>
      </w:r>
      <w:r>
        <w:rPr>
          <w:rFonts w:hint="eastAsia" w:ascii="Times New Roman" w:cs="Times New Roman"/>
          <w:b/>
        </w:rPr>
        <w:t>管道</w:t>
      </w:r>
      <w:r>
        <w:rPr>
          <w:rFonts w:ascii="Times New Roman" w:cs="Times New Roman"/>
          <w:b/>
        </w:rPr>
        <w:t>施工过程风险防范措施</w:t>
      </w:r>
    </w:p>
    <w:p>
      <w:pPr>
        <w:pStyle w:val="6"/>
        <w:ind w:firstLine="480"/>
        <w:rPr>
          <w:rFonts w:ascii="Times New Roman" w:cs="Times New Roman"/>
        </w:rPr>
      </w:pPr>
      <w:r>
        <w:rPr>
          <w:rFonts w:hint="eastAsia" w:hAnsi="宋体"/>
        </w:rPr>
        <w:t>①</w:t>
      </w:r>
      <w:r>
        <w:rPr>
          <w:rFonts w:ascii="Times New Roman" w:cs="Times New Roman"/>
        </w:rPr>
        <w:t>对于林区内的管道施工，管沟成型组焊前，应清除管沟附近的树枝、树叶，组焊建议采用沟下焊方式；焊接过程中，应对焊接区一定范围设置临时的隔阻材料（如钢板），防止电弧和火花进入林区；严禁在树林边或树林内吸烟、引弧；对于材料中的易燃物质，应设置于空旷的场地且远离焊接区；施工中应配备一定数量的移动灭火器。</w:t>
      </w:r>
    </w:p>
    <w:p>
      <w:pPr>
        <w:pStyle w:val="6"/>
        <w:ind w:firstLine="480"/>
        <w:rPr>
          <w:rFonts w:ascii="Times New Roman" w:cs="Times New Roman"/>
        </w:rPr>
      </w:pPr>
      <w:r>
        <w:rPr>
          <w:rFonts w:hint="eastAsia" w:hAnsi="宋体"/>
        </w:rPr>
        <w:t>②</w:t>
      </w:r>
      <w:r>
        <w:rPr>
          <w:rFonts w:ascii="Times New Roman" w:cs="Times New Roman"/>
        </w:rPr>
        <w:t>试压过程中用氮气吹扫管线时，吹扫口应选择在空旷开阔的地区，其前方100m，左右50m以内不得有人、畜和火源。吹扫口50m范围内应有专人警戒，有具体的防火、防爆措施。</w:t>
      </w:r>
    </w:p>
    <w:p>
      <w:pPr>
        <w:pStyle w:val="6"/>
        <w:ind w:firstLine="480"/>
        <w:rPr>
          <w:rFonts w:ascii="Times New Roman" w:cs="Times New Roman"/>
        </w:rPr>
      </w:pPr>
      <w:r>
        <w:rPr>
          <w:rFonts w:hint="eastAsia" w:hAnsi="宋体"/>
        </w:rPr>
        <w:t>③</w:t>
      </w:r>
      <w:r>
        <w:rPr>
          <w:rFonts w:ascii="Times New Roman" w:cs="Times New Roman"/>
        </w:rPr>
        <w:t>在施工过程中，加强监理，确保防腐、焊接、探伤等施工工艺的质量；制定严格的规章制度，发现缺陷及时正确修补并做好记录；进行水压试验，排除更多的存在于焊缝和母材的缺陷；选择有丰富经验的单位进行施工，并有优秀的第三方对其施工质量进行强有力的监督，减少施工误操作。</w:t>
      </w:r>
    </w:p>
    <w:p>
      <w:pPr>
        <w:pStyle w:val="6"/>
        <w:ind w:firstLine="480"/>
        <w:rPr>
          <w:rFonts w:ascii="Times New Roman" w:cs="Times New Roman"/>
        </w:rPr>
      </w:pPr>
      <w:r>
        <w:rPr>
          <w:rFonts w:hint="eastAsia" w:hAnsi="宋体"/>
        </w:rPr>
        <w:t>④</w:t>
      </w:r>
      <w:r>
        <w:rPr>
          <w:rFonts w:ascii="Times New Roman" w:cs="Times New Roman"/>
        </w:rPr>
        <w:t>需动火施工管道的降压、停产、扫线及管道沿线与动火点直接有关阀门的控制应由管理部门安排专人操作。</w:t>
      </w:r>
    </w:p>
    <w:p>
      <w:pPr>
        <w:pStyle w:val="6"/>
        <w:ind w:firstLine="480"/>
        <w:rPr>
          <w:rFonts w:ascii="Times New Roman" w:cs="Times New Roman"/>
        </w:rPr>
      </w:pPr>
      <w:r>
        <w:rPr>
          <w:rFonts w:hint="eastAsia" w:hAnsi="宋体"/>
        </w:rPr>
        <w:t>⑤</w:t>
      </w:r>
      <w:r>
        <w:rPr>
          <w:rFonts w:ascii="Times New Roman" w:cs="Times New Roman"/>
        </w:rPr>
        <w:t>动火中各种用电设备，严禁以管道充作导体。</w:t>
      </w:r>
    </w:p>
    <w:p>
      <w:pPr>
        <w:pStyle w:val="6"/>
        <w:ind w:firstLine="480"/>
        <w:rPr>
          <w:rFonts w:ascii="Times New Roman" w:cs="Times New Roman"/>
        </w:rPr>
      </w:pPr>
      <w:r>
        <w:rPr>
          <w:rFonts w:hint="eastAsia" w:hAnsi="宋体"/>
        </w:rPr>
        <w:t>⑥</w:t>
      </w:r>
      <w:r>
        <w:rPr>
          <w:rFonts w:ascii="Times New Roman" w:cs="Times New Roman"/>
        </w:rPr>
        <w:t>动火施工区域应设置警戒，防止与动火工作无关人员或设备等进入施工区域。</w:t>
      </w:r>
    </w:p>
    <w:p>
      <w:pPr>
        <w:pStyle w:val="6"/>
        <w:ind w:firstLine="480"/>
        <w:rPr>
          <w:rFonts w:ascii="Times New Roman" w:cs="Times New Roman"/>
        </w:rPr>
      </w:pPr>
      <w:r>
        <w:rPr>
          <w:rFonts w:hint="eastAsia" w:hAnsi="宋体"/>
        </w:rPr>
        <w:t>⑦</w:t>
      </w:r>
      <w:r>
        <w:rPr>
          <w:rFonts w:ascii="Times New Roman" w:cs="Times New Roman"/>
        </w:rPr>
        <w:t>动火施工现场根据施工的危险程度配备一定数量性能可靠的消防器材或消防车。</w:t>
      </w:r>
    </w:p>
    <w:p>
      <w:pPr>
        <w:pStyle w:val="6"/>
        <w:ind w:firstLine="480"/>
        <w:rPr>
          <w:rFonts w:ascii="Times New Roman" w:cs="Times New Roman"/>
        </w:rPr>
      </w:pPr>
      <w:r>
        <w:rPr>
          <w:rFonts w:hint="eastAsia" w:hAnsi="宋体"/>
        </w:rPr>
        <w:t>⑧</w:t>
      </w:r>
      <w:r>
        <w:rPr>
          <w:rFonts w:ascii="Times New Roman" w:cs="Times New Roman"/>
        </w:rPr>
        <w:t>动火施工后，施工人员和管理人员应进行全面检查，确认没有火种及其它隐患后，方可离开施工现场。</w:t>
      </w:r>
    </w:p>
    <w:p>
      <w:pPr>
        <w:pStyle w:val="6"/>
        <w:ind w:firstLine="480"/>
        <w:rPr>
          <w:rFonts w:ascii="Times New Roman" w:cs="Times New Roman"/>
        </w:rPr>
      </w:pPr>
      <w:r>
        <w:rPr>
          <w:rFonts w:hint="eastAsia" w:hAnsi="宋体"/>
        </w:rPr>
        <w:t>⑨</w:t>
      </w:r>
      <w:r>
        <w:rPr>
          <w:rFonts w:ascii="Times New Roman" w:cs="Times New Roman"/>
        </w:rPr>
        <w:t>严格按设计选定管材、设备和各项技术要求备料、制造、组装施工和检验。</w:t>
      </w:r>
    </w:p>
    <w:p>
      <w:pPr>
        <w:pStyle w:val="112"/>
        <w:ind w:firstLine="480"/>
      </w:pPr>
      <w:r>
        <w:rPr>
          <w:rFonts w:hint="eastAsia" w:ascii="宋体" w:hAnsi="宋体" w:cs="宋体"/>
        </w:rPr>
        <w:t>⑩</w:t>
      </w:r>
      <w:r>
        <w:t>电工必须经过按国家现行标准考核合格后，持证上岗工作；其他用电人员必须通过相关安全教育培训和技术交底，考核合格后方可上岗工作。</w:t>
      </w:r>
    </w:p>
    <w:p>
      <w:pPr>
        <w:pStyle w:val="112"/>
        <w:ind w:firstLine="480"/>
      </w:pPr>
      <w:r>
        <w:rPr>
          <w:rFonts w:ascii="Cambria Math" w:hAnsi="Cambria Math" w:cs="Cambria Math"/>
        </w:rPr>
        <w:t>⑪</w:t>
      </w:r>
      <w:r>
        <w:t>安装、巡检、维修或拆除临时用电设备和线路，必须由电工完成，并应有人监护。电工等级应同工程的难易程度和技术复杂性相适应。</w:t>
      </w:r>
    </w:p>
    <w:p>
      <w:pPr>
        <w:pStyle w:val="112"/>
        <w:ind w:firstLine="480"/>
      </w:pPr>
      <w:r>
        <w:rPr>
          <w:rFonts w:ascii="Cambria Math" w:hAnsi="Cambria Math" w:cs="Cambria Math"/>
        </w:rPr>
        <w:t>⑫</w:t>
      </w:r>
      <w:r>
        <w:t>各类用电人员应掌握安全用电基本知识和所用设备的性能</w:t>
      </w:r>
    </w:p>
    <w:p>
      <w:pPr>
        <w:pStyle w:val="112"/>
        <w:ind w:firstLine="480"/>
      </w:pPr>
      <w:r>
        <w:rPr>
          <w:rFonts w:ascii="Cambria Math" w:hAnsi="Cambria Math" w:cs="Cambria Math"/>
        </w:rPr>
        <w:t>⑬</w:t>
      </w:r>
      <w:r>
        <w:t>施工现场临时用电必须建立安全技术档案，安全技术档案应由主管该现场的电气技术人员负责建立与管理。</w:t>
      </w:r>
    </w:p>
    <w:p>
      <w:pPr>
        <w:pStyle w:val="112"/>
        <w:ind w:firstLine="480"/>
      </w:pPr>
      <w:r>
        <w:rPr>
          <w:rFonts w:ascii="Cambria Math" w:hAnsi="Cambria Math" w:cs="Cambria Math"/>
        </w:rPr>
        <w:t>⑭</w:t>
      </w:r>
      <w:r>
        <w:t>临时用电工程应定期检查。定期检查时，应复查接地电阻值和绝缘电阻值。临时用电工程定期检查应按分部、分项工程进行，对安全隐患必须及时处理，并应履行复查验收手续。</w:t>
      </w:r>
    </w:p>
    <w:p>
      <w:pPr>
        <w:pStyle w:val="112"/>
        <w:ind w:firstLine="480"/>
      </w:pPr>
      <w:r>
        <w:rPr>
          <w:rFonts w:ascii="Cambria Math" w:hAnsi="Cambria Math" w:cs="Cambria Math"/>
        </w:rPr>
        <w:t>⑮</w:t>
      </w:r>
      <w:r>
        <w:t>在防爆区域内的用电设备必须满足相关防爆等级及各区域防火等级的要求。</w:t>
      </w:r>
    </w:p>
    <w:p>
      <w:pPr>
        <w:pStyle w:val="112"/>
        <w:ind w:firstLine="480"/>
      </w:pPr>
      <w:r>
        <w:rPr>
          <w:rFonts w:ascii="Cambria Math" w:hAnsi="Cambria Math" w:cs="Cambria Math"/>
        </w:rPr>
        <w:t>⑯</w:t>
      </w:r>
      <w:r>
        <w:t>施工现场临时用电工程专用的电源中性点直接接地的220/380V三相四线制低压电力系统，必须符合下列规定：</w:t>
      </w:r>
    </w:p>
    <w:p>
      <w:pPr>
        <w:pStyle w:val="112"/>
        <w:ind w:firstLine="480"/>
      </w:pPr>
      <w:r>
        <w:t>a.采用三级配电系统；</w:t>
      </w:r>
    </w:p>
    <w:p>
      <w:pPr>
        <w:pStyle w:val="112"/>
        <w:ind w:firstLine="480"/>
      </w:pPr>
      <w:r>
        <w:t>b.采用TN-S接零保护系统；</w:t>
      </w:r>
    </w:p>
    <w:p>
      <w:pPr>
        <w:pStyle w:val="112"/>
        <w:ind w:firstLine="480"/>
      </w:pPr>
      <w:r>
        <w:t>c.采用二级漏电保护系统。</w:t>
      </w:r>
    </w:p>
    <w:p>
      <w:pPr>
        <w:pStyle w:val="4"/>
        <w:rPr>
          <w:rFonts w:eastAsia="宋体"/>
        </w:rPr>
      </w:pPr>
      <w:bookmarkStart w:id="565" w:name="_Toc12288751"/>
      <w:r>
        <w:rPr>
          <w:rFonts w:eastAsia="宋体"/>
        </w:rPr>
        <w:t xml:space="preserve">7.9.2 </w:t>
      </w:r>
      <w:r>
        <w:rPr>
          <w:rFonts w:hint="eastAsia" w:eastAsia="宋体"/>
        </w:rPr>
        <w:t>钻井、完井、测试放喷过程风险</w:t>
      </w:r>
      <w:r>
        <w:rPr>
          <w:rFonts w:eastAsia="宋体"/>
        </w:rPr>
        <w:t>防范措施</w:t>
      </w:r>
    </w:p>
    <w:bookmarkEnd w:id="565"/>
    <w:p>
      <w:pPr>
        <w:pStyle w:val="6"/>
        <w:ind w:firstLine="482"/>
        <w:rPr>
          <w:rFonts w:hAnsi="宋体"/>
          <w:b/>
        </w:rPr>
      </w:pPr>
      <w:r>
        <w:rPr>
          <w:rFonts w:hint="eastAsia" w:hAnsi="宋体"/>
          <w:b/>
        </w:rPr>
        <w:t>1、风险管理措施</w:t>
      </w:r>
    </w:p>
    <w:p>
      <w:pPr>
        <w:pStyle w:val="6"/>
        <w:ind w:firstLine="480"/>
        <w:rPr>
          <w:rFonts w:hAnsi="宋体"/>
        </w:rPr>
      </w:pPr>
      <w:r>
        <w:rPr>
          <w:rFonts w:hint="eastAsia" w:hAnsi="宋体"/>
        </w:rPr>
        <w:t>（1）人员防护</w:t>
      </w:r>
    </w:p>
    <w:p>
      <w:pPr>
        <w:pStyle w:val="6"/>
        <w:ind w:firstLine="480"/>
        <w:rPr>
          <w:rFonts w:ascii="Times New Roman" w:cs="Times New Roman"/>
        </w:rPr>
      </w:pPr>
      <w:r>
        <w:rPr>
          <w:rFonts w:ascii="Times New Roman" w:hAnsi="宋体" w:cs="Times New Roman"/>
        </w:rPr>
        <w:t>按照、《钻井井控技术规程》（SY/T 6426-2005）、《套管柱试压规范》（SY/T 5467-2007）、《关于印发&lt;中国石化石油与天然气井井控管理规定&gt;的通知》（中国石化安[2011]907号）及其他相关规范的要求对人员进行培训。在钻井作业前，应进行井喷演习，包括</w:t>
      </w:r>
      <w:r>
        <w:rPr>
          <w:rFonts w:hint="eastAsia" w:ascii="Times New Roman" w:hAnsi="宋体" w:cs="Times New Roman"/>
        </w:rPr>
        <w:t>佩带</w:t>
      </w:r>
      <w:r>
        <w:rPr>
          <w:rFonts w:ascii="Times New Roman" w:hAnsi="宋体" w:cs="Times New Roman"/>
        </w:rPr>
        <w:t>防护器具进行井控作业及人员救护等工作。</w:t>
      </w:r>
    </w:p>
    <w:p>
      <w:pPr>
        <w:pStyle w:val="6"/>
        <w:ind w:firstLine="480"/>
        <w:rPr>
          <w:rFonts w:ascii="Times New Roman" w:cs="Times New Roman"/>
        </w:rPr>
      </w:pPr>
      <w:r>
        <w:rPr>
          <w:rFonts w:hint="eastAsia" w:hAnsi="宋体"/>
        </w:rPr>
        <w:t>（</w:t>
      </w:r>
      <w:r>
        <w:rPr>
          <w:rFonts w:ascii="Times New Roman" w:cs="Times New Roman"/>
        </w:rPr>
        <w:t>2</w:t>
      </w:r>
      <w:r>
        <w:rPr>
          <w:rFonts w:ascii="Times New Roman" w:hAnsi="宋体" w:cs="Times New Roman"/>
        </w:rPr>
        <w:t>）防止井筒渗漏</w:t>
      </w:r>
    </w:p>
    <w:p>
      <w:pPr>
        <w:pStyle w:val="6"/>
        <w:ind w:firstLine="480"/>
        <w:rPr>
          <w:rFonts w:ascii="Times New Roman" w:cs="Times New Roman"/>
        </w:rPr>
      </w:pPr>
      <w:r>
        <w:rPr>
          <w:rFonts w:ascii="Times New Roman" w:hAnsi="宋体" w:cs="Times New Roman"/>
        </w:rPr>
        <w:t>钻井的过程中应注意考虑地质构造、钻井工艺，以及井与河流的相对位置等方面的问题，避免出现地层渗漏或者串层等污染事故。</w:t>
      </w:r>
    </w:p>
    <w:p>
      <w:pPr>
        <w:pStyle w:val="6"/>
        <w:ind w:firstLine="480"/>
        <w:rPr>
          <w:rFonts w:ascii="Times New Roman" w:cs="Times New Roman"/>
        </w:rPr>
      </w:pPr>
      <w:r>
        <w:rPr>
          <w:rFonts w:ascii="Times New Roman" w:hAnsi="宋体" w:cs="Times New Roman"/>
        </w:rPr>
        <w:t>如果发生地层渗漏或者串层等事故时，需及时采取措施，采用泡沫、稻草设立隔离带对石油类污染物进行拦截，污水采用净水剂净化，用活性炭进行吸附，并及时联合其他各相关部门统一行动，尽可能减少事故带来的环境影响。</w:t>
      </w:r>
    </w:p>
    <w:p>
      <w:pPr>
        <w:pStyle w:val="6"/>
        <w:ind w:firstLine="480"/>
        <w:rPr>
          <w:rFonts w:ascii="Times New Roman" w:cs="Times New Roman"/>
        </w:rPr>
      </w:pPr>
      <w:r>
        <w:rPr>
          <w:rFonts w:hint="eastAsia" w:hAnsi="宋体"/>
        </w:rPr>
        <w:t>（</w:t>
      </w:r>
      <w:r>
        <w:rPr>
          <w:rFonts w:ascii="Times New Roman" w:cs="Times New Roman"/>
        </w:rPr>
        <w:t>3</w:t>
      </w:r>
      <w:r>
        <w:rPr>
          <w:rFonts w:ascii="Times New Roman" w:hAnsi="宋体" w:cs="Times New Roman"/>
        </w:rPr>
        <w:t>）配备应急点火系统及点火时间、点火管理</w:t>
      </w:r>
    </w:p>
    <w:p>
      <w:pPr>
        <w:pStyle w:val="6"/>
        <w:ind w:firstLine="480"/>
        <w:rPr>
          <w:rFonts w:ascii="Times New Roman" w:cs="Times New Roman"/>
        </w:rPr>
      </w:pPr>
      <w:r>
        <w:rPr>
          <w:rFonts w:ascii="Times New Roman" w:hAnsi="宋体" w:cs="Times New Roman"/>
        </w:rPr>
        <w:t>根据中国石化要求，普光气田在发生井喷失控（当封井器关闭后，井口仍有气体喷出）时起，平台经理</w:t>
      </w:r>
      <w:r>
        <w:rPr>
          <w:rFonts w:ascii="Times New Roman" w:cs="Times New Roman"/>
        </w:rPr>
        <w:t>15min</w:t>
      </w:r>
      <w:r>
        <w:rPr>
          <w:rFonts w:ascii="Times New Roman" w:hAnsi="宋体" w:cs="Times New Roman"/>
        </w:rPr>
        <w:t>内下令实施点火。</w:t>
      </w:r>
    </w:p>
    <w:p>
      <w:pPr>
        <w:pStyle w:val="6"/>
        <w:ind w:firstLine="480"/>
        <w:rPr>
          <w:rFonts w:ascii="Times New Roman" w:cs="Times New Roman"/>
        </w:rPr>
      </w:pPr>
      <w:r>
        <w:rPr>
          <w:rFonts w:hint="eastAsia" w:hAnsi="宋体"/>
        </w:rPr>
        <w:t>（</w:t>
      </w:r>
      <w:r>
        <w:rPr>
          <w:rFonts w:ascii="Times New Roman" w:cs="Times New Roman"/>
        </w:rPr>
        <w:t>4</w:t>
      </w:r>
      <w:r>
        <w:rPr>
          <w:rFonts w:ascii="Times New Roman" w:hAnsi="宋体" w:cs="Times New Roman"/>
        </w:rPr>
        <w:t>）中途测试对居民的临时撤离</w:t>
      </w:r>
    </w:p>
    <w:p>
      <w:pPr>
        <w:pStyle w:val="6"/>
        <w:ind w:firstLine="480"/>
        <w:rPr>
          <w:rFonts w:ascii="Times New Roman" w:cs="Times New Roman"/>
        </w:rPr>
      </w:pPr>
      <w:r>
        <w:rPr>
          <w:rFonts w:ascii="Times New Roman" w:hAnsi="宋体" w:cs="Times New Roman"/>
        </w:rPr>
        <w:t>根据行业标准及井喷事故风险预测结果，在中途测试前应临时撤离周边</w:t>
      </w:r>
      <w:r>
        <w:rPr>
          <w:rFonts w:hint="eastAsia" w:ascii="Times New Roman" w:cs="Times New Roman"/>
        </w:rPr>
        <w:t>50</w:t>
      </w:r>
      <w:r>
        <w:rPr>
          <w:rFonts w:ascii="Times New Roman" w:cs="Times New Roman"/>
        </w:rPr>
        <w:t>0m</w:t>
      </w:r>
      <w:r>
        <w:rPr>
          <w:rFonts w:ascii="Times New Roman" w:hAnsi="宋体" w:cs="Times New Roman"/>
        </w:rPr>
        <w:t>居民至作业完成。</w:t>
      </w:r>
    </w:p>
    <w:p>
      <w:pPr>
        <w:pStyle w:val="6"/>
        <w:ind w:firstLine="480"/>
        <w:rPr>
          <w:rFonts w:ascii="Times New Roman" w:cs="Times New Roman"/>
        </w:rPr>
      </w:pPr>
      <w:r>
        <w:rPr>
          <w:rFonts w:hint="eastAsia" w:hAnsi="宋体"/>
        </w:rPr>
        <w:t>（</w:t>
      </w:r>
      <w:r>
        <w:rPr>
          <w:rFonts w:ascii="Times New Roman" w:cs="Times New Roman"/>
        </w:rPr>
        <w:t>5</w:t>
      </w:r>
      <w:r>
        <w:rPr>
          <w:rFonts w:ascii="Times New Roman" w:hAnsi="宋体" w:cs="Times New Roman"/>
        </w:rPr>
        <w:t>）对周边居民的风险应急培训、演练、应急撤离设施</w:t>
      </w:r>
    </w:p>
    <w:p>
      <w:pPr>
        <w:pStyle w:val="6"/>
        <w:ind w:firstLine="480"/>
        <w:rPr>
          <w:rFonts w:ascii="Times New Roman" w:cs="Times New Roman"/>
        </w:rPr>
      </w:pPr>
      <w:r>
        <w:rPr>
          <w:rFonts w:ascii="Times New Roman" w:hAnsi="宋体" w:cs="Times New Roman"/>
        </w:rPr>
        <w:t>施工单位应主动联系当地政府，对撤离区居民、学校通过发放宣传册普及安全知识</w:t>
      </w:r>
      <w:r>
        <w:rPr>
          <w:rFonts w:hint="eastAsia" w:ascii="Times New Roman" w:hAnsi="宋体" w:cs="Times New Roman"/>
        </w:rPr>
        <w:t>和</w:t>
      </w:r>
      <w:r>
        <w:rPr>
          <w:rFonts w:ascii="Times New Roman" w:hAnsi="宋体" w:cs="Times New Roman"/>
        </w:rPr>
        <w:t>防范应急救护措施。</w:t>
      </w:r>
    </w:p>
    <w:p>
      <w:pPr>
        <w:pStyle w:val="6"/>
        <w:ind w:firstLine="480"/>
        <w:rPr>
          <w:rFonts w:ascii="Times New Roman" w:cs="Times New Roman"/>
        </w:rPr>
      </w:pPr>
      <w:r>
        <w:rPr>
          <w:rFonts w:ascii="Times New Roman" w:hAnsi="宋体" w:cs="Times New Roman"/>
        </w:rPr>
        <w:t>钻井井场明显位置设风向标，以便及时有效通知周边居民。远处居民在预案中确定有应急组织机构组织撤离。</w:t>
      </w:r>
    </w:p>
    <w:p>
      <w:pPr>
        <w:pStyle w:val="6"/>
        <w:ind w:firstLine="480"/>
        <w:rPr>
          <w:rFonts w:ascii="Times New Roman" w:cs="Times New Roman"/>
        </w:rPr>
      </w:pPr>
      <w:r>
        <w:rPr>
          <w:rFonts w:hint="eastAsia" w:hAnsi="宋体"/>
        </w:rPr>
        <w:t>（</w:t>
      </w:r>
      <w:r>
        <w:rPr>
          <w:rFonts w:ascii="Times New Roman" w:cs="Times New Roman"/>
        </w:rPr>
        <w:t>6</w:t>
      </w:r>
      <w:r>
        <w:rPr>
          <w:rFonts w:ascii="Times New Roman" w:hAnsi="宋体" w:cs="Times New Roman"/>
        </w:rPr>
        <w:t>）钻井风险监控、报警措施</w:t>
      </w:r>
    </w:p>
    <w:p>
      <w:pPr>
        <w:pStyle w:val="6"/>
        <w:ind w:firstLine="480"/>
        <w:rPr>
          <w:rFonts w:ascii="Times New Roman" w:cs="Times New Roman"/>
        </w:rPr>
      </w:pPr>
      <w:r>
        <w:rPr>
          <w:rFonts w:ascii="Times New Roman" w:hAnsi="宋体" w:cs="Times New Roman"/>
        </w:rPr>
        <w:t>井场钻开气层前通知宣汉县人民医院、消防队各方面救援保障力量以及钻井队主管部门及应急救援单位。应落实和当地政府和医院、消防部门取得联系；一旦发生井涌、井喷，及时报警。与各单位、部门的报警联系主要采用值班专用通信电话和手机。</w:t>
      </w:r>
    </w:p>
    <w:p>
      <w:pPr>
        <w:pStyle w:val="6"/>
        <w:ind w:firstLine="482"/>
        <w:rPr>
          <w:rFonts w:ascii="Times New Roman" w:cs="Times New Roman"/>
          <w:b/>
        </w:rPr>
      </w:pPr>
      <w:r>
        <w:rPr>
          <w:rFonts w:hint="eastAsia" w:ascii="Times New Roman" w:hAnsi="宋体" w:cs="Times New Roman"/>
          <w:b/>
        </w:rPr>
        <w:t>2、</w:t>
      </w:r>
      <w:r>
        <w:rPr>
          <w:rFonts w:ascii="Times New Roman" w:hAnsi="宋体" w:cs="Times New Roman"/>
          <w:b/>
        </w:rPr>
        <w:t>预防井漏风险防范措施</w:t>
      </w:r>
    </w:p>
    <w:p>
      <w:pPr>
        <w:pStyle w:val="6"/>
        <w:ind w:firstLine="480"/>
        <w:rPr>
          <w:rFonts w:ascii="Times New Roman" w:cs="Times New Roman"/>
        </w:rPr>
      </w:pPr>
      <w:r>
        <w:rPr>
          <w:rFonts w:hint="eastAsia" w:hAnsi="宋体"/>
        </w:rPr>
        <w:t>（</w:t>
      </w:r>
      <w:r>
        <w:rPr>
          <w:rFonts w:ascii="Times New Roman" w:cs="Times New Roman"/>
        </w:rPr>
        <w:t>1</w:t>
      </w:r>
      <w:r>
        <w:rPr>
          <w:rFonts w:ascii="Times New Roman" w:hAnsi="宋体" w:cs="Times New Roman"/>
        </w:rPr>
        <w:t>）根据设计和地层预告，钻遇可能井漏层井段前，做好预防和处理井漏时的思想、组织、物资准备，备有足够的钻井液（密度与钻井泥浆同）、水、堵漏、配浆材料、处理剂，及相应配、供浆设施，保证防爆、灵活好用、功能齐全、使用可靠（包括灌浆管线，配浆泵等）。</w:t>
      </w:r>
    </w:p>
    <w:p>
      <w:pPr>
        <w:pStyle w:val="6"/>
        <w:ind w:firstLine="480"/>
        <w:rPr>
          <w:rFonts w:ascii="Times New Roman" w:cs="Times New Roman"/>
        </w:rPr>
      </w:pPr>
      <w:r>
        <w:rPr>
          <w:rFonts w:hint="eastAsia" w:hAnsi="宋体"/>
        </w:rPr>
        <w:t>（</w:t>
      </w:r>
      <w:r>
        <w:rPr>
          <w:rFonts w:ascii="Times New Roman" w:cs="Times New Roman"/>
        </w:rPr>
        <w:t>2</w:t>
      </w:r>
      <w:r>
        <w:rPr>
          <w:rFonts w:ascii="Times New Roman" w:hAnsi="宋体" w:cs="Times New Roman"/>
        </w:rPr>
        <w:t>）在钻进过程中，调整好钻井液性能，钻井液密度应尽可能控制在设计下限，采用近平衡压力钻井技术，以防止或减少井漏的发生。</w:t>
      </w:r>
    </w:p>
    <w:p>
      <w:pPr>
        <w:pStyle w:val="6"/>
        <w:ind w:firstLine="480"/>
        <w:rPr>
          <w:rFonts w:ascii="Times New Roman" w:cs="Times New Roman"/>
        </w:rPr>
      </w:pPr>
      <w:r>
        <w:rPr>
          <w:rFonts w:hint="eastAsia" w:hAnsi="宋体"/>
        </w:rPr>
        <w:t>（</w:t>
      </w:r>
      <w:r>
        <w:rPr>
          <w:rFonts w:ascii="Times New Roman" w:cs="Times New Roman"/>
        </w:rPr>
        <w:t>3</w:t>
      </w:r>
      <w:r>
        <w:rPr>
          <w:rFonts w:ascii="Times New Roman" w:hAnsi="宋体" w:cs="Times New Roman"/>
        </w:rPr>
        <w:t>）钻遇漏失井段前，要提前准备好随钻堵漏材料，按设计要求处理好钻井液性能，并准备随时加入堵漏材料。</w:t>
      </w:r>
    </w:p>
    <w:p>
      <w:pPr>
        <w:pStyle w:val="6"/>
        <w:ind w:firstLine="480"/>
        <w:rPr>
          <w:rFonts w:ascii="Times New Roman" w:cs="Times New Roman"/>
        </w:rPr>
      </w:pPr>
      <w:r>
        <w:rPr>
          <w:rFonts w:hint="eastAsia" w:hAnsi="宋体"/>
        </w:rPr>
        <w:t>（</w:t>
      </w:r>
      <w:r>
        <w:rPr>
          <w:rFonts w:ascii="Times New Roman" w:cs="Times New Roman"/>
        </w:rPr>
        <w:t>4</w:t>
      </w:r>
      <w:r>
        <w:rPr>
          <w:rFonts w:ascii="Times New Roman" w:hAnsi="宋体" w:cs="Times New Roman"/>
        </w:rPr>
        <w:t>）在能满足井眼净化前提下，尽量采用小排量钻进，以降低环空循环压耗，减少或减轻井漏。</w:t>
      </w:r>
    </w:p>
    <w:p>
      <w:pPr>
        <w:pStyle w:val="6"/>
        <w:ind w:firstLine="480"/>
        <w:rPr>
          <w:rFonts w:ascii="Times New Roman" w:cs="Times New Roman"/>
        </w:rPr>
      </w:pPr>
      <w:r>
        <w:rPr>
          <w:rFonts w:hint="eastAsia" w:hAnsi="宋体"/>
        </w:rPr>
        <w:t>（</w:t>
      </w:r>
      <w:r>
        <w:rPr>
          <w:rFonts w:ascii="Times New Roman" w:cs="Times New Roman"/>
        </w:rPr>
        <w:t>5</w:t>
      </w:r>
      <w:r>
        <w:rPr>
          <w:rFonts w:ascii="Times New Roman" w:hAnsi="宋体" w:cs="Times New Roman"/>
        </w:rPr>
        <w:t>）下钻要控制速度，井深超过</w:t>
      </w:r>
      <w:r>
        <w:rPr>
          <w:rFonts w:ascii="Times New Roman" w:cs="Times New Roman"/>
        </w:rPr>
        <w:t>500m</w:t>
      </w:r>
      <w:r>
        <w:rPr>
          <w:rFonts w:ascii="Times New Roman" w:hAnsi="宋体" w:cs="Times New Roman"/>
        </w:rPr>
        <w:t>以后要启动辅助刹车系统，每下一柱不能少于</w:t>
      </w:r>
      <w:r>
        <w:rPr>
          <w:rFonts w:ascii="Times New Roman" w:cs="Times New Roman"/>
        </w:rPr>
        <w:t>30s</w:t>
      </w:r>
      <w:r>
        <w:rPr>
          <w:rFonts w:ascii="Times New Roman" w:hAnsi="宋体" w:cs="Times New Roman"/>
        </w:rPr>
        <w:t>，防止下钻速度快产生激动压力过大压漏地层。下钻过程中要分段循环钻井液，切不可一次下钻到底再开泵循环。开泵要缓慢，长时间静止后注意分段循环，在套管鞋以下每下</w:t>
      </w:r>
      <w:r>
        <w:rPr>
          <w:rFonts w:ascii="Times New Roman" w:cs="Times New Roman"/>
        </w:rPr>
        <w:t>10</w:t>
      </w:r>
      <w:r>
        <w:rPr>
          <w:rFonts w:ascii="Times New Roman" w:hAnsi="宋体" w:cs="Times New Roman"/>
        </w:rPr>
        <w:t>立柱钻具应开泵循环钻井液</w:t>
      </w:r>
      <w:r>
        <w:rPr>
          <w:rFonts w:ascii="Times New Roman" w:cs="Times New Roman"/>
        </w:rPr>
        <w:t>10min</w:t>
      </w:r>
      <w:r>
        <w:rPr>
          <w:rFonts w:ascii="Times New Roman" w:hAnsi="宋体" w:cs="Times New Roman"/>
        </w:rPr>
        <w:t>～</w:t>
      </w:r>
      <w:r>
        <w:rPr>
          <w:rFonts w:ascii="Times New Roman" w:cs="Times New Roman"/>
        </w:rPr>
        <w:t>15min</w:t>
      </w:r>
      <w:r>
        <w:rPr>
          <w:rFonts w:ascii="Times New Roman" w:hAnsi="宋体" w:cs="Times New Roman"/>
        </w:rPr>
        <w:t>。开泵循环钻井液时，应采用</w:t>
      </w:r>
      <w:r>
        <w:rPr>
          <w:rFonts w:ascii="Times New Roman" w:cs="Times New Roman"/>
        </w:rPr>
        <w:t>“</w:t>
      </w:r>
      <w:r>
        <w:rPr>
          <w:rFonts w:ascii="Times New Roman" w:hAnsi="宋体" w:cs="Times New Roman"/>
        </w:rPr>
        <w:t>先转动后开泵</w:t>
      </w:r>
      <w:r>
        <w:rPr>
          <w:rFonts w:ascii="Times New Roman" w:cs="Times New Roman"/>
        </w:rPr>
        <w:t>”</w:t>
      </w:r>
      <w:r>
        <w:rPr>
          <w:rFonts w:ascii="Times New Roman" w:hAnsi="宋体" w:cs="Times New Roman"/>
        </w:rPr>
        <w:t>的操作程序，以避免因瞬时激动压力过大而引起井漏。</w:t>
      </w:r>
    </w:p>
    <w:p>
      <w:pPr>
        <w:pStyle w:val="6"/>
        <w:ind w:firstLine="480"/>
        <w:rPr>
          <w:rFonts w:ascii="Times New Roman" w:cs="Times New Roman"/>
        </w:rPr>
      </w:pPr>
      <w:r>
        <w:rPr>
          <w:rFonts w:hint="eastAsia" w:hAnsi="宋体"/>
        </w:rPr>
        <w:t>（</w:t>
      </w:r>
      <w:r>
        <w:rPr>
          <w:rFonts w:ascii="Times New Roman" w:cs="Times New Roman"/>
        </w:rPr>
        <w:t>6</w:t>
      </w:r>
      <w:r>
        <w:rPr>
          <w:rFonts w:ascii="Times New Roman" w:hAnsi="宋体" w:cs="Times New Roman"/>
        </w:rPr>
        <w:t>）坐岗观察及时发现井漏并能准确提供漏失情况和漏失量大小并确定明确的井漏报警信号。</w:t>
      </w:r>
    </w:p>
    <w:p>
      <w:pPr>
        <w:pStyle w:val="6"/>
        <w:ind w:firstLine="480"/>
        <w:rPr>
          <w:rFonts w:ascii="Times New Roman" w:cs="Times New Roman"/>
        </w:rPr>
      </w:pPr>
      <w:r>
        <w:rPr>
          <w:rFonts w:hint="eastAsia" w:hAnsi="宋体"/>
        </w:rPr>
        <w:t>（</w:t>
      </w:r>
      <w:r>
        <w:rPr>
          <w:rFonts w:ascii="Times New Roman" w:cs="Times New Roman"/>
        </w:rPr>
        <w:t>7</w:t>
      </w:r>
      <w:r>
        <w:rPr>
          <w:rFonts w:ascii="Times New Roman" w:hAnsi="宋体" w:cs="Times New Roman"/>
        </w:rPr>
        <w:t>）非目的层及油层套管固井前，钻井中发生井漏，有条件应起钻完，先下入光钻杆堵漏；起钻、下钻、注水泥后皆应反灌钻井液，平衡地层压力，防止井喷。</w:t>
      </w:r>
    </w:p>
    <w:p>
      <w:pPr>
        <w:pStyle w:val="6"/>
        <w:ind w:firstLine="480"/>
        <w:rPr>
          <w:rFonts w:ascii="Times New Roman" w:cs="Times New Roman"/>
        </w:rPr>
      </w:pPr>
      <w:r>
        <w:rPr>
          <w:rFonts w:hint="eastAsia" w:hAnsi="宋体"/>
        </w:rPr>
        <w:t>（</w:t>
      </w:r>
      <w:r>
        <w:rPr>
          <w:rFonts w:ascii="Times New Roman" w:cs="Times New Roman"/>
        </w:rPr>
        <w:t>8</w:t>
      </w:r>
      <w:r>
        <w:rPr>
          <w:rFonts w:ascii="Times New Roman" w:hAnsi="宋体" w:cs="Times New Roman"/>
        </w:rPr>
        <w:t>）钻井中发生井漏，根据正循环漏速及反灌钻井液漏速（即反灌与正循环漏速相同、漏速减小、不漏），分别采取处理措施，应考虑井喷、钻具安全。</w:t>
      </w:r>
    </w:p>
    <w:p>
      <w:pPr>
        <w:pStyle w:val="6"/>
        <w:ind w:firstLine="482"/>
        <w:rPr>
          <w:rFonts w:ascii="Times New Roman" w:cs="Times New Roman"/>
          <w:b/>
        </w:rPr>
      </w:pPr>
      <w:r>
        <w:rPr>
          <w:rFonts w:hint="eastAsia" w:ascii="Times New Roman" w:hAnsi="宋体" w:cs="Times New Roman"/>
          <w:b/>
        </w:rPr>
        <w:t>3、</w:t>
      </w:r>
      <w:r>
        <w:rPr>
          <w:rFonts w:ascii="Times New Roman" w:cs="Times New Roman"/>
          <w:b/>
        </w:rPr>
        <w:t>井涌、井喷防范措施</w:t>
      </w:r>
    </w:p>
    <w:p>
      <w:pPr>
        <w:pStyle w:val="6"/>
        <w:ind w:firstLine="480"/>
        <w:rPr>
          <w:rFonts w:ascii="Times New Roman" w:cs="Times New Roman"/>
        </w:rPr>
      </w:pPr>
      <w:r>
        <w:rPr>
          <w:rFonts w:ascii="Times New Roman" w:hAnsi="宋体" w:cs="Times New Roman"/>
        </w:rPr>
        <w:t>任何情况下，只要发现溢流，立即关井；关井采用硬关井的方式；压井采用司钻压井法压井。</w:t>
      </w:r>
    </w:p>
    <w:p>
      <w:pPr>
        <w:pStyle w:val="6"/>
        <w:ind w:firstLine="480"/>
        <w:rPr>
          <w:rFonts w:ascii="Times New Roman" w:cs="Times New Roman"/>
        </w:rPr>
      </w:pPr>
      <w:r>
        <w:rPr>
          <w:rFonts w:hint="eastAsia" w:hAnsi="宋体"/>
        </w:rPr>
        <w:t>（</w:t>
      </w:r>
      <w:r>
        <w:rPr>
          <w:rFonts w:ascii="Times New Roman" w:cs="Times New Roman"/>
        </w:rPr>
        <w:t>1</w:t>
      </w:r>
      <w:r>
        <w:rPr>
          <w:rFonts w:ascii="Times New Roman" w:hAnsi="宋体" w:cs="Times New Roman"/>
        </w:rPr>
        <w:t>）加强地质分析，及时提出可靠的地层预报，尤其是对高压层上部盖层的预报，打开高压气层前</w:t>
      </w:r>
      <w:r>
        <w:rPr>
          <w:rFonts w:ascii="Times New Roman" w:cs="Times New Roman"/>
        </w:rPr>
        <w:t>100m</w:t>
      </w:r>
      <w:r>
        <w:rPr>
          <w:rFonts w:ascii="Times New Roman" w:hAnsi="宋体" w:cs="Times New Roman"/>
        </w:rPr>
        <w:t>，做好设备工具、人员思想、技术安全措施、井口装置、队伍组织和器材设施的配套检查落实。</w:t>
      </w:r>
    </w:p>
    <w:p>
      <w:pPr>
        <w:pStyle w:val="6"/>
        <w:ind w:firstLine="480"/>
        <w:rPr>
          <w:rFonts w:ascii="Times New Roman" w:cs="Times New Roman"/>
        </w:rPr>
      </w:pPr>
      <w:r>
        <w:rPr>
          <w:rFonts w:hint="eastAsia" w:hAnsi="宋体"/>
        </w:rPr>
        <w:t>（</w:t>
      </w:r>
      <w:r>
        <w:rPr>
          <w:rFonts w:ascii="Times New Roman" w:cs="Times New Roman"/>
        </w:rPr>
        <w:t>2</w:t>
      </w:r>
      <w:r>
        <w:rPr>
          <w:rFonts w:ascii="Times New Roman" w:hAnsi="宋体" w:cs="Times New Roman"/>
        </w:rPr>
        <w:t>）全井坐岗观察循环罐液面，及时发现溢流并汇报，确保在钻井全过程中不发生井喷。</w:t>
      </w:r>
    </w:p>
    <w:p>
      <w:pPr>
        <w:pStyle w:val="6"/>
        <w:ind w:firstLine="480"/>
        <w:rPr>
          <w:rFonts w:ascii="Times New Roman" w:cs="Times New Roman"/>
        </w:rPr>
      </w:pPr>
      <w:r>
        <w:rPr>
          <w:rFonts w:hint="eastAsia" w:hAnsi="宋体"/>
        </w:rPr>
        <w:t>（</w:t>
      </w:r>
      <w:r>
        <w:rPr>
          <w:rFonts w:ascii="Times New Roman" w:cs="Times New Roman"/>
        </w:rPr>
        <w:t>3</w:t>
      </w:r>
      <w:r>
        <w:rPr>
          <w:rFonts w:ascii="Times New Roman" w:hAnsi="宋体" w:cs="Times New Roman"/>
        </w:rPr>
        <w:t>）钻井液密度在地层压力的基础上按标准附加。</w:t>
      </w:r>
    </w:p>
    <w:p>
      <w:pPr>
        <w:pStyle w:val="6"/>
        <w:ind w:firstLine="480"/>
        <w:rPr>
          <w:rFonts w:ascii="Times New Roman" w:cs="Times New Roman"/>
        </w:rPr>
      </w:pPr>
      <w:r>
        <w:rPr>
          <w:rFonts w:hint="eastAsia" w:hAnsi="宋体"/>
        </w:rPr>
        <w:t>（</w:t>
      </w:r>
      <w:r>
        <w:rPr>
          <w:rFonts w:ascii="Times New Roman" w:cs="Times New Roman"/>
        </w:rPr>
        <w:t>4</w:t>
      </w:r>
      <w:r>
        <w:rPr>
          <w:rFonts w:ascii="Times New Roman" w:hAnsi="宋体" w:cs="Times New Roman"/>
        </w:rPr>
        <w:t>）配置、安装、试压、使用、维护、保养好井控装备。根据地质预报或邻井资料，在进入预计高压油气层前，对地面设备、循环系统、钻井液枪、混合漏斗、搅拌器等进行全面检查，保证运转正常。</w:t>
      </w:r>
    </w:p>
    <w:p>
      <w:pPr>
        <w:pStyle w:val="6"/>
        <w:ind w:firstLine="480"/>
        <w:rPr>
          <w:rFonts w:ascii="Times New Roman" w:cs="Times New Roman"/>
        </w:rPr>
      </w:pPr>
      <w:r>
        <w:rPr>
          <w:rFonts w:hint="eastAsia" w:hAnsi="宋体"/>
        </w:rPr>
        <w:t>（</w:t>
      </w:r>
      <w:r>
        <w:rPr>
          <w:rFonts w:ascii="Times New Roman" w:cs="Times New Roman"/>
        </w:rPr>
        <w:t>5</w:t>
      </w:r>
      <w:r>
        <w:rPr>
          <w:rFonts w:ascii="Times New Roman" w:hAnsi="宋体" w:cs="Times New Roman"/>
        </w:rPr>
        <w:t>）落实井队班组井控岗位分工，明确职责。</w:t>
      </w:r>
    </w:p>
    <w:p>
      <w:pPr>
        <w:pStyle w:val="6"/>
        <w:ind w:firstLine="480"/>
        <w:rPr>
          <w:rFonts w:ascii="Times New Roman" w:cs="Times New Roman"/>
        </w:rPr>
      </w:pPr>
      <w:r>
        <w:rPr>
          <w:rFonts w:hint="eastAsia" w:hAnsi="宋体"/>
        </w:rPr>
        <w:t>（</w:t>
      </w:r>
      <w:r>
        <w:rPr>
          <w:rFonts w:ascii="Times New Roman" w:cs="Times New Roman"/>
        </w:rPr>
        <w:t>6</w:t>
      </w:r>
      <w:r>
        <w:rPr>
          <w:rFonts w:ascii="Times New Roman" w:hAnsi="宋体" w:cs="Times New Roman"/>
        </w:rPr>
        <w:t>）井场必须按设计储备重钻井液和加重材料，重浆储备罐上安装搅拌器、钻井液枪，并挂牌明示，定期搅拌，保证性能稳定。</w:t>
      </w:r>
    </w:p>
    <w:p>
      <w:pPr>
        <w:pStyle w:val="6"/>
        <w:ind w:firstLine="480"/>
        <w:rPr>
          <w:rFonts w:ascii="Times New Roman" w:cs="Times New Roman"/>
        </w:rPr>
      </w:pPr>
      <w:r>
        <w:rPr>
          <w:rFonts w:hint="eastAsia" w:hAnsi="宋体"/>
        </w:rPr>
        <w:t>（</w:t>
      </w:r>
      <w:r>
        <w:rPr>
          <w:rFonts w:ascii="Times New Roman" w:cs="Times New Roman"/>
        </w:rPr>
        <w:t>7</w:t>
      </w:r>
      <w:r>
        <w:rPr>
          <w:rFonts w:ascii="Times New Roman" w:hAnsi="宋体" w:cs="Times New Roman"/>
        </w:rPr>
        <w:t>）根据地层承压能力实验，确定允许最大关井压力及当量钻井液密度。确定压井时，根据关井压力确定压井钻井液密度，用保护油气层加重剂压井，要防止压漏。开启除气器、搅拌机、钻井液枪排气。达到停泵后井口不外溢，起钻灌好钻井液，下钻进行分段循环，观察油气上窜速度。</w:t>
      </w:r>
    </w:p>
    <w:p>
      <w:pPr>
        <w:pStyle w:val="6"/>
        <w:ind w:firstLine="480"/>
        <w:rPr>
          <w:rFonts w:ascii="Times New Roman" w:cs="Times New Roman"/>
        </w:rPr>
      </w:pPr>
      <w:r>
        <w:rPr>
          <w:rFonts w:hint="eastAsia" w:hAnsi="宋体"/>
        </w:rPr>
        <w:t>（</w:t>
      </w:r>
      <w:r>
        <w:rPr>
          <w:rFonts w:ascii="Times New Roman" w:cs="Times New Roman"/>
        </w:rPr>
        <w:t>8</w:t>
      </w:r>
      <w:r>
        <w:rPr>
          <w:rFonts w:ascii="Times New Roman" w:hAnsi="宋体" w:cs="Times New Roman"/>
        </w:rPr>
        <w:t>）经施工单位的上级主管部门验收合格后报业主方验收，接到开钻通知书后方可钻开主要油气层。</w:t>
      </w:r>
      <w:bookmarkStart w:id="754" w:name="_GoBack"/>
      <w:bookmarkEnd w:id="754"/>
    </w:p>
    <w:p>
      <w:pPr>
        <w:pStyle w:val="6"/>
        <w:ind w:firstLine="480"/>
        <w:rPr>
          <w:rFonts w:ascii="Times New Roman" w:cs="Times New Roman"/>
        </w:rPr>
      </w:pPr>
      <w:r>
        <w:rPr>
          <w:rFonts w:hint="eastAsia" w:hAnsi="宋体"/>
        </w:rPr>
        <w:t>（</w:t>
      </w:r>
      <w:r>
        <w:rPr>
          <w:rFonts w:ascii="Times New Roman" w:cs="Times New Roman"/>
        </w:rPr>
        <w:t>9</w:t>
      </w:r>
      <w:r>
        <w:rPr>
          <w:rFonts w:ascii="Times New Roman" w:hAnsi="宋体" w:cs="Times New Roman"/>
        </w:rPr>
        <w:t>）钻开油气层期间，坚持</w:t>
      </w:r>
      <w:r>
        <w:rPr>
          <w:rFonts w:ascii="Times New Roman" w:cs="Times New Roman"/>
        </w:rPr>
        <w:t>24h</w:t>
      </w:r>
      <w:r>
        <w:rPr>
          <w:rFonts w:ascii="Times New Roman" w:hAnsi="宋体" w:cs="Times New Roman"/>
        </w:rPr>
        <w:t>必须有井队干部值班，定岗、定人认真观察钻进、起下钻和其他作业时的钻井液出口及钻井液池液面的变化情况，取全取准资料，发现异常情况立即报告司钻和值班干部并立即采取必要的措施。</w:t>
      </w:r>
    </w:p>
    <w:p>
      <w:pPr>
        <w:pStyle w:val="6"/>
        <w:ind w:firstLine="480"/>
        <w:rPr>
          <w:rFonts w:ascii="Times New Roman" w:cs="Times New Roman"/>
        </w:rPr>
      </w:pPr>
      <w:r>
        <w:rPr>
          <w:rFonts w:hint="eastAsia" w:hAnsi="宋体"/>
        </w:rPr>
        <w:t>（</w:t>
      </w:r>
      <w:r>
        <w:rPr>
          <w:rFonts w:ascii="Times New Roman" w:cs="Times New Roman"/>
        </w:rPr>
        <w:t>10</w:t>
      </w:r>
      <w:r>
        <w:rPr>
          <w:rFonts w:ascii="Times New Roman" w:hAnsi="宋体" w:cs="Times New Roman"/>
        </w:rPr>
        <w:t>）油气层钻井作业中，应采取低速起钻，下钻时下放速度不宜过快，以减少抽吸和压力激动，每起</w:t>
      </w:r>
      <w:r>
        <w:rPr>
          <w:rFonts w:ascii="Times New Roman" w:cs="Times New Roman"/>
        </w:rPr>
        <w:t>1</w:t>
      </w:r>
      <w:r>
        <w:rPr>
          <w:rFonts w:ascii="Times New Roman" w:hAnsi="宋体" w:cs="Times New Roman"/>
        </w:rPr>
        <w:t>柱钻杆，必须灌满钻井液一次，钻井液工做好记录，及时校对，保证灌满井眼，下钻时，应认真记录返出量，发现异常，立即报告司钻和值班干部，查明原因，正确处理。</w:t>
      </w:r>
    </w:p>
    <w:p>
      <w:pPr>
        <w:pStyle w:val="6"/>
        <w:ind w:firstLine="480"/>
        <w:rPr>
          <w:rFonts w:ascii="Times New Roman" w:cs="Times New Roman"/>
        </w:rPr>
      </w:pPr>
      <w:r>
        <w:rPr>
          <w:rFonts w:hint="eastAsia" w:hAnsi="宋体"/>
        </w:rPr>
        <w:t>（</w:t>
      </w:r>
      <w:r>
        <w:rPr>
          <w:rFonts w:ascii="Times New Roman" w:cs="Times New Roman"/>
        </w:rPr>
        <w:t>11</w:t>
      </w:r>
      <w:r>
        <w:rPr>
          <w:rFonts w:ascii="Times New Roman" w:hAnsi="宋体" w:cs="Times New Roman"/>
        </w:rPr>
        <w:t>）检修设备应安排在下钻到套管鞋时进行，并在钻柱上装钻具回压阀。</w:t>
      </w:r>
    </w:p>
    <w:p>
      <w:pPr>
        <w:pStyle w:val="6"/>
        <w:ind w:firstLine="480"/>
        <w:rPr>
          <w:rFonts w:ascii="Times New Roman" w:cs="Times New Roman"/>
        </w:rPr>
      </w:pPr>
      <w:r>
        <w:rPr>
          <w:rFonts w:hint="eastAsia" w:hAnsi="宋体"/>
        </w:rPr>
        <w:t>（</w:t>
      </w:r>
      <w:r>
        <w:rPr>
          <w:rFonts w:ascii="Times New Roman" w:cs="Times New Roman"/>
        </w:rPr>
        <w:t>12</w:t>
      </w:r>
      <w:r>
        <w:rPr>
          <w:rFonts w:ascii="Times New Roman" w:hAnsi="宋体" w:cs="Times New Roman"/>
        </w:rPr>
        <w:t>）电测前井下情况必须正常、稳定，电测时应准备</w:t>
      </w:r>
      <w:r>
        <w:rPr>
          <w:rFonts w:ascii="Times New Roman" w:cs="Times New Roman"/>
        </w:rPr>
        <w:t>1</w:t>
      </w:r>
      <w:r>
        <w:rPr>
          <w:rFonts w:ascii="Times New Roman" w:hAnsi="宋体" w:cs="Times New Roman"/>
        </w:rPr>
        <w:t>柱带钻具回压阀的钻杆，以备井内异常时强行下入控制井口。</w:t>
      </w:r>
    </w:p>
    <w:p>
      <w:pPr>
        <w:pStyle w:val="6"/>
        <w:ind w:firstLine="480"/>
        <w:rPr>
          <w:rFonts w:ascii="Times New Roman" w:cs="Times New Roman"/>
        </w:rPr>
      </w:pPr>
      <w:r>
        <w:rPr>
          <w:rFonts w:hint="eastAsia" w:hAnsi="宋体"/>
        </w:rPr>
        <w:t>（</w:t>
      </w:r>
      <w:r>
        <w:rPr>
          <w:rFonts w:ascii="Times New Roman" w:cs="Times New Roman"/>
        </w:rPr>
        <w:t>13</w:t>
      </w:r>
      <w:r>
        <w:rPr>
          <w:rFonts w:ascii="Times New Roman" w:hAnsi="宋体" w:cs="Times New Roman"/>
        </w:rPr>
        <w:t>）在油气层中钻进时</w:t>
      </w:r>
      <w:r>
        <w:rPr>
          <w:rFonts w:ascii="Times New Roman" w:cs="Times New Roman"/>
        </w:rPr>
        <w:t xml:space="preserve"> </w:t>
      </w:r>
      <w:r>
        <w:rPr>
          <w:rFonts w:ascii="Times New Roman" w:hAnsi="宋体" w:cs="Times New Roman"/>
        </w:rPr>
        <w:t>，坚持使用液面报警器，钻井、钻井液、录井三岗联座观察液面，每</w:t>
      </w:r>
      <w:r>
        <w:rPr>
          <w:rFonts w:ascii="Times New Roman" w:cs="Times New Roman"/>
        </w:rPr>
        <w:t>15min</w:t>
      </w:r>
      <w:r>
        <w:rPr>
          <w:rFonts w:ascii="Times New Roman" w:hAnsi="宋体" w:cs="Times New Roman"/>
        </w:rPr>
        <w:t>记录钻井液池液面一次，若遇特殊情况应</w:t>
      </w:r>
      <w:r>
        <w:rPr>
          <w:rFonts w:ascii="Times New Roman" w:cs="Times New Roman"/>
        </w:rPr>
        <w:t>3min</w:t>
      </w:r>
      <w:r>
        <w:rPr>
          <w:rFonts w:ascii="Times New Roman" w:hAnsi="宋体" w:cs="Times New Roman"/>
        </w:rPr>
        <w:t>～</w:t>
      </w:r>
      <w:r>
        <w:rPr>
          <w:rFonts w:ascii="Times New Roman" w:cs="Times New Roman"/>
        </w:rPr>
        <w:t>5min</w:t>
      </w:r>
      <w:r>
        <w:rPr>
          <w:rFonts w:ascii="Times New Roman" w:hAnsi="宋体" w:cs="Times New Roman"/>
        </w:rPr>
        <w:t>观察一次出口钻井液池液面变化，发现溢流及时汇报，严格控制溢流量，关井按照</w:t>
      </w:r>
      <w:r>
        <w:rPr>
          <w:rFonts w:ascii="Times New Roman" w:cs="Times New Roman"/>
        </w:rPr>
        <w:t>“</w:t>
      </w:r>
      <w:r>
        <w:rPr>
          <w:rFonts w:ascii="Times New Roman" w:hAnsi="宋体" w:cs="Times New Roman"/>
        </w:rPr>
        <w:t>四</w:t>
      </w:r>
      <w:r>
        <w:rPr>
          <w:rFonts w:ascii="Times New Roman" w:eastAsia="MS Mincho" w:cs="Times New Roman"/>
        </w:rPr>
        <w:t>∙</w:t>
      </w:r>
      <w:r>
        <w:rPr>
          <w:rFonts w:ascii="Times New Roman" w:hAnsi="宋体" w:cs="Times New Roman"/>
        </w:rPr>
        <w:t>七</w:t>
      </w:r>
      <w:r>
        <w:rPr>
          <w:rFonts w:ascii="Times New Roman" w:cs="Times New Roman"/>
        </w:rPr>
        <w:t>”</w:t>
      </w:r>
      <w:r>
        <w:rPr>
          <w:rFonts w:ascii="Times New Roman" w:hAnsi="宋体" w:cs="Times New Roman"/>
        </w:rPr>
        <w:t>动作要求组织实施。关井后观察立管和套管压力，及时报告队长和钻井技术员，采取正确方法压井，待井内恢复正常后，才可恢复钻进。</w:t>
      </w:r>
    </w:p>
    <w:p>
      <w:pPr>
        <w:pStyle w:val="6"/>
        <w:ind w:firstLine="480"/>
        <w:rPr>
          <w:rFonts w:ascii="Times New Roman" w:cs="Times New Roman"/>
        </w:rPr>
      </w:pPr>
      <w:r>
        <w:rPr>
          <w:rFonts w:hint="eastAsia" w:hAnsi="宋体"/>
        </w:rPr>
        <w:t>（</w:t>
      </w:r>
      <w:r>
        <w:rPr>
          <w:rFonts w:ascii="Times New Roman" w:cs="Times New Roman"/>
        </w:rPr>
        <w:t>14</w:t>
      </w:r>
      <w:r>
        <w:rPr>
          <w:rFonts w:ascii="Times New Roman" w:hAnsi="宋体" w:cs="Times New Roman"/>
        </w:rPr>
        <w:t>）钻开油气层前，坚持每只钻头、每天作低泵速试验，记录井深、密度、泵压、排量。</w:t>
      </w:r>
    </w:p>
    <w:p>
      <w:pPr>
        <w:pStyle w:val="6"/>
        <w:ind w:firstLine="480"/>
        <w:rPr>
          <w:rFonts w:ascii="Times New Roman" w:cs="Times New Roman"/>
        </w:rPr>
      </w:pPr>
      <w:r>
        <w:rPr>
          <w:rFonts w:hint="eastAsia" w:hAnsi="宋体"/>
        </w:rPr>
        <w:t>（</w:t>
      </w:r>
      <w:r>
        <w:rPr>
          <w:rFonts w:ascii="Times New Roman" w:cs="Times New Roman"/>
        </w:rPr>
        <w:t>15</w:t>
      </w:r>
      <w:r>
        <w:rPr>
          <w:rFonts w:ascii="Times New Roman" w:hAnsi="宋体" w:cs="Times New Roman"/>
        </w:rPr>
        <w:t>）钻开主要产层遇有井漏，井漏显示的当只钻头，以及特殊作业之前均应短程起下钻，以</w:t>
      </w:r>
      <w:r>
        <w:rPr>
          <w:rFonts w:ascii="Times New Roman" w:cs="Times New Roman"/>
        </w:rPr>
        <w:t>10</w:t>
      </w:r>
      <w:r>
        <w:rPr>
          <w:rFonts w:ascii="Times New Roman" w:hAnsi="宋体" w:cs="Times New Roman"/>
        </w:rPr>
        <w:t>～</w:t>
      </w:r>
      <w:r>
        <w:rPr>
          <w:rFonts w:ascii="Times New Roman" w:cs="Times New Roman"/>
        </w:rPr>
        <w:t>15</w:t>
      </w:r>
      <w:r>
        <w:rPr>
          <w:rFonts w:ascii="Times New Roman" w:hAnsi="宋体" w:cs="Times New Roman"/>
        </w:rPr>
        <w:t>立柱为宜；如果气侵严重，可调整钻井液密度平衡地层压力。</w:t>
      </w:r>
    </w:p>
    <w:p>
      <w:pPr>
        <w:pStyle w:val="6"/>
        <w:ind w:firstLine="480"/>
        <w:rPr>
          <w:rFonts w:ascii="Times New Roman" w:cs="Times New Roman"/>
        </w:rPr>
      </w:pPr>
      <w:r>
        <w:rPr>
          <w:rFonts w:hint="eastAsia" w:hAnsi="宋体"/>
        </w:rPr>
        <w:t>（</w:t>
      </w:r>
      <w:r>
        <w:rPr>
          <w:rFonts w:ascii="Times New Roman" w:cs="Times New Roman"/>
        </w:rPr>
        <w:t>16</w:t>
      </w:r>
      <w:r>
        <w:rPr>
          <w:rFonts w:ascii="Times New Roman" w:hAnsi="宋体" w:cs="Times New Roman"/>
        </w:rPr>
        <w:t>）油气水层钻进中，应用大水眼钻头并使用旁通阀，不可以使用动力钻具，以利于加重钻井液，压井和堵漏等工艺的实施。</w:t>
      </w:r>
    </w:p>
    <w:p>
      <w:pPr>
        <w:pStyle w:val="6"/>
        <w:ind w:firstLine="480"/>
        <w:rPr>
          <w:rFonts w:ascii="Times New Roman" w:cs="Times New Roman"/>
        </w:rPr>
      </w:pPr>
      <w:r>
        <w:rPr>
          <w:rFonts w:hint="eastAsia" w:hAnsi="宋体"/>
        </w:rPr>
        <w:t>（</w:t>
      </w:r>
      <w:r>
        <w:rPr>
          <w:rFonts w:ascii="Times New Roman" w:cs="Times New Roman"/>
        </w:rPr>
        <w:t>17</w:t>
      </w:r>
      <w:r>
        <w:rPr>
          <w:rFonts w:ascii="Times New Roman" w:hAnsi="宋体" w:cs="Times New Roman"/>
        </w:rPr>
        <w:t>）任何时候发现溢流应按井控</w:t>
      </w:r>
      <w:r>
        <w:rPr>
          <w:rFonts w:ascii="Times New Roman" w:cs="Times New Roman"/>
        </w:rPr>
        <w:t>“</w:t>
      </w:r>
      <w:r>
        <w:rPr>
          <w:rFonts w:ascii="Times New Roman" w:hAnsi="宋体" w:cs="Times New Roman"/>
        </w:rPr>
        <w:t>四</w:t>
      </w:r>
      <w:r>
        <w:rPr>
          <w:rFonts w:ascii="Times New Roman" w:eastAsia="MS Mincho" w:cs="Times New Roman"/>
        </w:rPr>
        <w:t>∙</w:t>
      </w:r>
      <w:r>
        <w:rPr>
          <w:rFonts w:ascii="Times New Roman" w:hAnsi="宋体" w:cs="Times New Roman"/>
        </w:rPr>
        <w:t>七</w:t>
      </w:r>
      <w:r>
        <w:rPr>
          <w:rFonts w:ascii="Times New Roman" w:cs="Times New Roman"/>
        </w:rPr>
        <w:t>”</w:t>
      </w:r>
      <w:r>
        <w:rPr>
          <w:rFonts w:ascii="Times New Roman" w:hAnsi="宋体" w:cs="Times New Roman"/>
        </w:rPr>
        <w:t>动作控制井口，根据关井压力确定压井液密度，尽快按压井程序压井。严禁循环观察、钻进观察、静止观察等违章现象发生。</w:t>
      </w:r>
    </w:p>
    <w:p>
      <w:pPr>
        <w:pStyle w:val="6"/>
        <w:ind w:firstLine="480"/>
        <w:rPr>
          <w:rFonts w:ascii="Times New Roman" w:cs="Times New Roman"/>
        </w:rPr>
      </w:pPr>
      <w:r>
        <w:rPr>
          <w:rFonts w:hint="eastAsia" w:hAnsi="宋体"/>
        </w:rPr>
        <w:t>（</w:t>
      </w:r>
      <w:r>
        <w:rPr>
          <w:rFonts w:ascii="Times New Roman" w:cs="Times New Roman"/>
        </w:rPr>
        <w:t>18</w:t>
      </w:r>
      <w:r>
        <w:rPr>
          <w:rFonts w:ascii="Times New Roman" w:hAnsi="宋体" w:cs="Times New Roman"/>
        </w:rPr>
        <w:t>）避免长时间关井，在等候加重或在加重过程中，要间断注高密度钻井液，同时，用节流管汇控制回压，保持井底压力略大于地层压力状态下排放钻井液。若等候时间长，则应及时实施司钻法第一步，排除污染，防止井口压力过高。井口压力过高时应特别注意这项工作。</w:t>
      </w:r>
    </w:p>
    <w:p>
      <w:pPr>
        <w:pStyle w:val="6"/>
        <w:ind w:firstLine="480"/>
        <w:rPr>
          <w:rFonts w:ascii="Times New Roman" w:cs="Times New Roman"/>
        </w:rPr>
      </w:pPr>
      <w:r>
        <w:rPr>
          <w:rFonts w:hint="eastAsia" w:hAnsi="宋体"/>
        </w:rPr>
        <w:t>（</w:t>
      </w:r>
      <w:r>
        <w:rPr>
          <w:rFonts w:ascii="Times New Roman" w:cs="Times New Roman"/>
        </w:rPr>
        <w:t>19</w:t>
      </w:r>
      <w:r>
        <w:rPr>
          <w:rFonts w:ascii="Times New Roman" w:hAnsi="宋体" w:cs="Times New Roman"/>
        </w:rPr>
        <w:t>）油气井钻井作业中应密切注意十五种显示。做到及时发现，迅速关井。</w:t>
      </w:r>
    </w:p>
    <w:p>
      <w:pPr>
        <w:pStyle w:val="6"/>
        <w:ind w:firstLine="480"/>
        <w:rPr>
          <w:rFonts w:ascii="Times New Roman" w:cs="Times New Roman"/>
        </w:rPr>
      </w:pPr>
      <w:r>
        <w:rPr>
          <w:rFonts w:hint="eastAsia" w:hAnsi="宋体"/>
        </w:rPr>
        <w:t>（</w:t>
      </w:r>
      <w:r>
        <w:rPr>
          <w:rFonts w:ascii="Times New Roman" w:cs="Times New Roman"/>
        </w:rPr>
        <w:t>20</w:t>
      </w:r>
      <w:r>
        <w:rPr>
          <w:rFonts w:ascii="Times New Roman" w:hAnsi="宋体" w:cs="Times New Roman"/>
        </w:rPr>
        <w:t>）控制住井口后，应对井控装置主体及节流压井管汇、远程控制台等部位详细检查，如井口压力接近或达到井控装置、套管、地层破裂压力三者中压力最低的极限值，应放喷泄压，放喷天然气须烧掉，防止与空气混合发生爆炸。</w:t>
      </w:r>
    </w:p>
    <w:p>
      <w:pPr>
        <w:pStyle w:val="6"/>
        <w:ind w:firstLine="480"/>
        <w:rPr>
          <w:rFonts w:ascii="Times New Roman" w:cs="Times New Roman"/>
        </w:rPr>
      </w:pPr>
      <w:r>
        <w:rPr>
          <w:rFonts w:hint="eastAsia" w:hAnsi="宋体"/>
        </w:rPr>
        <w:t>（</w:t>
      </w:r>
      <w:r>
        <w:rPr>
          <w:rFonts w:ascii="Times New Roman" w:cs="Times New Roman"/>
        </w:rPr>
        <w:t>21</w:t>
      </w:r>
      <w:r>
        <w:rPr>
          <w:rFonts w:ascii="Times New Roman" w:hAnsi="宋体" w:cs="Times New Roman"/>
        </w:rPr>
        <w:t>）确定明确的井喷报警信号。</w:t>
      </w:r>
    </w:p>
    <w:p>
      <w:pPr>
        <w:pStyle w:val="6"/>
        <w:ind w:firstLine="480"/>
        <w:rPr>
          <w:rFonts w:ascii="Times New Roman" w:cs="Times New Roman"/>
        </w:rPr>
      </w:pPr>
      <w:r>
        <w:rPr>
          <w:rFonts w:hint="eastAsia" w:hAnsi="宋体"/>
        </w:rPr>
        <w:t>（</w:t>
      </w:r>
      <w:r>
        <w:rPr>
          <w:rFonts w:ascii="Times New Roman" w:cs="Times New Roman"/>
        </w:rPr>
        <w:t>22</w:t>
      </w:r>
      <w:r>
        <w:rPr>
          <w:rFonts w:ascii="Times New Roman" w:hAnsi="宋体" w:cs="Times New Roman"/>
        </w:rPr>
        <w:t>）加重压井作业不得在钻进过程中实施。</w:t>
      </w:r>
    </w:p>
    <w:p>
      <w:pPr>
        <w:pStyle w:val="6"/>
        <w:ind w:firstLine="480"/>
        <w:rPr>
          <w:rFonts w:ascii="Times New Roman" w:cs="Times New Roman"/>
        </w:rPr>
      </w:pPr>
      <w:r>
        <w:rPr>
          <w:rFonts w:hint="eastAsia" w:hAnsi="宋体"/>
        </w:rPr>
        <w:t>（</w:t>
      </w:r>
      <w:r>
        <w:rPr>
          <w:rFonts w:ascii="Times New Roman" w:cs="Times New Roman"/>
        </w:rPr>
        <w:t>23</w:t>
      </w:r>
      <w:r>
        <w:rPr>
          <w:rFonts w:ascii="Times New Roman" w:hAnsi="宋体" w:cs="Times New Roman"/>
        </w:rPr>
        <w:t>）起钻前必须采取措施证实井已压稳、有安全的起下钻时间。</w:t>
      </w:r>
    </w:p>
    <w:p>
      <w:pPr>
        <w:pStyle w:val="6"/>
        <w:ind w:firstLine="480"/>
        <w:rPr>
          <w:rFonts w:ascii="Times New Roman" w:cs="Times New Roman"/>
        </w:rPr>
      </w:pPr>
      <w:r>
        <w:rPr>
          <w:rFonts w:hint="eastAsia" w:hAnsi="宋体"/>
        </w:rPr>
        <w:t>（</w:t>
      </w:r>
      <w:r>
        <w:rPr>
          <w:rFonts w:ascii="Times New Roman" w:cs="Times New Roman"/>
        </w:rPr>
        <w:t>24</w:t>
      </w:r>
      <w:r>
        <w:rPr>
          <w:rFonts w:ascii="Times New Roman" w:hAnsi="宋体" w:cs="Times New Roman"/>
        </w:rPr>
        <w:t>）在排气口、放喷口设置自动和手动点火装置，先点火、后放气，在可能放气期间在排气口应设置长明火；钻开油气层前，应进行点火演练。</w:t>
      </w:r>
    </w:p>
    <w:p>
      <w:pPr>
        <w:pStyle w:val="6"/>
        <w:ind w:firstLine="480"/>
        <w:rPr>
          <w:rFonts w:ascii="Times New Roman" w:cs="Times New Roman"/>
        </w:rPr>
      </w:pPr>
      <w:r>
        <w:rPr>
          <w:rFonts w:hint="eastAsia" w:hAnsi="宋体"/>
        </w:rPr>
        <w:t>（</w:t>
      </w:r>
      <w:r>
        <w:rPr>
          <w:rFonts w:ascii="Times New Roman" w:cs="Times New Roman"/>
        </w:rPr>
        <w:t>25</w:t>
      </w:r>
      <w:r>
        <w:rPr>
          <w:rFonts w:ascii="Times New Roman" w:hAnsi="宋体" w:cs="Times New Roman"/>
        </w:rPr>
        <w:t>）除气器排气管线必须接出井场，出口置于安全区域。</w:t>
      </w:r>
    </w:p>
    <w:p>
      <w:pPr>
        <w:pStyle w:val="6"/>
        <w:ind w:firstLine="480"/>
        <w:rPr>
          <w:rFonts w:ascii="Times New Roman" w:cs="Times New Roman"/>
        </w:rPr>
      </w:pPr>
      <w:r>
        <w:rPr>
          <w:rFonts w:hint="eastAsia" w:hAnsi="宋体"/>
        </w:rPr>
        <w:t>（</w:t>
      </w:r>
      <w:r>
        <w:rPr>
          <w:rFonts w:ascii="Times New Roman" w:cs="Times New Roman"/>
        </w:rPr>
        <w:t>26</w:t>
      </w:r>
      <w:r>
        <w:rPr>
          <w:rFonts w:ascii="Times New Roman" w:hAnsi="宋体" w:cs="Times New Roman"/>
        </w:rPr>
        <w:t>）</w:t>
      </w:r>
      <w:r>
        <w:rPr>
          <w:rFonts w:hint="eastAsia" w:ascii="Times New Roman" w:hAnsi="宋体" w:cs="Times New Roman"/>
        </w:rPr>
        <w:t>若</w:t>
      </w:r>
      <w:r>
        <w:rPr>
          <w:rFonts w:ascii="Times New Roman" w:hAnsi="宋体" w:cs="Times New Roman"/>
        </w:rPr>
        <w:t>可能出现超出设计预计之外的异常情况，对此施工单位应进行充分的准备，应建立应对各种复杂情况的应急预案并落实，负责进行控制和处理。</w:t>
      </w:r>
    </w:p>
    <w:p>
      <w:pPr>
        <w:pStyle w:val="6"/>
        <w:ind w:firstLine="482"/>
        <w:rPr>
          <w:rFonts w:ascii="Times New Roman" w:cs="Times New Roman"/>
          <w:b/>
        </w:rPr>
      </w:pPr>
      <w:r>
        <w:rPr>
          <w:rFonts w:ascii="Times New Roman" w:cs="Times New Roman"/>
          <w:b/>
        </w:rPr>
        <w:t>4</w:t>
      </w:r>
      <w:r>
        <w:rPr>
          <w:rFonts w:ascii="Times New Roman" w:hAnsi="宋体" w:cs="Times New Roman"/>
          <w:b/>
        </w:rPr>
        <w:t>、</w:t>
      </w:r>
      <w:r>
        <w:rPr>
          <w:rFonts w:ascii="Times New Roman" w:cs="Times New Roman"/>
          <w:b/>
        </w:rPr>
        <w:t>钻井过程风险防范措施</w:t>
      </w:r>
    </w:p>
    <w:p>
      <w:pPr>
        <w:pStyle w:val="6"/>
        <w:ind w:firstLine="480"/>
        <w:rPr>
          <w:rFonts w:ascii="Times New Roman" w:cs="Times New Roman"/>
        </w:rPr>
      </w:pPr>
      <w:r>
        <w:rPr>
          <w:rFonts w:ascii="Times New Roman" w:hAnsi="宋体" w:cs="Times New Roman"/>
        </w:rPr>
        <w:t>应按照《钻井井控技术规程》（</w:t>
      </w:r>
      <w:r>
        <w:rPr>
          <w:rFonts w:ascii="Times New Roman" w:cs="Times New Roman"/>
        </w:rPr>
        <w:t>SY/T 6426-2005</w:t>
      </w:r>
      <w:r>
        <w:rPr>
          <w:rFonts w:ascii="Times New Roman" w:hAnsi="宋体" w:cs="Times New Roman"/>
        </w:rPr>
        <w:t>）、《套管柱试压规范》（</w:t>
      </w:r>
      <w:r>
        <w:rPr>
          <w:rFonts w:ascii="Times New Roman" w:cs="Times New Roman"/>
        </w:rPr>
        <w:t>SY/T 5467-2007</w:t>
      </w:r>
      <w:r>
        <w:rPr>
          <w:rFonts w:ascii="Times New Roman" w:hAnsi="宋体" w:cs="Times New Roman"/>
        </w:rPr>
        <w:t>）、《关于印发</w:t>
      </w:r>
      <w:r>
        <w:rPr>
          <w:rFonts w:ascii="Times New Roman" w:cs="Times New Roman"/>
        </w:rPr>
        <w:t>&lt;</w:t>
      </w:r>
      <w:r>
        <w:rPr>
          <w:rFonts w:ascii="Times New Roman" w:hAnsi="宋体" w:cs="Times New Roman"/>
        </w:rPr>
        <w:t>中国石化石油与天然气井井控管理规定</w:t>
      </w:r>
      <w:r>
        <w:rPr>
          <w:rFonts w:ascii="Times New Roman" w:cs="Times New Roman"/>
        </w:rPr>
        <w:t>&gt;</w:t>
      </w:r>
      <w:r>
        <w:rPr>
          <w:rFonts w:ascii="Times New Roman" w:hAnsi="宋体" w:cs="Times New Roman"/>
        </w:rPr>
        <w:t>的通知》（中国石化安</w:t>
      </w:r>
      <w:r>
        <w:rPr>
          <w:rFonts w:ascii="Times New Roman" w:cs="Times New Roman"/>
        </w:rPr>
        <w:t>[2011]907</w:t>
      </w:r>
      <w:r>
        <w:rPr>
          <w:rFonts w:ascii="Times New Roman" w:hAnsi="宋体" w:cs="Times New Roman"/>
        </w:rPr>
        <w:t>号）等的相关要求进行钻井施工。</w:t>
      </w:r>
    </w:p>
    <w:p>
      <w:pPr>
        <w:pStyle w:val="6"/>
        <w:ind w:firstLine="434" w:firstLineChars="180"/>
        <w:rPr>
          <w:rFonts w:ascii="Times New Roman" w:cs="Times New Roman"/>
          <w:b/>
        </w:rPr>
      </w:pPr>
      <w:r>
        <w:rPr>
          <w:rFonts w:ascii="Times New Roman" w:cs="Times New Roman"/>
          <w:b/>
        </w:rPr>
        <w:t>5</w:t>
      </w:r>
      <w:r>
        <w:rPr>
          <w:rFonts w:ascii="Times New Roman" w:hAnsi="宋体" w:cs="Times New Roman"/>
          <w:b/>
        </w:rPr>
        <w:t>、</w:t>
      </w:r>
      <w:r>
        <w:rPr>
          <w:rFonts w:ascii="Times New Roman" w:cs="Times New Roman"/>
          <w:b/>
        </w:rPr>
        <w:t>完井作业风险防范措施</w:t>
      </w:r>
    </w:p>
    <w:p>
      <w:pPr>
        <w:pStyle w:val="6"/>
        <w:ind w:firstLine="480"/>
        <w:rPr>
          <w:rFonts w:ascii="Times New Roman" w:cs="Times New Roman"/>
        </w:rPr>
      </w:pPr>
      <w:r>
        <w:rPr>
          <w:rFonts w:hint="eastAsia" w:ascii="Times New Roman" w:cs="Times New Roman"/>
        </w:rPr>
        <w:t>应加强油管腐蚀监测，掌握气井腐蚀状况，按井下作业流程检查油管腐蚀情况，记录每口作业井的油管腐蚀情况，根据井油管腐蚀情况进行专门的更换油管修井，以避免油管腐蚀穿孔、断落</w:t>
      </w:r>
      <w:r>
        <w:rPr>
          <w:rFonts w:ascii="Times New Roman" w:cs="Times New Roman"/>
        </w:rPr>
        <w:t>。</w:t>
      </w:r>
    </w:p>
    <w:p>
      <w:pPr>
        <w:pStyle w:val="6"/>
        <w:ind w:firstLine="482"/>
        <w:rPr>
          <w:rFonts w:ascii="Times New Roman" w:cs="Times New Roman"/>
          <w:b/>
        </w:rPr>
      </w:pPr>
      <w:r>
        <w:rPr>
          <w:rFonts w:ascii="Times New Roman" w:cs="Times New Roman"/>
          <w:b/>
        </w:rPr>
        <w:t>6、测试放喷过程风险防范措施</w:t>
      </w:r>
    </w:p>
    <w:p>
      <w:pPr>
        <w:pStyle w:val="6"/>
        <w:ind w:firstLine="480"/>
        <w:rPr>
          <w:rFonts w:ascii="Times New Roman" w:cs="Times New Roman"/>
        </w:rPr>
      </w:pPr>
      <w:r>
        <w:rPr>
          <w:rFonts w:ascii="Times New Roman" w:hAnsi="宋体" w:cs="Times New Roman"/>
        </w:rPr>
        <w:t>本项目测试放喷过程属于风险较高的施工环节，试气作业前按《气井试气、采气及动态监测工艺规程》（</w:t>
      </w:r>
      <w:r>
        <w:rPr>
          <w:rFonts w:ascii="Times New Roman" w:cs="Times New Roman"/>
        </w:rPr>
        <w:t>SY/T 6125-2013</w:t>
      </w:r>
      <w:r>
        <w:rPr>
          <w:rFonts w:ascii="Times New Roman" w:hAnsi="宋体" w:cs="Times New Roman"/>
        </w:rPr>
        <w:t>）等相关标准要求进行试气设计。</w:t>
      </w:r>
    </w:p>
    <w:p>
      <w:pPr>
        <w:pStyle w:val="4"/>
        <w:rPr>
          <w:rFonts w:eastAsia="宋体"/>
        </w:rPr>
      </w:pPr>
      <w:bookmarkStart w:id="566" w:name="_Toc12288752"/>
      <w:r>
        <w:rPr>
          <w:rFonts w:eastAsia="宋体"/>
        </w:rPr>
        <w:t>7.9.2 运营阶段的事故防范措施</w:t>
      </w:r>
    </w:p>
    <w:bookmarkEnd w:id="566"/>
    <w:p>
      <w:pPr>
        <w:pStyle w:val="6"/>
        <w:ind w:firstLine="482"/>
        <w:rPr>
          <w:rFonts w:ascii="Times New Roman" w:cs="Times New Roman"/>
          <w:b/>
          <w:bCs/>
        </w:rPr>
      </w:pPr>
      <w:r>
        <w:rPr>
          <w:rFonts w:ascii="Times New Roman" w:cs="Times New Roman"/>
          <w:b/>
          <w:bCs/>
        </w:rPr>
        <w:t>1、常规环境风险防范措施</w:t>
      </w:r>
    </w:p>
    <w:p>
      <w:pPr>
        <w:pStyle w:val="6"/>
        <w:ind w:firstLine="480"/>
        <w:rPr>
          <w:rFonts w:ascii="Times New Roman" w:cs="Times New Roman"/>
        </w:rPr>
      </w:pPr>
      <w:r>
        <w:rPr>
          <w:rFonts w:hint="eastAsia" w:hAnsi="宋体"/>
        </w:rPr>
        <w:t>①</w:t>
      </w:r>
      <w:r>
        <w:rPr>
          <w:rFonts w:ascii="Times New Roman" w:cs="Times New Roman"/>
        </w:rPr>
        <w:t>严格控制天然气的气质。</w:t>
      </w:r>
    </w:p>
    <w:p>
      <w:pPr>
        <w:pStyle w:val="6"/>
        <w:ind w:firstLine="480"/>
        <w:rPr>
          <w:rFonts w:ascii="Times New Roman" w:cs="Times New Roman"/>
        </w:rPr>
      </w:pPr>
      <w:r>
        <w:rPr>
          <w:rFonts w:hint="eastAsia" w:hAnsi="宋体"/>
        </w:rPr>
        <w:t>②</w:t>
      </w:r>
      <w:r>
        <w:rPr>
          <w:rFonts w:ascii="Times New Roman" w:cs="Times New Roman"/>
        </w:rPr>
        <w:t>定期检查管道安全保护系统（如截断阀、安全阀等），使管道在超压时能够得到安全处理。</w:t>
      </w:r>
    </w:p>
    <w:p>
      <w:pPr>
        <w:pStyle w:val="6"/>
        <w:ind w:firstLine="480"/>
        <w:rPr>
          <w:rFonts w:ascii="Times New Roman" w:cs="Times New Roman"/>
        </w:rPr>
      </w:pPr>
      <w:r>
        <w:rPr>
          <w:rFonts w:hint="eastAsia" w:hAnsi="宋体"/>
        </w:rPr>
        <w:t>③</w:t>
      </w:r>
      <w:r>
        <w:rPr>
          <w:rFonts w:ascii="Times New Roman" w:cs="Times New Roman"/>
        </w:rPr>
        <w:t>在困难地段招募当地农民为义务巡线工，增加困难地段的巡检频次，减少第三方破坏、地质灾害等引发的环境风险事故。</w:t>
      </w:r>
    </w:p>
    <w:p>
      <w:pPr>
        <w:pStyle w:val="6"/>
        <w:ind w:firstLine="480"/>
        <w:rPr>
          <w:rFonts w:ascii="Times New Roman" w:cs="Times New Roman"/>
        </w:rPr>
      </w:pPr>
      <w:r>
        <w:rPr>
          <w:rFonts w:hint="eastAsia" w:hAnsi="宋体"/>
        </w:rPr>
        <w:t>④</w:t>
      </w:r>
      <w:r>
        <w:rPr>
          <w:rFonts w:ascii="Times New Roman" w:cs="Times New Roman"/>
        </w:rPr>
        <w:t>管道标志桩应尽可能清晰。巡线员定期巡线，发现危及管道安全的情况及时处理和汇报。</w:t>
      </w:r>
    </w:p>
    <w:p>
      <w:pPr>
        <w:pStyle w:val="6"/>
        <w:ind w:firstLine="480"/>
        <w:rPr>
          <w:rFonts w:ascii="Times New Roman" w:cs="Times New Roman"/>
        </w:rPr>
      </w:pPr>
      <w:r>
        <w:rPr>
          <w:rFonts w:hint="eastAsia" w:hAnsi="宋体"/>
        </w:rPr>
        <w:t>⑤</w:t>
      </w:r>
      <w:r>
        <w:rPr>
          <w:rFonts w:ascii="Times New Roman" w:cs="Times New Roman"/>
        </w:rPr>
        <w:t>建设单位设有应急抢、维修指挥中心，并在其下属各作业区设有抢、维修队伍和装备，但由于本工程管道部分地处山区，路况较差，为能及时处理事故，营救伤员，建议配备性能优良的抢险车辆，保证事故后第一时间到达现场。</w:t>
      </w:r>
    </w:p>
    <w:p>
      <w:pPr>
        <w:pStyle w:val="6"/>
        <w:ind w:firstLine="480"/>
        <w:rPr>
          <w:rFonts w:ascii="Times New Roman" w:cs="Times New Roman"/>
        </w:rPr>
      </w:pPr>
      <w:r>
        <w:rPr>
          <w:rFonts w:hint="eastAsia" w:hAnsi="宋体"/>
        </w:rPr>
        <w:t>⑥</w:t>
      </w:r>
      <w:r>
        <w:rPr>
          <w:rFonts w:ascii="Times New Roman" w:cs="Times New Roman"/>
        </w:rPr>
        <w:t>在管道系统投产运行前，应</w:t>
      </w:r>
      <w:r>
        <w:rPr>
          <w:rFonts w:hint="eastAsia" w:ascii="Times New Roman" w:cs="Times New Roman"/>
          <w:lang w:eastAsia="zh-CN"/>
        </w:rPr>
        <w:t>制定</w:t>
      </w:r>
      <w:r>
        <w:rPr>
          <w:rFonts w:ascii="Times New Roman" w:cs="Times New Roman"/>
        </w:rPr>
        <w:t>出供正常、异常或紧急状态下的操作手册和维修手册，并对操作、维修人员进行培训，持证上岗。</w:t>
      </w:r>
    </w:p>
    <w:p>
      <w:pPr>
        <w:pStyle w:val="6"/>
        <w:ind w:firstLine="480"/>
        <w:rPr>
          <w:rFonts w:ascii="Times New Roman" w:cs="Times New Roman"/>
        </w:rPr>
      </w:pPr>
      <w:r>
        <w:rPr>
          <w:rFonts w:hint="eastAsia" w:hAnsi="宋体"/>
        </w:rPr>
        <w:t>⑦</w:t>
      </w:r>
      <w:r>
        <w:rPr>
          <w:rFonts w:hint="eastAsia" w:ascii="Times New Roman" w:cs="Times New Roman"/>
          <w:lang w:eastAsia="zh-CN"/>
        </w:rPr>
        <w:t>制定</w:t>
      </w:r>
      <w:r>
        <w:rPr>
          <w:rFonts w:ascii="Times New Roman" w:cs="Times New Roman"/>
        </w:rPr>
        <w:t>应急操作规程，在规程中应说明发生管道事故时应采取的操作步骤，规定抢修进度，限制事故的影响，另外还应说明与管道操作人员有关的安全问题。</w:t>
      </w:r>
    </w:p>
    <w:p>
      <w:pPr>
        <w:pStyle w:val="6"/>
        <w:ind w:firstLine="480"/>
        <w:rPr>
          <w:rFonts w:ascii="Times New Roman" w:cs="Times New Roman"/>
        </w:rPr>
      </w:pPr>
      <w:r>
        <w:rPr>
          <w:rFonts w:hint="eastAsia" w:hAnsi="宋体"/>
        </w:rPr>
        <w:t>⑧</w:t>
      </w:r>
      <w:r>
        <w:rPr>
          <w:rFonts w:ascii="Times New Roman" w:cs="Times New Roman"/>
        </w:rPr>
        <w:t>操作人员每周应进行安全活动，提高职工的安全意识，识别事故发生前的异常状态，并采取相应的措施。</w:t>
      </w:r>
    </w:p>
    <w:p>
      <w:pPr>
        <w:pStyle w:val="6"/>
        <w:ind w:firstLine="480"/>
        <w:rPr>
          <w:rFonts w:ascii="Times New Roman" w:cs="Times New Roman"/>
        </w:rPr>
      </w:pPr>
      <w:r>
        <w:rPr>
          <w:rFonts w:hint="eastAsia" w:hAnsi="宋体"/>
        </w:rPr>
        <w:t>⑨</w:t>
      </w:r>
      <w:r>
        <w:rPr>
          <w:rFonts w:ascii="Times New Roman" w:cs="Times New Roman"/>
        </w:rPr>
        <w:t>对重要的仪器设备有完善的检查项目、维护方法；按计划进行定期维护；有专门档案（包括维护记录档案），文件齐全。</w:t>
      </w:r>
    </w:p>
    <w:p>
      <w:pPr>
        <w:pStyle w:val="6"/>
        <w:ind w:firstLine="480"/>
        <w:rPr>
          <w:rFonts w:ascii="Times New Roman" w:cs="Times New Roman"/>
        </w:rPr>
      </w:pPr>
      <w:r>
        <w:rPr>
          <w:rFonts w:hint="eastAsia" w:hAnsi="宋体"/>
        </w:rPr>
        <w:t>⑩</w:t>
      </w:r>
      <w:r>
        <w:rPr>
          <w:rFonts w:ascii="Times New Roman" w:cs="Times New Roman"/>
        </w:rPr>
        <w:t>对管道沿线的居民作好宣传，张贴《中华人民共和国石油天然气管道保护法》（中华人民共和国主席令第30号），加强居民认识。</w:t>
      </w:r>
    </w:p>
    <w:p>
      <w:pPr>
        <w:pStyle w:val="6"/>
        <w:ind w:firstLine="480"/>
        <w:rPr>
          <w:rFonts w:ascii="Times New Roman" w:cs="Times New Roman"/>
        </w:rPr>
      </w:pPr>
      <w:r>
        <w:rPr>
          <w:rFonts w:ascii="Cambria Math" w:hAnsi="Cambria Math" w:cs="Cambria Math"/>
        </w:rPr>
        <w:t>⑪</w:t>
      </w:r>
      <w:r>
        <w:rPr>
          <w:rFonts w:ascii="Times New Roman" w:cs="Times New Roman"/>
        </w:rPr>
        <w:t>建设单位设有应急抢、维修指挥中心，并在其下属各作业区设有抢、维修队伍和装备，但由于本工程管道部分地处山区，路况较差，为能及时处理事故，营救伤员，建议配备性能优良的抢险车辆，保证事故后第一时间到达现场。</w:t>
      </w:r>
    </w:p>
    <w:p>
      <w:pPr>
        <w:pStyle w:val="6"/>
        <w:ind w:firstLine="480"/>
        <w:rPr>
          <w:rFonts w:ascii="Times New Roman" w:cs="Times New Roman"/>
        </w:rPr>
      </w:pPr>
      <w:r>
        <w:rPr>
          <w:rFonts w:ascii="Cambria Math" w:hAnsi="Cambria Math" w:cs="Cambria Math"/>
        </w:rPr>
        <w:t>⑫</w:t>
      </w:r>
      <w:r>
        <w:rPr>
          <w:rFonts w:ascii="Times New Roman" w:cs="Times New Roman"/>
        </w:rPr>
        <w:t>对管道两侧200m范围内的受管道风险事故影响的集中居民区和社会关注区的居民、医生、病人、教师、学生、风景区管理人员和游客等作好事故应急宣传，保证一旦发生天然气泄漏事故时，能作出正确反应。巡线工应加强集中居民区段和社会关注区段的巡线工作，发现隐患及时汇报和处理。</w:t>
      </w:r>
    </w:p>
    <w:p>
      <w:pPr>
        <w:pStyle w:val="6"/>
        <w:ind w:firstLine="480"/>
        <w:rPr>
          <w:rFonts w:ascii="Times New Roman" w:cs="Times New Roman"/>
        </w:rPr>
      </w:pPr>
      <w:r>
        <w:rPr>
          <w:rFonts w:ascii="Cambria Math" w:hAnsi="Cambria Math" w:cs="Cambria Math"/>
        </w:rPr>
        <w:t>⑬</w:t>
      </w:r>
      <w:r>
        <w:rPr>
          <w:rFonts w:ascii="Times New Roman" w:cs="Times New Roman"/>
        </w:rPr>
        <w:t>管道穿越林区时，应根据《森林防火条例》制定森林防火应急预案。如果管道穿孔或破裂后，泄漏天然气在林区段引发火灾时，应及时切断气源并同时联系当地消防部门灭火。</w:t>
      </w:r>
    </w:p>
    <w:p>
      <w:pPr>
        <w:pStyle w:val="6"/>
        <w:ind w:firstLine="480"/>
        <w:rPr>
          <w:rFonts w:ascii="Times New Roman" w:cs="Times New Roman"/>
        </w:rPr>
      </w:pPr>
      <w:r>
        <w:rPr>
          <w:rFonts w:ascii="Cambria Math" w:hAnsi="Cambria Math" w:cs="Cambria Math"/>
        </w:rPr>
        <w:t>⑭</w:t>
      </w:r>
      <w:r>
        <w:rPr>
          <w:rFonts w:ascii="Times New Roman" w:cs="Times New Roman"/>
        </w:rPr>
        <w:t>建设单位应随时保持与管道沿线县、区规划部门的联系，杜绝沿线乡镇建设过程中的占管、压管及其他破坏管道的活动，降低第三方破坏管道引发环境风险事故的可能性。</w:t>
      </w:r>
    </w:p>
    <w:p>
      <w:pPr>
        <w:ind w:firstLine="482"/>
        <w:rPr>
          <w:rFonts w:ascii="Times New Roman" w:cs="Times New Roman"/>
          <w:b/>
          <w:bCs/>
        </w:rPr>
      </w:pPr>
      <w:r>
        <w:rPr>
          <w:rFonts w:ascii="Times New Roman" w:cs="Times New Roman"/>
          <w:b/>
          <w:bCs/>
        </w:rPr>
        <w:t>2、</w:t>
      </w:r>
      <w:r>
        <w:rPr>
          <w:rFonts w:hint="eastAsia" w:ascii="Times New Roman" w:cs="Times New Roman"/>
          <w:b/>
          <w:bCs/>
        </w:rPr>
        <w:t>天然气</w:t>
      </w:r>
      <w:r>
        <w:rPr>
          <w:rFonts w:ascii="Times New Roman" w:cs="Times New Roman"/>
          <w:b/>
          <w:bCs/>
        </w:rPr>
        <w:t>泄漏的相关措施</w:t>
      </w:r>
    </w:p>
    <w:p>
      <w:pPr>
        <w:pStyle w:val="112"/>
        <w:ind w:firstLine="480"/>
      </w:pPr>
      <w:r>
        <w:rPr>
          <w:rFonts w:hint="eastAsia" w:ascii="宋体" w:hAnsi="宋体" w:cs="宋体"/>
        </w:rPr>
        <w:t>①</w:t>
      </w:r>
      <w:r>
        <w:t>制定应急救援预案并定期演练，出现事故后必须立即向当地政府报告，同时通知事故影响范围内的厂矿企业和居民立即撤离，并组织和协助当地政府作好事故影响范围内居民的疏散工作。根据当地情况，应立即组织周边居民向管道上风向方向进行撤离。考虑风向、地形、人口密度、受影响程度等情况及时作出风险和危害程度评估，决定是否扩大撤离范围。</w:t>
      </w:r>
    </w:p>
    <w:p>
      <w:pPr>
        <w:pStyle w:val="112"/>
        <w:ind w:firstLine="480"/>
      </w:pPr>
      <w:r>
        <w:rPr>
          <w:rFonts w:hint="eastAsia" w:ascii="宋体" w:hAnsi="宋体" w:cs="宋体"/>
        </w:rPr>
        <w:t>②</w:t>
      </w:r>
      <w:r>
        <w:t>确保项目的紧急切断装置保持正常状态，确保在事故状态下能够做到立即进行放空作业，以减缓</w:t>
      </w:r>
      <w:r>
        <w:rPr>
          <w:rFonts w:hint="eastAsia"/>
        </w:rPr>
        <w:t>泄漏天然气</w:t>
      </w:r>
      <w:r>
        <w:t>对周边环境造成的影响。</w:t>
      </w:r>
    </w:p>
    <w:p>
      <w:pPr>
        <w:pStyle w:val="112"/>
        <w:ind w:firstLine="480"/>
      </w:pPr>
      <w:r>
        <w:rPr>
          <w:rFonts w:hint="eastAsia" w:ascii="宋体" w:hAnsi="宋体" w:cs="宋体"/>
        </w:rPr>
        <w:t>③</w:t>
      </w:r>
      <w:r>
        <w:t>管线发生泄漏后，应在泄漏点下风向立即设置临时观察点，定时取样，监测（大气/空气）中的（天然气的浓度），划分安全范围，并根据监测情况决定是否扩大撤离范围。</w:t>
      </w:r>
    </w:p>
    <w:p>
      <w:pPr>
        <w:pStyle w:val="112"/>
        <w:ind w:firstLine="480"/>
      </w:pPr>
      <w:r>
        <w:rPr>
          <w:rFonts w:hint="eastAsia" w:ascii="宋体" w:hAnsi="宋体" w:cs="宋体"/>
        </w:rPr>
        <w:t>④</w:t>
      </w:r>
      <w:r>
        <w:t>迅速成立现场抢险领导小组，根据失控状况制定抢险方案，统一指挥、组织和协调抢险工作。抢险方案</w:t>
      </w:r>
      <w:r>
        <w:rPr>
          <w:rFonts w:hint="eastAsia"/>
          <w:lang w:eastAsia="zh-CN"/>
        </w:rPr>
        <w:t>制定</w:t>
      </w:r>
      <w:r>
        <w:t>及实施，要把环境保护同时考虑，同时实施，防止出现次生环境事故。</w:t>
      </w:r>
    </w:p>
    <w:p>
      <w:pPr>
        <w:pStyle w:val="112"/>
        <w:ind w:firstLine="482"/>
        <w:rPr>
          <w:b/>
          <w:bCs/>
        </w:rPr>
      </w:pPr>
      <w:r>
        <w:rPr>
          <w:b/>
          <w:bCs/>
        </w:rPr>
        <w:t>3、</w:t>
      </w:r>
      <w:r>
        <w:rPr>
          <w:rFonts w:hint="eastAsia"/>
          <w:b/>
          <w:bCs/>
        </w:rPr>
        <w:t>柴油</w:t>
      </w:r>
      <w:r>
        <w:rPr>
          <w:b/>
          <w:bCs/>
        </w:rPr>
        <w:t>泄漏风险防范措施</w:t>
      </w:r>
    </w:p>
    <w:p>
      <w:pPr>
        <w:pStyle w:val="112"/>
        <w:ind w:firstLine="480"/>
        <w:rPr>
          <w:szCs w:val="24"/>
        </w:rPr>
      </w:pPr>
      <w:r>
        <w:rPr>
          <w:rFonts w:hint="eastAsia" w:ascii="宋体" w:hAnsi="宋体" w:cs="宋体"/>
          <w:szCs w:val="24"/>
        </w:rPr>
        <w:t>①</w:t>
      </w:r>
      <w:r>
        <w:rPr>
          <w:rFonts w:hint="eastAsia"/>
          <w:szCs w:val="24"/>
        </w:rPr>
        <w:t>柴油储罐</w:t>
      </w:r>
      <w:r>
        <w:rPr>
          <w:szCs w:val="24"/>
        </w:rPr>
        <w:t>四周设置围堰</w:t>
      </w:r>
      <w:r>
        <w:rPr>
          <w:rFonts w:hint="eastAsia"/>
          <w:szCs w:val="24"/>
        </w:rPr>
        <w:t>，</w:t>
      </w:r>
      <w:r>
        <w:rPr>
          <w:szCs w:val="24"/>
        </w:rPr>
        <w:t>并进行防渗处理，避免泄漏物料进入环境。</w:t>
      </w:r>
    </w:p>
    <w:p>
      <w:pPr>
        <w:pStyle w:val="112"/>
        <w:ind w:firstLine="480"/>
        <w:rPr>
          <w:szCs w:val="24"/>
        </w:rPr>
      </w:pPr>
      <w:r>
        <w:rPr>
          <w:rFonts w:hint="eastAsia" w:ascii="宋体" w:hAnsi="宋体" w:cs="宋体"/>
          <w:szCs w:val="24"/>
        </w:rPr>
        <w:t>②</w:t>
      </w:r>
      <w:r>
        <w:rPr>
          <w:szCs w:val="24"/>
        </w:rPr>
        <w:t>做好日常安全检查，定期检测罐体的完好情况，避免</w:t>
      </w:r>
      <w:r>
        <w:rPr>
          <w:rFonts w:hint="eastAsia"/>
          <w:szCs w:val="24"/>
        </w:rPr>
        <w:t>柴油</w:t>
      </w:r>
      <w:r>
        <w:rPr>
          <w:szCs w:val="24"/>
        </w:rPr>
        <w:t>泄漏导致环境风险事故。定期对储罐进行维护</w:t>
      </w:r>
      <w:r>
        <w:rPr>
          <w:rFonts w:hint="eastAsia"/>
          <w:szCs w:val="24"/>
        </w:rPr>
        <w:t>检修</w:t>
      </w:r>
      <w:r>
        <w:rPr>
          <w:szCs w:val="24"/>
        </w:rPr>
        <w:t>。</w:t>
      </w:r>
    </w:p>
    <w:p>
      <w:pPr>
        <w:pStyle w:val="112"/>
        <w:ind w:firstLine="480"/>
        <w:rPr>
          <w:szCs w:val="24"/>
        </w:rPr>
      </w:pPr>
      <w:r>
        <w:rPr>
          <w:rFonts w:hint="eastAsia" w:ascii="宋体" w:hAnsi="宋体" w:cs="宋体"/>
          <w:szCs w:val="24"/>
        </w:rPr>
        <w:t>③</w:t>
      </w:r>
      <w:r>
        <w:rPr>
          <w:szCs w:val="24"/>
        </w:rPr>
        <w:t>站场内按要求储备灭火毯、干沙等消防用品，可用作泄漏时吸收之用。</w:t>
      </w:r>
    </w:p>
    <w:p>
      <w:pPr>
        <w:pStyle w:val="112"/>
        <w:ind w:firstLine="480"/>
      </w:pPr>
      <w:r>
        <w:rPr>
          <w:rFonts w:hint="eastAsia" w:ascii="宋体" w:hAnsi="宋体" w:cs="宋体"/>
          <w:szCs w:val="24"/>
        </w:rPr>
        <w:t>④</w:t>
      </w:r>
      <w:r>
        <w:t>在发现</w:t>
      </w:r>
      <w:r>
        <w:rPr>
          <w:rFonts w:hint="eastAsia"/>
          <w:szCs w:val="24"/>
        </w:rPr>
        <w:t>柴油储罐</w:t>
      </w:r>
      <w:r>
        <w:t>泄漏时立即进行截断，减小对地下水和土壤环境影响。</w:t>
      </w:r>
    </w:p>
    <w:p>
      <w:pPr>
        <w:pStyle w:val="112"/>
        <w:ind w:firstLine="482"/>
        <w:rPr>
          <w:b/>
          <w:bCs/>
        </w:rPr>
      </w:pPr>
      <w:r>
        <w:rPr>
          <w:rFonts w:hint="eastAsia"/>
          <w:b/>
          <w:bCs/>
        </w:rPr>
        <w:t>4</w:t>
      </w:r>
      <w:r>
        <w:rPr>
          <w:b/>
          <w:bCs/>
        </w:rPr>
        <w:t>、</w:t>
      </w:r>
      <w:r>
        <w:rPr>
          <w:rFonts w:hint="eastAsia"/>
          <w:b/>
          <w:bCs/>
        </w:rPr>
        <w:t>凝析油</w:t>
      </w:r>
      <w:r>
        <w:rPr>
          <w:b/>
          <w:bCs/>
        </w:rPr>
        <w:t>泄漏风险防范措施</w:t>
      </w:r>
    </w:p>
    <w:p>
      <w:pPr>
        <w:pStyle w:val="112"/>
        <w:ind w:firstLine="480"/>
        <w:rPr>
          <w:szCs w:val="24"/>
        </w:rPr>
      </w:pPr>
      <w:r>
        <w:rPr>
          <w:rFonts w:hint="eastAsia" w:ascii="宋体" w:hAnsi="宋体" w:cs="宋体"/>
          <w:szCs w:val="24"/>
        </w:rPr>
        <w:t>①</w:t>
      </w:r>
      <w:r>
        <w:rPr>
          <w:szCs w:val="24"/>
        </w:rPr>
        <w:t>、</w:t>
      </w:r>
      <w:r>
        <w:rPr>
          <w:rFonts w:hint="eastAsia"/>
          <w:szCs w:val="24"/>
        </w:rPr>
        <w:t>凝析油储存</w:t>
      </w:r>
      <w:r>
        <w:rPr>
          <w:szCs w:val="24"/>
        </w:rPr>
        <w:t>罐四周设置围堰</w:t>
      </w:r>
      <w:r>
        <w:rPr>
          <w:rFonts w:hint="eastAsia"/>
          <w:szCs w:val="24"/>
        </w:rPr>
        <w:t>，</w:t>
      </w:r>
      <w:r>
        <w:rPr>
          <w:szCs w:val="24"/>
        </w:rPr>
        <w:t>并进行防渗处理，避免泄漏物料进入环境。</w:t>
      </w:r>
    </w:p>
    <w:p>
      <w:pPr>
        <w:pStyle w:val="112"/>
        <w:ind w:firstLine="480"/>
        <w:rPr>
          <w:szCs w:val="24"/>
        </w:rPr>
      </w:pPr>
      <w:r>
        <w:rPr>
          <w:rFonts w:hint="eastAsia" w:ascii="宋体" w:hAnsi="宋体" w:cs="宋体"/>
          <w:szCs w:val="24"/>
        </w:rPr>
        <w:t>②</w:t>
      </w:r>
      <w:r>
        <w:rPr>
          <w:szCs w:val="24"/>
        </w:rPr>
        <w:t>、做好日常安全检查，定期检测罐体的完好情况，避免</w:t>
      </w:r>
      <w:r>
        <w:rPr>
          <w:rFonts w:hint="eastAsia"/>
          <w:szCs w:val="24"/>
        </w:rPr>
        <w:t>凝析油</w:t>
      </w:r>
      <w:r>
        <w:rPr>
          <w:szCs w:val="24"/>
        </w:rPr>
        <w:t>泄漏导致环境风险事故。定期检查</w:t>
      </w:r>
      <w:r>
        <w:rPr>
          <w:rFonts w:hint="eastAsia"/>
          <w:kern w:val="2"/>
          <w:szCs w:val="22"/>
        </w:rPr>
        <w:t>凝析油储存</w:t>
      </w:r>
      <w:r>
        <w:rPr>
          <w:kern w:val="2"/>
          <w:szCs w:val="22"/>
        </w:rPr>
        <w:t>罐</w:t>
      </w:r>
      <w:r>
        <w:rPr>
          <w:szCs w:val="24"/>
        </w:rPr>
        <w:t>安全保护系统（如截断阀、安全阀等），使管道在超压时能够得到安全处理。</w:t>
      </w:r>
    </w:p>
    <w:p>
      <w:pPr>
        <w:pStyle w:val="112"/>
        <w:ind w:firstLine="480"/>
        <w:rPr>
          <w:szCs w:val="24"/>
        </w:rPr>
      </w:pPr>
      <w:r>
        <w:rPr>
          <w:rFonts w:hint="eastAsia" w:ascii="宋体" w:hAnsi="宋体" w:cs="宋体"/>
          <w:szCs w:val="24"/>
        </w:rPr>
        <w:t>③</w:t>
      </w:r>
      <w:r>
        <w:rPr>
          <w:szCs w:val="24"/>
        </w:rPr>
        <w:t>、站场内按要求储备灭火毯、干沙等消防用品，可用作泄漏时吸收之用。</w:t>
      </w:r>
    </w:p>
    <w:p>
      <w:pPr>
        <w:pStyle w:val="112"/>
        <w:ind w:firstLine="480"/>
      </w:pPr>
      <w:r>
        <w:rPr>
          <w:rFonts w:hint="eastAsia" w:ascii="宋体" w:hAnsi="宋体" w:cs="宋体"/>
          <w:szCs w:val="24"/>
        </w:rPr>
        <w:t>④</w:t>
      </w:r>
      <w:r>
        <w:rPr>
          <w:szCs w:val="24"/>
        </w:rPr>
        <w:t>、</w:t>
      </w:r>
      <w:r>
        <w:t>在发现</w:t>
      </w:r>
      <w:r>
        <w:rPr>
          <w:rFonts w:hint="eastAsia"/>
          <w:kern w:val="2"/>
          <w:szCs w:val="22"/>
        </w:rPr>
        <w:t>凝析油储存</w:t>
      </w:r>
      <w:r>
        <w:rPr>
          <w:kern w:val="2"/>
          <w:szCs w:val="22"/>
        </w:rPr>
        <w:t>罐</w:t>
      </w:r>
      <w:r>
        <w:t>泄漏时立即进行截断，减小对地下水和土壤环境影响。</w:t>
      </w:r>
    </w:p>
    <w:p>
      <w:pPr>
        <w:pStyle w:val="112"/>
        <w:ind w:firstLine="482"/>
        <w:rPr>
          <w:b/>
          <w:bCs/>
        </w:rPr>
      </w:pPr>
      <w:r>
        <w:rPr>
          <w:rFonts w:hint="eastAsia"/>
          <w:b/>
          <w:bCs/>
        </w:rPr>
        <w:t>5</w:t>
      </w:r>
      <w:r>
        <w:rPr>
          <w:b/>
          <w:bCs/>
        </w:rPr>
        <w:t>、</w:t>
      </w:r>
      <w:r>
        <w:rPr>
          <w:rFonts w:hint="eastAsia"/>
          <w:b/>
          <w:bCs/>
        </w:rPr>
        <w:t>压裂、洗井废水</w:t>
      </w:r>
      <w:r>
        <w:rPr>
          <w:b/>
          <w:bCs/>
        </w:rPr>
        <w:t>泄漏风险防范措施</w:t>
      </w:r>
    </w:p>
    <w:p>
      <w:pPr>
        <w:pStyle w:val="112"/>
        <w:ind w:firstLine="480"/>
        <w:rPr>
          <w:szCs w:val="24"/>
        </w:rPr>
      </w:pPr>
      <w:r>
        <w:rPr>
          <w:rFonts w:hint="eastAsia" w:ascii="宋体" w:hAnsi="宋体" w:cs="宋体"/>
          <w:szCs w:val="24"/>
        </w:rPr>
        <w:t>①</w:t>
      </w:r>
      <w:r>
        <w:rPr>
          <w:rFonts w:hint="eastAsia"/>
          <w:szCs w:val="24"/>
        </w:rPr>
        <w:t>污水池</w:t>
      </w:r>
      <w:r>
        <w:rPr>
          <w:szCs w:val="24"/>
        </w:rPr>
        <w:t>池底和池壁进行防渗处理，避免泄漏物料进入环境。</w:t>
      </w:r>
    </w:p>
    <w:p>
      <w:pPr>
        <w:pStyle w:val="112"/>
        <w:ind w:firstLine="480"/>
        <w:rPr>
          <w:szCs w:val="24"/>
        </w:rPr>
      </w:pPr>
      <w:r>
        <w:rPr>
          <w:rFonts w:hint="eastAsia" w:ascii="宋体" w:hAnsi="宋体" w:cs="宋体"/>
          <w:szCs w:val="24"/>
        </w:rPr>
        <w:t>②</w:t>
      </w:r>
      <w:r>
        <w:rPr>
          <w:szCs w:val="24"/>
        </w:rPr>
        <w:t>做好日常安全检查，定期</w:t>
      </w:r>
      <w:r>
        <w:rPr>
          <w:rFonts w:hint="eastAsia"/>
          <w:szCs w:val="24"/>
        </w:rPr>
        <w:t>污水池</w:t>
      </w:r>
      <w:r>
        <w:rPr>
          <w:szCs w:val="24"/>
        </w:rPr>
        <w:t>的完好情况，避免</w:t>
      </w:r>
      <w:r>
        <w:rPr>
          <w:rFonts w:hint="eastAsia"/>
        </w:rPr>
        <w:t>压裂、洗井废水</w:t>
      </w:r>
      <w:r>
        <w:rPr>
          <w:szCs w:val="24"/>
        </w:rPr>
        <w:t>泄漏导致环境风险事故。</w:t>
      </w:r>
    </w:p>
    <w:p>
      <w:pPr>
        <w:pStyle w:val="112"/>
        <w:ind w:firstLine="480"/>
        <w:rPr>
          <w:szCs w:val="24"/>
        </w:rPr>
      </w:pPr>
      <w:r>
        <w:rPr>
          <w:rFonts w:hint="eastAsia" w:ascii="宋体" w:hAnsi="宋体" w:cs="宋体"/>
          <w:szCs w:val="24"/>
        </w:rPr>
        <w:t>③</w:t>
      </w:r>
      <w:r>
        <w:rPr>
          <w:szCs w:val="24"/>
        </w:rPr>
        <w:t>站场内按要求储备灭火毯、干沙等消防用品，可用作泄漏时吸收之用。</w:t>
      </w:r>
    </w:p>
    <w:p>
      <w:pPr>
        <w:pStyle w:val="112"/>
        <w:ind w:firstLine="480"/>
      </w:pPr>
      <w:r>
        <w:rPr>
          <w:rFonts w:hint="eastAsia" w:ascii="宋体" w:hAnsi="宋体" w:cs="宋体"/>
          <w:szCs w:val="24"/>
        </w:rPr>
        <w:t>④</w:t>
      </w:r>
      <w:r>
        <w:t>在发现</w:t>
      </w:r>
      <w:r>
        <w:rPr>
          <w:rFonts w:hint="eastAsia"/>
          <w:kern w:val="2"/>
          <w:szCs w:val="22"/>
        </w:rPr>
        <w:t>污水池</w:t>
      </w:r>
      <w:r>
        <w:t>泄漏时立即进行截断，减小对地下水和土壤环境影响。</w:t>
      </w:r>
    </w:p>
    <w:p>
      <w:pPr>
        <w:pStyle w:val="112"/>
        <w:ind w:firstLine="482"/>
        <w:rPr>
          <w:b/>
          <w:bCs/>
        </w:rPr>
      </w:pPr>
      <w:r>
        <w:rPr>
          <w:rFonts w:hint="eastAsia"/>
          <w:b/>
          <w:bCs/>
        </w:rPr>
        <w:t>6</w:t>
      </w:r>
      <w:r>
        <w:rPr>
          <w:b/>
          <w:bCs/>
        </w:rPr>
        <w:t>、</w:t>
      </w:r>
      <w:r>
        <w:rPr>
          <w:rFonts w:hint="eastAsia"/>
          <w:b/>
          <w:bCs/>
        </w:rPr>
        <w:t>气田水</w:t>
      </w:r>
      <w:r>
        <w:rPr>
          <w:b/>
          <w:bCs/>
        </w:rPr>
        <w:t>泄漏风险防范措施</w:t>
      </w:r>
    </w:p>
    <w:p>
      <w:pPr>
        <w:pStyle w:val="112"/>
        <w:ind w:firstLine="480"/>
        <w:rPr>
          <w:szCs w:val="24"/>
        </w:rPr>
      </w:pPr>
      <w:r>
        <w:rPr>
          <w:rFonts w:hint="eastAsia" w:ascii="宋体" w:hAnsi="宋体" w:cs="宋体"/>
          <w:szCs w:val="24"/>
        </w:rPr>
        <w:t>①</w:t>
      </w:r>
      <w:r>
        <w:rPr>
          <w:szCs w:val="24"/>
        </w:rPr>
        <w:t>污水缓冲罐四周设置围堰</w:t>
      </w:r>
      <w:r>
        <w:rPr>
          <w:rFonts w:hint="eastAsia"/>
          <w:szCs w:val="24"/>
        </w:rPr>
        <w:t>，</w:t>
      </w:r>
      <w:r>
        <w:rPr>
          <w:szCs w:val="24"/>
        </w:rPr>
        <w:t>并进行防渗处理，避免泄漏物料进入环境。</w:t>
      </w:r>
    </w:p>
    <w:p>
      <w:pPr>
        <w:pStyle w:val="112"/>
        <w:ind w:firstLine="480"/>
        <w:rPr>
          <w:szCs w:val="24"/>
        </w:rPr>
      </w:pPr>
      <w:r>
        <w:rPr>
          <w:rFonts w:hint="eastAsia" w:ascii="宋体" w:hAnsi="宋体" w:cs="宋体"/>
          <w:szCs w:val="24"/>
        </w:rPr>
        <w:t>②</w:t>
      </w:r>
      <w:r>
        <w:rPr>
          <w:szCs w:val="24"/>
        </w:rPr>
        <w:t>做好日常安全检查，定期检测罐体的完好情况，避免</w:t>
      </w:r>
      <w:r>
        <w:rPr>
          <w:rFonts w:hint="eastAsia"/>
        </w:rPr>
        <w:t>气田水</w:t>
      </w:r>
      <w:r>
        <w:rPr>
          <w:szCs w:val="24"/>
        </w:rPr>
        <w:t>泄漏导致环境风险事故。定期检查</w:t>
      </w:r>
      <w:r>
        <w:rPr>
          <w:kern w:val="2"/>
          <w:szCs w:val="22"/>
        </w:rPr>
        <w:t>污水缓冲罐</w:t>
      </w:r>
      <w:r>
        <w:rPr>
          <w:szCs w:val="24"/>
        </w:rPr>
        <w:t>安全保护系统（如截断阀、安全阀等），使管道在超压时能够得到安全处理。</w:t>
      </w:r>
    </w:p>
    <w:p>
      <w:pPr>
        <w:pStyle w:val="112"/>
        <w:ind w:firstLine="480"/>
        <w:rPr>
          <w:szCs w:val="24"/>
        </w:rPr>
      </w:pPr>
      <w:r>
        <w:rPr>
          <w:rFonts w:hint="eastAsia" w:ascii="宋体" w:hAnsi="宋体" w:cs="宋体"/>
          <w:szCs w:val="24"/>
        </w:rPr>
        <w:t>③</w:t>
      </w:r>
      <w:r>
        <w:rPr>
          <w:szCs w:val="24"/>
        </w:rPr>
        <w:t>站场内按要求储备灭火毯、干沙等消防用品，可用作泄漏时吸收之用。</w:t>
      </w:r>
    </w:p>
    <w:p>
      <w:pPr>
        <w:pStyle w:val="112"/>
        <w:ind w:firstLine="480"/>
      </w:pPr>
      <w:r>
        <w:rPr>
          <w:rFonts w:hint="eastAsia" w:ascii="宋体" w:hAnsi="宋体" w:cs="宋体"/>
          <w:szCs w:val="24"/>
        </w:rPr>
        <w:t>④</w:t>
      </w:r>
      <w:r>
        <w:t>在发现</w:t>
      </w:r>
      <w:r>
        <w:rPr>
          <w:kern w:val="2"/>
          <w:szCs w:val="22"/>
        </w:rPr>
        <w:t>污水缓冲罐</w:t>
      </w:r>
      <w:r>
        <w:t>泄漏时立即进行截断，减小对地下水和土壤环境影响。</w:t>
      </w:r>
    </w:p>
    <w:p>
      <w:pPr>
        <w:pStyle w:val="6"/>
        <w:ind w:firstLine="482"/>
        <w:rPr>
          <w:rFonts w:ascii="Times New Roman" w:cs="Times New Roman"/>
          <w:b/>
        </w:rPr>
      </w:pPr>
      <w:r>
        <w:rPr>
          <w:rFonts w:hint="eastAsia" w:ascii="Times New Roman" w:cs="Times New Roman"/>
          <w:b/>
        </w:rPr>
        <w:t>7</w:t>
      </w:r>
      <w:r>
        <w:rPr>
          <w:rFonts w:ascii="Times New Roman" w:cs="Times New Roman"/>
          <w:b/>
        </w:rPr>
        <w:t>、特别强调的风险防范措施</w:t>
      </w:r>
    </w:p>
    <w:p>
      <w:pPr>
        <w:pStyle w:val="112"/>
        <w:ind w:firstLine="480"/>
      </w:pPr>
      <w:r>
        <w:rPr>
          <w:rFonts w:hint="eastAsia" w:ascii="宋体" w:hAnsi="宋体" w:cs="宋体"/>
        </w:rPr>
        <w:t>①</w:t>
      </w:r>
      <w:r>
        <w:t>本工程所属公司应建立健全的义务消防组织，熟悉灭火作战方案，定期组织演练。应定期对消防设施、消防器材和灭火剂进行检查。灭火剂应每年全面检查一次，并定期更换。</w:t>
      </w:r>
    </w:p>
    <w:p>
      <w:pPr>
        <w:pStyle w:val="112"/>
        <w:ind w:firstLine="480"/>
      </w:pPr>
      <w:r>
        <w:rPr>
          <w:rFonts w:hint="eastAsia" w:ascii="宋体" w:hAnsi="宋体" w:cs="宋体"/>
        </w:rPr>
        <w:t>②</w:t>
      </w:r>
      <w:r>
        <w:t>岗位值班人员和干部对消防器材和消防设备应作到懂原理、懂性能、懂结构、懂用途、会使用、会保养、会检查。</w:t>
      </w:r>
    </w:p>
    <w:p>
      <w:pPr>
        <w:pStyle w:val="112"/>
        <w:ind w:firstLine="480"/>
      </w:pPr>
      <w:r>
        <w:rPr>
          <w:rFonts w:hint="eastAsia" w:ascii="宋体" w:hAnsi="宋体" w:cs="宋体"/>
        </w:rPr>
        <w:t>③</w:t>
      </w:r>
      <w:r>
        <w:t>对管道沿线周围的居民做好事故应急宣传，以保证一旦发生天然气泄漏事故时，居民作出正确反应。</w:t>
      </w:r>
    </w:p>
    <w:p>
      <w:pPr>
        <w:pStyle w:val="112"/>
        <w:ind w:firstLine="480"/>
      </w:pPr>
      <w:r>
        <w:rPr>
          <w:rFonts w:hint="eastAsia" w:ascii="宋体" w:hAnsi="宋体" w:cs="宋体"/>
        </w:rPr>
        <w:t>④</w:t>
      </w:r>
      <w:r>
        <w:t>管道沿线人类活动频繁，管道沿线应标志清晰，巡线员定期巡线，发现危及管道安全的情况及时处理和汇报。</w:t>
      </w:r>
    </w:p>
    <w:p>
      <w:pPr>
        <w:pStyle w:val="112"/>
        <w:ind w:firstLine="480"/>
      </w:pPr>
      <w:r>
        <w:rPr>
          <w:rFonts w:hint="eastAsia" w:ascii="宋体" w:hAnsi="宋体" w:cs="宋体"/>
        </w:rPr>
        <w:t>⑤</w:t>
      </w:r>
      <w:r>
        <w:t>对管道沿线的居民作好宣传，张贴《中华人民共和国石油天然气管道保护法》，加强居民保护管道安全的知识和意识。</w:t>
      </w:r>
    </w:p>
    <w:p>
      <w:pPr>
        <w:pStyle w:val="112"/>
        <w:ind w:firstLine="480"/>
      </w:pPr>
      <w:r>
        <w:rPr>
          <w:rFonts w:hint="eastAsia" w:ascii="宋体" w:hAnsi="宋体" w:cs="宋体"/>
        </w:rPr>
        <w:t>⑥</w:t>
      </w:r>
      <w:r>
        <w:t>根据《石油天然气管道安全规程》的规定，管道使用单位应制定定期检验计划：除日常巡检外，一年至少一次外部检验，由使用单位专职人员进行；全面检验每五年一次，由专业检验单位承担。外部检验包括管道损伤、变形缺陷、管道防腐层、绝热层、管道附件、安全装置电法保护系统和管道标志桩、测试桩和标志牌等。</w:t>
      </w:r>
    </w:p>
    <w:p>
      <w:pPr>
        <w:pStyle w:val="112"/>
        <w:ind w:firstLine="480"/>
      </w:pPr>
      <w:r>
        <w:rPr>
          <w:rFonts w:hint="eastAsia" w:ascii="宋体" w:hAnsi="宋体" w:cs="宋体"/>
        </w:rPr>
        <w:t>⑦</w:t>
      </w:r>
      <w:r>
        <w:t>管道防腐设备、检测仪器、仪表，应实行专人专责制，必须定期检定和正确使用。</w:t>
      </w:r>
    </w:p>
    <w:p>
      <w:pPr>
        <w:pStyle w:val="112"/>
        <w:ind w:firstLine="480"/>
      </w:pPr>
      <w:r>
        <w:rPr>
          <w:rFonts w:hint="eastAsia" w:ascii="宋体" w:hAnsi="宋体" w:cs="宋体"/>
        </w:rPr>
        <w:t>⑧</w:t>
      </w:r>
      <w:r>
        <w:t>在今后的运营过程中，建设方必须保证沿线各标示装置、标示设施的完整，并对周边群众，可能涉及管线的施工单位、施工人员做好宣传教育工作；加强巡检工作，编制应急预案并按照预案内容进行定期演练，定期采用试压等方式检验管线的封闭性；同时还必须同</w:t>
      </w:r>
      <w:r>
        <w:rPr>
          <w:rFonts w:hint="eastAsia"/>
        </w:rPr>
        <w:t>宣汉</w:t>
      </w:r>
      <w:r>
        <w:t>县人民政府、规划部门、生态环境局等做好协调工作，避免将来在撤离范围内规划建设有人居住的建构筑物。</w:t>
      </w:r>
    </w:p>
    <w:p>
      <w:pPr>
        <w:pStyle w:val="112"/>
        <w:ind w:firstLine="480"/>
      </w:pPr>
      <w:r>
        <w:rPr>
          <w:rFonts w:hint="eastAsia" w:ascii="宋体" w:hAnsi="宋体" w:cs="宋体"/>
        </w:rPr>
        <w:t>⑨</w:t>
      </w:r>
      <w:r>
        <w:t>建设单位应与当地有关部门做好沟通，并加强对管线沿线居民对管线保护的宣传工作，特别是加强宣传《中华人民共和国石油天然气管道保护法》：在管道5m范围内不得“取土、挖塘、修渠、修建养殖水场，排放腐蚀性物质，堆放大宗物资，采石、盖房、建温室、垒家禽棚圈、修筑其它建筑物、构筑物或者种植深根植物”的宣传。</w:t>
      </w:r>
    </w:p>
    <w:p>
      <w:pPr>
        <w:pStyle w:val="3"/>
        <w:spacing w:before="120"/>
        <w:rPr>
          <w:rFonts w:cs="Times New Roman"/>
        </w:rPr>
      </w:pPr>
      <w:bookmarkStart w:id="567" w:name="_Toc81515302"/>
      <w:r>
        <w:rPr>
          <w:rFonts w:cs="Times New Roman"/>
        </w:rPr>
        <w:t>7.10 事故应急预案</w:t>
      </w:r>
      <w:bookmarkEnd w:id="567"/>
    </w:p>
    <w:p>
      <w:pPr>
        <w:pStyle w:val="4"/>
        <w:rPr>
          <w:rFonts w:eastAsia="宋体"/>
        </w:rPr>
      </w:pPr>
      <w:bookmarkStart w:id="568" w:name="_Toc19816116"/>
      <w:bookmarkStart w:id="569" w:name="_Toc12288761"/>
      <w:r>
        <w:rPr>
          <w:rFonts w:eastAsia="宋体"/>
        </w:rPr>
        <w:t>7.10.1</w:t>
      </w:r>
      <w:bookmarkEnd w:id="568"/>
      <w:bookmarkEnd w:id="569"/>
      <w:r>
        <w:rPr>
          <w:rFonts w:eastAsia="宋体"/>
        </w:rPr>
        <w:t xml:space="preserve"> 普光分公司应急预案体系介绍</w:t>
      </w:r>
    </w:p>
    <w:p>
      <w:pPr>
        <w:ind w:firstLine="482"/>
        <w:rPr>
          <w:rFonts w:ascii="Times New Roman" w:cs="Times New Roman"/>
          <w:b/>
        </w:rPr>
      </w:pPr>
      <w:r>
        <w:rPr>
          <w:rFonts w:ascii="Times New Roman" w:cs="Times New Roman"/>
          <w:b/>
        </w:rPr>
        <w:t>1、备案情况</w:t>
      </w:r>
    </w:p>
    <w:p>
      <w:pPr>
        <w:pStyle w:val="112"/>
        <w:ind w:firstLine="480"/>
      </w:pPr>
      <w:r>
        <w:t>中原油田普光分公司编制有《中原油田普光分公司环境应急预案（20</w:t>
      </w:r>
      <w:r>
        <w:rPr>
          <w:rFonts w:hint="eastAsia"/>
        </w:rPr>
        <w:t>21</w:t>
      </w:r>
      <w:r>
        <w:t>年</w:t>
      </w:r>
      <w:r>
        <w:rPr>
          <w:rFonts w:hint="eastAsia"/>
        </w:rPr>
        <w:t>6</w:t>
      </w:r>
      <w:r>
        <w:t>月》，20</w:t>
      </w:r>
      <w:r>
        <w:rPr>
          <w:rFonts w:hint="eastAsia"/>
        </w:rPr>
        <w:t>21</w:t>
      </w:r>
      <w:r>
        <w:t>年</w:t>
      </w:r>
      <w:r>
        <w:rPr>
          <w:rFonts w:hint="eastAsia"/>
        </w:rPr>
        <w:t>6</w:t>
      </w:r>
      <w:r>
        <w:t>月</w:t>
      </w:r>
      <w:r>
        <w:rPr>
          <w:rFonts w:hint="eastAsia"/>
        </w:rPr>
        <w:t>6</w:t>
      </w:r>
      <w:r>
        <w:t>日，达州市环保局同意备案（备案号：511722-20</w:t>
      </w:r>
      <w:r>
        <w:rPr>
          <w:rFonts w:hint="eastAsia"/>
        </w:rPr>
        <w:t>21</w:t>
      </w:r>
      <w:r>
        <w:t>-0</w:t>
      </w:r>
      <w:r>
        <w:rPr>
          <w:rFonts w:hint="eastAsia"/>
        </w:rPr>
        <w:t>12</w:t>
      </w:r>
      <w:r>
        <w:t>-L），详见附件。</w:t>
      </w:r>
    </w:p>
    <w:p>
      <w:pPr>
        <w:pStyle w:val="6"/>
        <w:ind w:firstLine="482"/>
        <w:rPr>
          <w:rFonts w:ascii="Times New Roman" w:cs="Times New Roman"/>
          <w:b/>
        </w:rPr>
      </w:pPr>
      <w:bookmarkStart w:id="570" w:name="_Toc12288762"/>
      <w:r>
        <w:rPr>
          <w:rFonts w:ascii="Times New Roman" w:cs="Times New Roman"/>
          <w:b/>
        </w:rPr>
        <w:t>2、</w:t>
      </w:r>
      <w:bookmarkEnd w:id="570"/>
      <w:r>
        <w:rPr>
          <w:rFonts w:ascii="Times New Roman" w:cs="Times New Roman"/>
          <w:b/>
        </w:rPr>
        <w:t>应急预案体系</w:t>
      </w:r>
    </w:p>
    <w:p>
      <w:pPr>
        <w:pStyle w:val="6"/>
        <w:ind w:firstLine="482"/>
        <w:rPr>
          <w:rFonts w:ascii="Times New Roman" w:cs="Times New Roman"/>
          <w:b/>
        </w:rPr>
      </w:pPr>
      <w:r>
        <w:rPr>
          <w:rFonts w:ascii="Times New Roman" w:cs="Times New Roman"/>
          <w:b/>
        </w:rPr>
        <w:t>（1）体系介绍</w:t>
      </w:r>
    </w:p>
    <w:p>
      <w:pPr>
        <w:pStyle w:val="6"/>
        <w:ind w:firstLine="480"/>
        <w:rPr>
          <w:rFonts w:ascii="Times New Roman" w:cs="Times New Roman"/>
          <w:bCs/>
        </w:rPr>
      </w:pPr>
      <w:r>
        <w:rPr>
          <w:rFonts w:ascii="Times New Roman" w:cs="Times New Roman"/>
          <w:bCs/>
        </w:rPr>
        <w:t>普光分公司应急预案体系见图7.10-1。</w:t>
      </w:r>
    </w:p>
    <w:p>
      <w:pPr>
        <w:pStyle w:val="37"/>
        <w:rPr>
          <w:rFonts w:cs="Times New Roman"/>
        </w:rPr>
      </w:pPr>
      <w:r>
        <w:rPr>
          <w:rFonts w:cs="Times New Roman"/>
        </w:rPr>
        <w:drawing>
          <wp:inline distT="0" distB="0" distL="0" distR="0">
            <wp:extent cx="4137660" cy="2641600"/>
            <wp:effectExtent l="19050" t="0" r="0" b="0"/>
            <wp:docPr id="6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7"/>
                    <pic:cNvPicPr>
                      <a:picLocks noChangeAspect="1" noChangeArrowheads="1"/>
                    </pic:cNvPicPr>
                  </pic:nvPicPr>
                  <pic:blipFill>
                    <a:blip r:embed="rId119" cstate="print"/>
                    <a:srcRect/>
                    <a:stretch>
                      <a:fillRect/>
                    </a:stretch>
                  </pic:blipFill>
                  <pic:spPr>
                    <a:xfrm>
                      <a:off x="0" y="0"/>
                      <a:ext cx="4137660" cy="2641600"/>
                    </a:xfrm>
                    <a:prstGeom prst="rect">
                      <a:avLst/>
                    </a:prstGeom>
                    <a:noFill/>
                    <a:ln w="9525">
                      <a:noFill/>
                      <a:miter lim="800000"/>
                      <a:headEnd/>
                      <a:tailEnd/>
                    </a:ln>
                  </pic:spPr>
                </pic:pic>
              </a:graphicData>
            </a:graphic>
          </wp:inline>
        </w:drawing>
      </w:r>
      <w:r>
        <w:rPr>
          <w:rFonts w:cs="Times New Roman"/>
        </w:rPr>
        <w:t xml:space="preserve"> </w:t>
      </w:r>
    </w:p>
    <w:p>
      <w:pPr>
        <w:pStyle w:val="37"/>
        <w:rPr>
          <w:rFonts w:cs="Times New Roman"/>
        </w:rPr>
      </w:pPr>
      <w:bookmarkStart w:id="571" w:name="_Ref524704207"/>
      <w:r>
        <w:rPr>
          <w:rFonts w:cs="Times New Roman"/>
        </w:rPr>
        <w:t>图</w:t>
      </w:r>
      <w:r>
        <w:rPr>
          <w:rFonts w:hint="eastAsia" w:cs="Times New Roman"/>
        </w:rPr>
        <w:t>7</w:t>
      </w:r>
      <w:r>
        <w:rPr>
          <w:rFonts w:cs="Times New Roman"/>
        </w:rPr>
        <w:t>.10</w:t>
      </w:r>
      <w:r>
        <w:rPr>
          <w:rFonts w:cs="Times New Roman"/>
        </w:rPr>
        <w:noBreakHyphen/>
      </w:r>
      <w:r>
        <w:rPr>
          <w:rFonts w:cs="Times New Roman"/>
        </w:rPr>
        <w:fldChar w:fldCharType="begin"/>
      </w:r>
      <w:r>
        <w:rPr>
          <w:rFonts w:cs="Times New Roman"/>
        </w:rPr>
        <w:instrText xml:space="preserve"> SEQ 图 \* ARABIC \s 1 </w:instrText>
      </w:r>
      <w:r>
        <w:rPr>
          <w:rFonts w:cs="Times New Roman"/>
        </w:rPr>
        <w:fldChar w:fldCharType="separate"/>
      </w:r>
      <w:r>
        <w:rPr>
          <w:rFonts w:cs="Times New Roman"/>
        </w:rPr>
        <w:t>2</w:t>
      </w:r>
      <w:r>
        <w:rPr>
          <w:rFonts w:cs="Times New Roman"/>
        </w:rPr>
        <w:fldChar w:fldCharType="end"/>
      </w:r>
      <w:bookmarkEnd w:id="571"/>
      <w:r>
        <w:rPr>
          <w:rFonts w:cs="Times New Roman"/>
        </w:rPr>
        <w:t xml:space="preserve">  普光分公司应急预案体系图</w:t>
      </w:r>
    </w:p>
    <w:p>
      <w:pPr>
        <w:pStyle w:val="112"/>
        <w:ind w:firstLine="480"/>
      </w:pPr>
      <w:r>
        <w:t>专项应急预案包括高含H</w:t>
      </w:r>
      <w:r>
        <w:rPr>
          <w:vertAlign w:val="subscript"/>
        </w:rPr>
        <w:t>2</w:t>
      </w:r>
      <w:r>
        <w:t>S泄漏环境应急预案、火灾爆炸环境应急预案、水体环境污染应急预案、大气环境污染应急预案等。此外，普光分公司应急救援中心还编制了水体污染事件环境应急监测预案和H</w:t>
      </w:r>
      <w:r>
        <w:rPr>
          <w:vertAlign w:val="subscript"/>
        </w:rPr>
        <w:t>2</w:t>
      </w:r>
      <w:r>
        <w:t>S泄漏应急监测预案。</w:t>
      </w:r>
    </w:p>
    <w:p>
      <w:pPr>
        <w:pStyle w:val="6"/>
        <w:ind w:firstLine="482"/>
        <w:rPr>
          <w:rFonts w:ascii="Times New Roman" w:cs="Times New Roman"/>
          <w:b/>
        </w:rPr>
      </w:pPr>
      <w:r>
        <w:rPr>
          <w:rFonts w:ascii="Times New Roman" w:cs="Times New Roman"/>
          <w:b/>
        </w:rPr>
        <w:t>（2）普光分公司应急预案</w:t>
      </w:r>
    </w:p>
    <w:p>
      <w:pPr>
        <w:pStyle w:val="112"/>
        <w:ind w:firstLine="480"/>
      </w:pPr>
      <w:r>
        <w:t>普光分公司综合应急预案框架见</w:t>
      </w:r>
      <w:r>
        <w:fldChar w:fldCharType="begin"/>
      </w:r>
      <w:r>
        <w:instrText xml:space="preserve"> REF _Ref473017352 \h  \* MERGEFORMAT </w:instrText>
      </w:r>
      <w:r>
        <w:fldChar w:fldCharType="separate"/>
      </w:r>
      <w:r>
        <w:t>图</w:t>
      </w:r>
      <w:r>
        <w:rPr>
          <w:rFonts w:hint="eastAsia"/>
        </w:rPr>
        <w:t>7</w:t>
      </w:r>
      <w:r>
        <w:t>.10</w:t>
      </w:r>
      <w:r>
        <w:noBreakHyphen/>
      </w:r>
      <w:r>
        <w:t>3</w:t>
      </w:r>
      <w:r>
        <w:fldChar w:fldCharType="end"/>
      </w:r>
      <w:r>
        <w:t>，普光分公司专项应急预案框架见</w:t>
      </w:r>
      <w:r>
        <w:fldChar w:fldCharType="begin"/>
      </w:r>
      <w:r>
        <w:instrText xml:space="preserve"> REF _Ref473017362 \h  \* MERGEFORMAT </w:instrText>
      </w:r>
      <w:r>
        <w:fldChar w:fldCharType="separate"/>
      </w:r>
      <w:r>
        <w:t>图</w:t>
      </w:r>
      <w:r>
        <w:rPr>
          <w:rFonts w:hint="eastAsia"/>
        </w:rPr>
        <w:t>7</w:t>
      </w:r>
      <w:r>
        <w:t>.10</w:t>
      </w:r>
      <w:r>
        <w:noBreakHyphen/>
      </w:r>
      <w:r>
        <w:t>4</w:t>
      </w:r>
      <w:r>
        <w:fldChar w:fldCharType="end"/>
      </w:r>
      <w:r>
        <w:t>。</w:t>
      </w:r>
    </w:p>
    <w:p>
      <w:pPr>
        <w:pStyle w:val="37"/>
        <w:rPr>
          <w:rFonts w:cs="Times New Roman"/>
        </w:rPr>
      </w:pPr>
      <w:r>
        <w:rPr>
          <w:rFonts w:cs="Times New Roman"/>
        </w:rPr>
        <w:drawing>
          <wp:inline distT="0" distB="0" distL="0" distR="0">
            <wp:extent cx="5273675" cy="5883275"/>
            <wp:effectExtent l="19050" t="0" r="3175" b="0"/>
            <wp:docPr id="62" name="图片 28" descr="综合应急预案框架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8" descr="综合应急预案框架图.jpg"/>
                    <pic:cNvPicPr>
                      <a:picLocks noChangeAspect="1" noChangeArrowheads="1"/>
                    </pic:cNvPicPr>
                  </pic:nvPicPr>
                  <pic:blipFill>
                    <a:blip r:embed="rId120" cstate="print"/>
                    <a:srcRect/>
                    <a:stretch>
                      <a:fillRect/>
                    </a:stretch>
                  </pic:blipFill>
                  <pic:spPr>
                    <a:xfrm>
                      <a:off x="0" y="0"/>
                      <a:ext cx="5273675" cy="5883275"/>
                    </a:xfrm>
                    <a:prstGeom prst="rect">
                      <a:avLst/>
                    </a:prstGeom>
                    <a:noFill/>
                    <a:ln w="9525">
                      <a:noFill/>
                      <a:miter lim="800000"/>
                      <a:headEnd/>
                      <a:tailEnd/>
                    </a:ln>
                  </pic:spPr>
                </pic:pic>
              </a:graphicData>
            </a:graphic>
          </wp:inline>
        </w:drawing>
      </w:r>
    </w:p>
    <w:p>
      <w:pPr>
        <w:pStyle w:val="37"/>
        <w:rPr>
          <w:rFonts w:cs="Times New Roman"/>
        </w:rPr>
      </w:pPr>
      <w:bookmarkStart w:id="572" w:name="_Ref473017352"/>
      <w:r>
        <w:rPr>
          <w:rFonts w:cs="Times New Roman"/>
        </w:rPr>
        <w:t>图</w:t>
      </w:r>
      <w:r>
        <w:rPr>
          <w:rFonts w:hint="eastAsia" w:cs="Times New Roman"/>
        </w:rPr>
        <w:t>7</w:t>
      </w:r>
      <w:r>
        <w:rPr>
          <w:rFonts w:cs="Times New Roman"/>
        </w:rPr>
        <w:t>.10</w:t>
      </w:r>
      <w:r>
        <w:rPr>
          <w:rFonts w:cs="Times New Roman"/>
        </w:rPr>
        <w:noBreakHyphen/>
      </w:r>
      <w:r>
        <w:rPr>
          <w:rFonts w:cs="Times New Roman"/>
        </w:rPr>
        <w:fldChar w:fldCharType="begin"/>
      </w:r>
      <w:r>
        <w:rPr>
          <w:rFonts w:cs="Times New Roman"/>
        </w:rPr>
        <w:instrText xml:space="preserve"> SEQ 图 \* ARABIC \s 1 </w:instrText>
      </w:r>
      <w:r>
        <w:rPr>
          <w:rFonts w:cs="Times New Roman"/>
        </w:rPr>
        <w:fldChar w:fldCharType="separate"/>
      </w:r>
      <w:r>
        <w:rPr>
          <w:rFonts w:cs="Times New Roman"/>
        </w:rPr>
        <w:t>3</w:t>
      </w:r>
      <w:r>
        <w:rPr>
          <w:rFonts w:cs="Times New Roman"/>
        </w:rPr>
        <w:fldChar w:fldCharType="end"/>
      </w:r>
      <w:bookmarkEnd w:id="572"/>
      <w:r>
        <w:rPr>
          <w:rFonts w:cs="Times New Roman"/>
        </w:rPr>
        <w:t xml:space="preserve">  普光分公司综合应急预案框架图</w:t>
      </w:r>
    </w:p>
    <w:p>
      <w:pPr>
        <w:pStyle w:val="37"/>
        <w:rPr>
          <w:rFonts w:cs="Times New Roman"/>
        </w:rPr>
      </w:pPr>
      <w:r>
        <w:rPr>
          <w:rFonts w:cs="Times New Roman"/>
        </w:rPr>
        <w:drawing>
          <wp:inline distT="0" distB="0" distL="0" distR="0">
            <wp:extent cx="5144770" cy="5754370"/>
            <wp:effectExtent l="19050" t="0" r="0" b="0"/>
            <wp:docPr id="63" name="图片 33" descr="应急预案结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3" descr="应急预案结构图.jpg"/>
                    <pic:cNvPicPr>
                      <a:picLocks noChangeAspect="1" noChangeArrowheads="1"/>
                    </pic:cNvPicPr>
                  </pic:nvPicPr>
                  <pic:blipFill>
                    <a:blip r:embed="rId121" cstate="print"/>
                    <a:srcRect/>
                    <a:stretch>
                      <a:fillRect/>
                    </a:stretch>
                  </pic:blipFill>
                  <pic:spPr>
                    <a:xfrm>
                      <a:off x="0" y="0"/>
                      <a:ext cx="5144770" cy="5754370"/>
                    </a:xfrm>
                    <a:prstGeom prst="rect">
                      <a:avLst/>
                    </a:prstGeom>
                    <a:noFill/>
                    <a:ln w="9525">
                      <a:noFill/>
                      <a:miter lim="800000"/>
                      <a:headEnd/>
                      <a:tailEnd/>
                    </a:ln>
                  </pic:spPr>
                </pic:pic>
              </a:graphicData>
            </a:graphic>
          </wp:inline>
        </w:drawing>
      </w:r>
    </w:p>
    <w:p>
      <w:pPr>
        <w:pStyle w:val="37"/>
        <w:rPr>
          <w:rFonts w:cs="Times New Roman"/>
        </w:rPr>
      </w:pPr>
      <w:bookmarkStart w:id="573" w:name="_Ref473017362"/>
      <w:r>
        <w:rPr>
          <w:rFonts w:cs="Times New Roman"/>
        </w:rPr>
        <w:t>图</w:t>
      </w:r>
      <w:r>
        <w:rPr>
          <w:rFonts w:hint="eastAsia" w:cs="Times New Roman"/>
        </w:rPr>
        <w:t>7</w:t>
      </w:r>
      <w:r>
        <w:rPr>
          <w:rFonts w:cs="Times New Roman"/>
        </w:rPr>
        <w:t>.10</w:t>
      </w:r>
      <w:r>
        <w:rPr>
          <w:rFonts w:cs="Times New Roman"/>
        </w:rPr>
        <w:noBreakHyphen/>
      </w:r>
      <w:r>
        <w:rPr>
          <w:rFonts w:cs="Times New Roman"/>
        </w:rPr>
        <w:fldChar w:fldCharType="begin"/>
      </w:r>
      <w:r>
        <w:rPr>
          <w:rFonts w:cs="Times New Roman"/>
        </w:rPr>
        <w:instrText xml:space="preserve"> SEQ 图 \* ARABIC \s 1 </w:instrText>
      </w:r>
      <w:r>
        <w:rPr>
          <w:rFonts w:cs="Times New Roman"/>
        </w:rPr>
        <w:fldChar w:fldCharType="separate"/>
      </w:r>
      <w:r>
        <w:rPr>
          <w:rFonts w:cs="Times New Roman"/>
        </w:rPr>
        <w:t>4</w:t>
      </w:r>
      <w:r>
        <w:rPr>
          <w:rFonts w:cs="Times New Roman"/>
        </w:rPr>
        <w:fldChar w:fldCharType="end"/>
      </w:r>
      <w:bookmarkEnd w:id="573"/>
      <w:r>
        <w:rPr>
          <w:rFonts w:cs="Times New Roman"/>
        </w:rPr>
        <w:t xml:space="preserve">  普光分公司专项应急预案框架图</w:t>
      </w:r>
    </w:p>
    <w:p>
      <w:pPr>
        <w:pStyle w:val="6"/>
        <w:ind w:firstLine="482"/>
        <w:rPr>
          <w:rFonts w:ascii="Times New Roman" w:cs="Times New Roman"/>
          <w:b/>
        </w:rPr>
      </w:pPr>
      <w:r>
        <w:rPr>
          <w:rFonts w:ascii="Times New Roman" w:cs="Times New Roman"/>
          <w:b/>
        </w:rPr>
        <w:t>3、普光分公司应急组织机构</w:t>
      </w:r>
    </w:p>
    <w:p>
      <w:pPr>
        <w:pStyle w:val="37"/>
        <w:rPr>
          <w:rFonts w:cs="Times New Roman"/>
        </w:rPr>
      </w:pPr>
      <w:r>
        <w:rPr>
          <w:rFonts w:cs="Times New Roman"/>
        </w:rPr>
        <w:drawing>
          <wp:inline distT="0" distB="0" distL="0" distR="0">
            <wp:extent cx="5273675" cy="4202430"/>
            <wp:effectExtent l="19050" t="0" r="3175" b="0"/>
            <wp:docPr id="6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6"/>
                    <pic:cNvPicPr>
                      <a:picLocks noChangeAspect="1" noChangeArrowheads="1"/>
                    </pic:cNvPicPr>
                  </pic:nvPicPr>
                  <pic:blipFill>
                    <a:blip r:embed="rId122" cstate="print"/>
                    <a:srcRect/>
                    <a:stretch>
                      <a:fillRect/>
                    </a:stretch>
                  </pic:blipFill>
                  <pic:spPr>
                    <a:xfrm>
                      <a:off x="0" y="0"/>
                      <a:ext cx="5273675" cy="4202430"/>
                    </a:xfrm>
                    <a:prstGeom prst="rect">
                      <a:avLst/>
                    </a:prstGeom>
                    <a:noFill/>
                    <a:ln w="9525">
                      <a:noFill/>
                      <a:miter lim="800000"/>
                      <a:headEnd/>
                      <a:tailEnd/>
                    </a:ln>
                  </pic:spPr>
                </pic:pic>
              </a:graphicData>
            </a:graphic>
          </wp:inline>
        </w:drawing>
      </w:r>
    </w:p>
    <w:p>
      <w:pPr>
        <w:pStyle w:val="37"/>
        <w:rPr>
          <w:rFonts w:cs="Times New Roman"/>
        </w:rPr>
      </w:pPr>
      <w:bookmarkStart w:id="574" w:name="_Ref524448984"/>
      <w:r>
        <w:rPr>
          <w:rFonts w:cs="Times New Roman"/>
        </w:rPr>
        <w:t>图</w:t>
      </w:r>
      <w:r>
        <w:rPr>
          <w:rFonts w:hint="eastAsia" w:cs="Times New Roman"/>
        </w:rPr>
        <w:t>7</w:t>
      </w:r>
      <w:r>
        <w:rPr>
          <w:rFonts w:cs="Times New Roman"/>
        </w:rPr>
        <w:t>.10</w:t>
      </w:r>
      <w:r>
        <w:rPr>
          <w:rFonts w:cs="Times New Roman"/>
        </w:rPr>
        <w:noBreakHyphen/>
      </w:r>
      <w:r>
        <w:rPr>
          <w:rFonts w:cs="Times New Roman"/>
        </w:rPr>
        <w:fldChar w:fldCharType="begin"/>
      </w:r>
      <w:r>
        <w:rPr>
          <w:rFonts w:cs="Times New Roman"/>
        </w:rPr>
        <w:instrText xml:space="preserve"> SEQ 图 \* ARABIC \s 1 </w:instrText>
      </w:r>
      <w:r>
        <w:rPr>
          <w:rFonts w:cs="Times New Roman"/>
        </w:rPr>
        <w:fldChar w:fldCharType="separate"/>
      </w:r>
      <w:r>
        <w:rPr>
          <w:rFonts w:cs="Times New Roman"/>
        </w:rPr>
        <w:t>5</w:t>
      </w:r>
      <w:r>
        <w:rPr>
          <w:rFonts w:cs="Times New Roman"/>
        </w:rPr>
        <w:fldChar w:fldCharType="end"/>
      </w:r>
      <w:bookmarkEnd w:id="574"/>
      <w:r>
        <w:rPr>
          <w:rFonts w:cs="Times New Roman"/>
        </w:rPr>
        <w:t xml:space="preserve">  应急管理组织机构框图</w:t>
      </w:r>
    </w:p>
    <w:p>
      <w:pPr>
        <w:pStyle w:val="6"/>
        <w:ind w:firstLine="482"/>
        <w:rPr>
          <w:rFonts w:ascii="Times New Roman" w:cs="Times New Roman"/>
          <w:b/>
        </w:rPr>
      </w:pPr>
      <w:r>
        <w:rPr>
          <w:rFonts w:ascii="Times New Roman" w:cs="Times New Roman"/>
          <w:b/>
        </w:rPr>
        <w:t>4、应急响应</w:t>
      </w:r>
    </w:p>
    <w:p>
      <w:pPr>
        <w:pStyle w:val="112"/>
        <w:ind w:firstLine="480"/>
      </w:pPr>
      <w:r>
        <w:t>（1）分类与分级</w:t>
      </w:r>
    </w:p>
    <w:p>
      <w:pPr>
        <w:pStyle w:val="112"/>
        <w:ind w:firstLine="480"/>
      </w:pPr>
      <w:r>
        <w:rPr>
          <w:rFonts w:hint="eastAsia" w:ascii="宋体" w:hAnsi="宋体" w:cs="宋体"/>
        </w:rPr>
        <w:t>①</w:t>
      </w:r>
      <w:r>
        <w:t>分类</w:t>
      </w:r>
    </w:p>
    <w:p>
      <w:pPr>
        <w:pStyle w:val="112"/>
        <w:ind w:firstLine="480"/>
      </w:pPr>
      <w:r>
        <w:t>分公司各所属单位应根据应急事件的发生过程、性质和机理，按照工业生产事件、公共卫生事件、自然灾害事件和社会安全事件的类别，经危害识别、风险评估，确定单位内可能发生或易发生的应急事件。</w:t>
      </w:r>
    </w:p>
    <w:p>
      <w:pPr>
        <w:pStyle w:val="112"/>
        <w:ind w:firstLine="480"/>
      </w:pPr>
      <w:r>
        <w:rPr>
          <w:rFonts w:hint="eastAsia" w:ascii="宋体" w:hAnsi="宋体" w:cs="宋体"/>
        </w:rPr>
        <w:t>②</w:t>
      </w:r>
      <w:r>
        <w:t>分级</w:t>
      </w:r>
    </w:p>
    <w:p>
      <w:pPr>
        <w:pStyle w:val="112"/>
        <w:ind w:firstLine="480"/>
      </w:pPr>
      <w:r>
        <w:t>为了有效处置各类突发事件，按照突发事件的性质、危害程度、可控性、影响范围、人员伤亡和财产损失等因素，并依据机构设置情况，由高到低分为五个级别：Ⅰ（中国石化）级、Ⅱ（中原油田）级、Ⅲ（分公司）级、Ⅳ（厂）级、Ⅴ（车间、区）级等。</w:t>
      </w:r>
    </w:p>
    <w:p>
      <w:pPr>
        <w:pStyle w:val="112"/>
        <w:ind w:firstLine="480"/>
      </w:pPr>
      <w:r>
        <w:t>（2）响应程序</w:t>
      </w:r>
    </w:p>
    <w:p>
      <w:pPr>
        <w:pStyle w:val="112"/>
        <w:ind w:firstLine="480"/>
      </w:pPr>
      <w:r>
        <w:rPr>
          <w:rFonts w:hint="eastAsia" w:ascii="宋体" w:hAnsi="宋体" w:cs="宋体"/>
        </w:rPr>
        <w:t>①</w:t>
      </w:r>
      <w:r>
        <w:t>应急启动条件</w:t>
      </w:r>
    </w:p>
    <w:p>
      <w:pPr>
        <w:pStyle w:val="112"/>
        <w:ind w:firstLine="480"/>
      </w:pPr>
      <w:r>
        <w:t>符合以下条件之一时，应启动本预案：</w:t>
      </w:r>
    </w:p>
    <w:p>
      <w:pPr>
        <w:pStyle w:val="112"/>
        <w:ind w:firstLine="480"/>
      </w:pPr>
      <w:r>
        <w:t>a）中原油田要求分公司启动应急预案时；</w:t>
      </w:r>
    </w:p>
    <w:p>
      <w:pPr>
        <w:pStyle w:val="112"/>
        <w:ind w:firstLine="480"/>
      </w:pPr>
      <w:r>
        <w:t>b）市、县级人民政府要求分公司启动应急预案时；</w:t>
      </w:r>
    </w:p>
    <w:p>
      <w:pPr>
        <w:pStyle w:val="112"/>
        <w:ind w:firstLine="480"/>
      </w:pPr>
      <w:r>
        <w:t>c）发生Ⅲ（分公司）级及Ⅲ级以上事件时；</w:t>
      </w:r>
    </w:p>
    <w:p>
      <w:pPr>
        <w:pStyle w:val="112"/>
        <w:ind w:firstLine="480"/>
      </w:pPr>
      <w:r>
        <w:t>d）所属单位请求时。</w:t>
      </w:r>
    </w:p>
    <w:p>
      <w:pPr>
        <w:pStyle w:val="112"/>
        <w:ind w:firstLine="480"/>
      </w:pPr>
      <w:r>
        <w:rPr>
          <w:rFonts w:hint="eastAsia" w:ascii="宋体" w:hAnsi="宋体" w:cs="宋体"/>
        </w:rPr>
        <w:t>②</w:t>
      </w:r>
      <w:r>
        <w:t>应急指令</w:t>
      </w:r>
    </w:p>
    <w:p>
      <w:pPr>
        <w:pStyle w:val="112"/>
        <w:ind w:firstLine="480"/>
      </w:pPr>
      <w:r>
        <w:t>发生突发事件时，应急指令下达程序见下图。</w:t>
      </w:r>
    </w:p>
    <w:p>
      <w:pPr>
        <w:pStyle w:val="37"/>
        <w:rPr>
          <w:rFonts w:cs="Times New Roman"/>
        </w:rPr>
      </w:pPr>
      <w:r>
        <w:rPr>
          <w:rFonts w:cs="Times New Roman"/>
        </w:rPr>
        <w:drawing>
          <wp:inline distT="0" distB="0" distL="0" distR="0">
            <wp:extent cx="5273675" cy="4932045"/>
            <wp:effectExtent l="19050" t="0" r="3175" b="0"/>
            <wp:docPr id="6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8"/>
                    <pic:cNvPicPr>
                      <a:picLocks noChangeAspect="1" noChangeArrowheads="1"/>
                    </pic:cNvPicPr>
                  </pic:nvPicPr>
                  <pic:blipFill>
                    <a:blip r:embed="rId123" cstate="print"/>
                    <a:srcRect/>
                    <a:stretch>
                      <a:fillRect/>
                    </a:stretch>
                  </pic:blipFill>
                  <pic:spPr>
                    <a:xfrm>
                      <a:off x="0" y="0"/>
                      <a:ext cx="5273675" cy="4932045"/>
                    </a:xfrm>
                    <a:prstGeom prst="rect">
                      <a:avLst/>
                    </a:prstGeom>
                    <a:noFill/>
                    <a:ln w="9525">
                      <a:noFill/>
                      <a:miter lim="800000"/>
                      <a:headEnd/>
                      <a:tailEnd/>
                    </a:ln>
                  </pic:spPr>
                </pic:pic>
              </a:graphicData>
            </a:graphic>
          </wp:inline>
        </w:drawing>
      </w:r>
    </w:p>
    <w:p>
      <w:pPr>
        <w:pStyle w:val="37"/>
        <w:rPr>
          <w:rFonts w:cs="Times New Roman"/>
        </w:rPr>
      </w:pPr>
      <w:r>
        <w:rPr>
          <w:rFonts w:cs="Times New Roman"/>
        </w:rPr>
        <w:t>图7.10-5  普光分公司应急指令下达程序框图</w:t>
      </w:r>
    </w:p>
    <w:p>
      <w:pPr>
        <w:pStyle w:val="112"/>
        <w:ind w:firstLine="480"/>
      </w:pPr>
      <w:r>
        <w:rPr>
          <w:rFonts w:hint="eastAsia" w:ascii="宋体" w:hAnsi="宋体" w:cs="宋体"/>
        </w:rPr>
        <w:t>③</w:t>
      </w:r>
      <w:r>
        <w:t>应急处置</w:t>
      </w:r>
    </w:p>
    <w:p>
      <w:pPr>
        <w:pStyle w:val="112"/>
        <w:ind w:firstLine="480"/>
      </w:pPr>
      <w:r>
        <w:t>当符合应急预案启动条件时，分公司应急指挥中心应立即下达启动本预案的指令，并按照本预案中相应专项应急预案的要求实施应急处置。</w:t>
      </w:r>
    </w:p>
    <w:p>
      <w:pPr>
        <w:pStyle w:val="112"/>
        <w:ind w:firstLine="480"/>
      </w:pPr>
      <w:r>
        <w:t>当事件难以控制时，分公司应急指挥中心应请求启动相应的应急预案，并向市级政府应急管理办公室报告，请求支援。</w:t>
      </w:r>
    </w:p>
    <w:p>
      <w:pPr>
        <w:pStyle w:val="6"/>
        <w:ind w:firstLine="482"/>
        <w:rPr>
          <w:rFonts w:ascii="Times New Roman" w:cs="Times New Roman"/>
          <w:b/>
        </w:rPr>
      </w:pPr>
      <w:r>
        <w:rPr>
          <w:rFonts w:ascii="Times New Roman" w:cs="Times New Roman"/>
          <w:b/>
        </w:rPr>
        <w:t>5、应急结束</w:t>
      </w:r>
    </w:p>
    <w:p>
      <w:pPr>
        <w:pStyle w:val="112"/>
        <w:ind w:firstLine="480"/>
      </w:pPr>
      <w:r>
        <w:t>经应急处置后，现场应急指挥部确认满足专项应急预案终止条件时，向分公司应急指挥中心报告，分公司应急指挥中心可下达应急终止指令。</w:t>
      </w:r>
    </w:p>
    <w:p>
      <w:pPr>
        <w:pStyle w:val="112"/>
        <w:ind w:firstLine="480"/>
      </w:pPr>
      <w:r>
        <w:t>应急终止后，现场应急指挥部负责编写应急总结，应急指挥中心办公室负责对现场应急指挥部的应急总结、值班记录等资料进行汇总、归档，经理办公室负责起草分公司应急指挥中心的应急总结上报材料。现场应急指挥部向事件调查组移交相关材料。分公司应急指挥中心负责向中原油田上报应急总结。</w:t>
      </w:r>
    </w:p>
    <w:p>
      <w:pPr>
        <w:pStyle w:val="6"/>
        <w:ind w:firstLine="482"/>
        <w:rPr>
          <w:rFonts w:ascii="Times New Roman" w:cs="Times New Roman"/>
          <w:b/>
        </w:rPr>
      </w:pPr>
      <w:r>
        <w:rPr>
          <w:rFonts w:ascii="Times New Roman" w:cs="Times New Roman"/>
          <w:b/>
        </w:rPr>
        <w:t>6、应急保障</w:t>
      </w:r>
    </w:p>
    <w:p>
      <w:pPr>
        <w:pStyle w:val="112"/>
        <w:ind w:firstLine="480"/>
      </w:pPr>
      <w:r>
        <w:t>（1）应急队伍保障</w:t>
      </w:r>
    </w:p>
    <w:p>
      <w:pPr>
        <w:pStyle w:val="112"/>
        <w:ind w:firstLine="480"/>
      </w:pPr>
      <w:r>
        <w:t>分公司应急救援队伍由采气厂、净化厂、应急救援中心和社会应急资源组成。应急队伍配备必要的人员、装备等，平时加强应急队伍的业务培训和应急演练，提高应急人员业务水平；与社会应急资源签订互助协议，提供应急期间的消气防、医疗卫生、治安保卫、交通维护和运输等应急救援力量的保障。</w:t>
      </w:r>
    </w:p>
    <w:p>
      <w:pPr>
        <w:pStyle w:val="112"/>
        <w:ind w:firstLine="480"/>
      </w:pPr>
      <w:r>
        <w:t>（2）财力保障</w:t>
      </w:r>
    </w:p>
    <w:p>
      <w:pPr>
        <w:pStyle w:val="112"/>
        <w:ind w:firstLine="480"/>
      </w:pPr>
      <w:r>
        <w:t>事件处置过程中的费用，由计划财务部门负责保障；事件应急处置结束后，各级应急指挥中心办公室对应急处置费用进行整理汇总，计划财务部给予核销。</w:t>
      </w:r>
    </w:p>
    <w:p>
      <w:pPr>
        <w:pStyle w:val="112"/>
        <w:ind w:firstLine="480"/>
      </w:pPr>
      <w:r>
        <w:t>（3）物资保障</w:t>
      </w:r>
    </w:p>
    <w:p>
      <w:pPr>
        <w:pStyle w:val="112"/>
        <w:ind w:firstLine="480"/>
      </w:pPr>
      <w:r>
        <w:t>分公司应急物资由物资保障部应急物资、应急救援中心应急物资、所属单位应急物资和社会救援物资组成。为满足应急处置的需求，同社会救援物资单位签订协议，在应急状态下，由分公司应急指挥中心统一调配使用。</w:t>
      </w:r>
    </w:p>
    <w:p>
      <w:pPr>
        <w:pStyle w:val="112"/>
        <w:ind w:firstLine="480"/>
        <w:rPr>
          <w:rFonts w:hint="eastAsia" w:eastAsia="宋体"/>
          <w:lang w:eastAsia="zh-CN"/>
        </w:rPr>
      </w:pPr>
      <w:r>
        <w:t>（4）</w:t>
      </w:r>
      <w:r>
        <w:rPr>
          <w:rFonts w:hint="eastAsia"/>
          <w:lang w:eastAsia="zh-CN"/>
        </w:rPr>
        <w:t>通信保障</w:t>
      </w:r>
    </w:p>
    <w:p>
      <w:pPr>
        <w:pStyle w:val="112"/>
        <w:ind w:firstLine="480"/>
      </w:pPr>
      <w:r>
        <w:t>生产服务中心负责建立、完善应急通讯网络系统，在应急工作中确保应急通信畅通。</w:t>
      </w:r>
    </w:p>
    <w:p>
      <w:pPr>
        <w:pStyle w:val="112"/>
        <w:ind w:firstLine="480"/>
      </w:pPr>
      <w:r>
        <w:t>（5）技术保障</w:t>
      </w:r>
    </w:p>
    <w:p>
      <w:pPr>
        <w:pStyle w:val="112"/>
        <w:ind w:firstLine="480"/>
      </w:pPr>
      <w:r>
        <w:t>天然气技术管理部负责建立由各专业领域技术、经验丰富的人员组成技术专家组，结合事故发生厂所属技术力量，为事故的应急处置提供技术支持。</w:t>
      </w:r>
    </w:p>
    <w:p>
      <w:pPr>
        <w:pStyle w:val="112"/>
        <w:ind w:firstLine="480"/>
      </w:pPr>
      <w:r>
        <w:t>（6）基本生活保障</w:t>
      </w:r>
    </w:p>
    <w:p>
      <w:pPr>
        <w:pStyle w:val="112"/>
        <w:ind w:firstLine="480"/>
      </w:pPr>
      <w:r>
        <w:t>分公司应急指挥中心应会同事发地人民政府做好抢险队伍、受灾员工和疏散群众的基本生活保障工作。</w:t>
      </w:r>
    </w:p>
    <w:p>
      <w:pPr>
        <w:pStyle w:val="112"/>
        <w:ind w:firstLine="480"/>
      </w:pPr>
      <w:r>
        <w:t>（7）人员防护</w:t>
      </w:r>
    </w:p>
    <w:p>
      <w:pPr>
        <w:pStyle w:val="112"/>
        <w:ind w:firstLine="480"/>
      </w:pPr>
      <w:r>
        <w:t>按照国家法律法规、标准、规范的要求，应急救援人员配备安全职业防护装备，严格按照救援程序开展应急救援工作，确保人员安全。在生产区域内岗位人员配备安全职业防护装备，建立紧急集合点。</w:t>
      </w:r>
    </w:p>
    <w:p>
      <w:pPr>
        <w:pStyle w:val="6"/>
        <w:ind w:firstLine="482"/>
        <w:rPr>
          <w:rFonts w:ascii="Times New Roman" w:cs="Times New Roman"/>
          <w:b/>
        </w:rPr>
      </w:pPr>
      <w:r>
        <w:rPr>
          <w:rFonts w:hint="eastAsia" w:ascii="Times New Roman" w:cs="Times New Roman"/>
          <w:b/>
        </w:rPr>
        <w:t>7</w:t>
      </w:r>
      <w:r>
        <w:rPr>
          <w:rFonts w:ascii="Times New Roman" w:cs="Times New Roman"/>
          <w:b/>
        </w:rPr>
        <w:t>、</w:t>
      </w:r>
      <w:r>
        <w:rPr>
          <w:rFonts w:hint="eastAsia" w:ascii="Times New Roman" w:cs="Times New Roman"/>
          <w:b/>
        </w:rPr>
        <w:t>培训</w:t>
      </w:r>
      <w:r>
        <w:rPr>
          <w:rFonts w:ascii="Times New Roman" w:cs="Times New Roman"/>
          <w:b/>
        </w:rPr>
        <w:t>与演练</w:t>
      </w:r>
    </w:p>
    <w:p>
      <w:pPr>
        <w:pStyle w:val="112"/>
        <w:ind w:firstLine="480"/>
      </w:pPr>
      <w:r>
        <w:rPr>
          <w:rFonts w:hint="eastAsia"/>
        </w:rPr>
        <w:t>1）宣传和培训</w:t>
      </w:r>
    </w:p>
    <w:p>
      <w:pPr>
        <w:pStyle w:val="112"/>
        <w:ind w:firstLine="480"/>
      </w:pPr>
      <w:r>
        <w:rPr>
          <w:rFonts w:hint="eastAsia"/>
        </w:rPr>
        <w:t>党群工作部会同相关职能部门，通过各种宣传手段，对分公司员工和周边公众广泛宣传应急法律法规和应急常识。</w:t>
      </w:r>
    </w:p>
    <w:p>
      <w:pPr>
        <w:pStyle w:val="112"/>
        <w:ind w:firstLine="480"/>
      </w:pPr>
      <w:r>
        <w:rPr>
          <w:rFonts w:hint="eastAsia"/>
        </w:rPr>
        <w:t>HSE监督管理部应组织编制对各类专业应急人员、企业员工的年度培训计划，由人力资源部负责组织实施。</w:t>
      </w:r>
    </w:p>
    <w:p>
      <w:pPr>
        <w:pStyle w:val="112"/>
        <w:ind w:firstLine="480"/>
      </w:pPr>
      <w:r>
        <w:rPr>
          <w:rFonts w:hint="eastAsia"/>
        </w:rPr>
        <w:t>2）</w:t>
      </w:r>
      <w:r>
        <w:t>预案演练</w:t>
      </w:r>
    </w:p>
    <w:p>
      <w:pPr>
        <w:pStyle w:val="112"/>
        <w:ind w:firstLine="480"/>
      </w:pPr>
      <w:r>
        <w:rPr>
          <w:rFonts w:hint="eastAsia"/>
        </w:rPr>
        <w:t>普光分公司预案演练每年不少于一次。应急指挥中心办公室应做好演练方案的策划。演练结束后做好总结。</w:t>
      </w:r>
    </w:p>
    <w:p>
      <w:pPr>
        <w:pStyle w:val="4"/>
        <w:rPr>
          <w:rFonts w:eastAsia="宋体"/>
        </w:rPr>
      </w:pPr>
      <w:r>
        <w:rPr>
          <w:rFonts w:eastAsia="宋体"/>
        </w:rPr>
        <w:t>7.10.2 本项目环境风险应急预案</w:t>
      </w:r>
    </w:p>
    <w:p>
      <w:pPr>
        <w:pStyle w:val="112"/>
        <w:ind w:firstLine="480"/>
      </w:pPr>
      <w:r>
        <w:t>根据前述环境风险事故分析，本次评价将针对本项目钻井作业的特点，结合企业制定的应急预案，提出环境风险事故应急预案编制要求，供企业及有关部门参考。</w:t>
      </w:r>
      <w:r>
        <w:rPr>
          <w:rFonts w:hint="eastAsia"/>
        </w:rPr>
        <w:t>见</w:t>
      </w:r>
      <w:r>
        <w:fldChar w:fldCharType="begin"/>
      </w:r>
      <w:r>
        <w:instrText xml:space="preserve"> REF _Ref524449032 \h  \* MERGEFORMAT </w:instrText>
      </w:r>
      <w:r>
        <w:fldChar w:fldCharType="separate"/>
      </w:r>
      <w:r>
        <w:t>表0.10</w:t>
      </w:r>
      <w:r>
        <w:noBreakHyphen/>
      </w:r>
      <w:r>
        <w:t>2</w:t>
      </w:r>
      <w:r>
        <w:fldChar w:fldCharType="end"/>
      </w:r>
      <w:r>
        <w:rPr>
          <w:rFonts w:hint="eastAsia"/>
        </w:rPr>
        <w:t>。</w:t>
      </w:r>
    </w:p>
    <w:p>
      <w:pPr>
        <w:widowControl/>
        <w:topLinePunct w:val="0"/>
        <w:snapToGrid w:val="0"/>
        <w:spacing w:beforeLines="50"/>
        <w:ind w:firstLine="0" w:firstLineChars="0"/>
        <w:jc w:val="center"/>
        <w:rPr>
          <w:rFonts w:ascii="Times New Roman" w:cs="Times New Roman"/>
          <w:b/>
          <w:kern w:val="2"/>
          <w:sz w:val="21"/>
          <w:szCs w:val="20"/>
        </w:rPr>
      </w:pPr>
      <w:bookmarkStart w:id="575" w:name="_Ref524449032"/>
      <w:r>
        <w:rPr>
          <w:rFonts w:ascii="Times New Roman" w:cs="Times New Roman"/>
          <w:b/>
          <w:kern w:val="2"/>
          <w:sz w:val="21"/>
          <w:szCs w:val="20"/>
        </w:rPr>
        <w:t>表</w:t>
      </w:r>
      <w:r>
        <w:rPr>
          <w:rFonts w:ascii="Times New Roman" w:cs="Times New Roman"/>
          <w:b/>
          <w:kern w:val="2"/>
          <w:sz w:val="21"/>
          <w:szCs w:val="20"/>
        </w:rPr>
        <w:fldChar w:fldCharType="begin"/>
      </w:r>
      <w:r>
        <w:rPr>
          <w:rFonts w:ascii="Times New Roman" w:cs="Times New Roman"/>
          <w:b/>
          <w:kern w:val="2"/>
          <w:sz w:val="21"/>
          <w:szCs w:val="20"/>
        </w:rPr>
        <w:instrText xml:space="preserve"> STYLEREF 1 \s </w:instrText>
      </w:r>
      <w:r>
        <w:rPr>
          <w:rFonts w:ascii="Times New Roman" w:cs="Times New Roman"/>
          <w:b/>
          <w:kern w:val="2"/>
          <w:sz w:val="21"/>
          <w:szCs w:val="20"/>
        </w:rPr>
        <w:fldChar w:fldCharType="separate"/>
      </w:r>
      <w:r>
        <w:rPr>
          <w:rFonts w:ascii="Times New Roman" w:cs="Times New Roman"/>
          <w:b/>
          <w:kern w:val="2"/>
          <w:sz w:val="21"/>
          <w:szCs w:val="20"/>
        </w:rPr>
        <w:t>0</w:t>
      </w:r>
      <w:r>
        <w:rPr>
          <w:rFonts w:ascii="Times New Roman" w:cs="Times New Roman"/>
          <w:b/>
          <w:kern w:val="2"/>
          <w:sz w:val="21"/>
          <w:szCs w:val="20"/>
        </w:rPr>
        <w:fldChar w:fldCharType="end"/>
      </w:r>
      <w:r>
        <w:rPr>
          <w:rFonts w:ascii="Times New Roman" w:cs="Times New Roman"/>
          <w:b/>
          <w:kern w:val="2"/>
          <w:sz w:val="21"/>
          <w:szCs w:val="20"/>
        </w:rPr>
        <w:t>.10</w:t>
      </w:r>
      <w:r>
        <w:rPr>
          <w:rFonts w:ascii="Times New Roman" w:cs="Times New Roman"/>
          <w:b/>
          <w:kern w:val="2"/>
          <w:sz w:val="21"/>
          <w:szCs w:val="20"/>
        </w:rPr>
        <w:noBreakHyphen/>
      </w:r>
      <w:r>
        <w:rPr>
          <w:rFonts w:ascii="Times New Roman" w:cs="Times New Roman"/>
          <w:b/>
          <w:kern w:val="2"/>
          <w:sz w:val="21"/>
          <w:szCs w:val="20"/>
        </w:rPr>
        <w:fldChar w:fldCharType="begin"/>
      </w:r>
      <w:r>
        <w:rPr>
          <w:rFonts w:ascii="Times New Roman" w:cs="Times New Roman"/>
          <w:b/>
          <w:kern w:val="2"/>
          <w:sz w:val="21"/>
          <w:szCs w:val="20"/>
        </w:rPr>
        <w:instrText xml:space="preserve"> SEQ 表 \* ARABIC \s 1 </w:instrText>
      </w:r>
      <w:r>
        <w:rPr>
          <w:rFonts w:ascii="Times New Roman" w:cs="Times New Roman"/>
          <w:b/>
          <w:kern w:val="2"/>
          <w:sz w:val="21"/>
          <w:szCs w:val="20"/>
        </w:rPr>
        <w:fldChar w:fldCharType="separate"/>
      </w:r>
      <w:r>
        <w:rPr>
          <w:rFonts w:ascii="Times New Roman" w:cs="Times New Roman"/>
          <w:b/>
          <w:kern w:val="2"/>
          <w:sz w:val="21"/>
          <w:szCs w:val="20"/>
        </w:rPr>
        <w:t>2</w:t>
      </w:r>
      <w:r>
        <w:rPr>
          <w:rFonts w:ascii="Times New Roman" w:cs="Times New Roman"/>
          <w:b/>
          <w:kern w:val="2"/>
          <w:sz w:val="21"/>
          <w:szCs w:val="20"/>
        </w:rPr>
        <w:fldChar w:fldCharType="end"/>
      </w:r>
      <w:bookmarkEnd w:id="575"/>
      <w:r>
        <w:rPr>
          <w:rFonts w:ascii="Times New Roman" w:cs="Times New Roman"/>
          <w:b/>
          <w:kern w:val="2"/>
          <w:sz w:val="21"/>
          <w:szCs w:val="20"/>
        </w:rPr>
        <w:t xml:space="preserve">  应急预案主要内容一览表</w:t>
      </w:r>
    </w:p>
    <w:tbl>
      <w:tblPr>
        <w:tblStyle w:val="5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285"/>
        <w:gridCol w:w="68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785"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序号</w:t>
            </w:r>
          </w:p>
        </w:tc>
        <w:tc>
          <w:tcPr>
            <w:tcW w:w="1285"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项目</w:t>
            </w:r>
          </w:p>
        </w:tc>
        <w:tc>
          <w:tcPr>
            <w:tcW w:w="6876" w:type="dxa"/>
            <w:vAlign w:val="center"/>
          </w:tcPr>
          <w:p>
            <w:pPr>
              <w:widowControl/>
              <w:topLinePunct w:val="0"/>
              <w:snapToGrid w:val="0"/>
              <w:spacing w:line="240" w:lineRule="auto"/>
              <w:ind w:firstLine="0" w:firstLineChars="0"/>
              <w:jc w:val="center"/>
              <w:rPr>
                <w:rFonts w:ascii="Times New Roman" w:cs="Times New Roman"/>
                <w:b/>
                <w:kern w:val="2"/>
                <w:sz w:val="21"/>
                <w:szCs w:val="21"/>
              </w:rPr>
            </w:pPr>
            <w:r>
              <w:rPr>
                <w:rFonts w:ascii="Times New Roman" w:cs="Times New Roman"/>
                <w:b/>
                <w:kern w:val="2"/>
                <w:sz w:val="21"/>
                <w:szCs w:val="21"/>
              </w:rP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应急计划区</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危险目标：钻井地层</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环境保护目标：测试放喷时，井口周边</w:t>
            </w:r>
            <w:r>
              <w:rPr>
                <w:rFonts w:hint="eastAsia" w:ascii="Times New Roman" w:cs="Times New Roman"/>
                <w:kern w:val="2"/>
                <w:sz w:val="21"/>
                <w:szCs w:val="21"/>
              </w:rPr>
              <w:t>50</w:t>
            </w:r>
            <w:r>
              <w:rPr>
                <w:rFonts w:ascii="Times New Roman" w:cs="Times New Roman"/>
                <w:kern w:val="2"/>
                <w:sz w:val="21"/>
                <w:szCs w:val="21"/>
              </w:rPr>
              <w:t>0m为紧急撤离范围。当发生井喷失控时，一般撤离范围可根据监测情况决定。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2</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应急组织机构、人员</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组织机构为中原油田普光分公司，钻井队及其管理单位、当地政府。</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关键依靠钻井队、当地政府。</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充分、重点发挥地方镇乡、村级政府的组织能力，纳入应急组织机构中。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3</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预案分级</w:t>
            </w:r>
          </w:p>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响应条件</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规定预案的级别及分级响应程序：</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把重大环境污染事故定为三级，定性为一般，涉及组织单位为中原油田普光分公司、钻井队和当地环保部门。</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井喷及井喷失控定为一级。涉及组织单位为中原油田普光分公司、钻井队及其管理单位、当地政府。响应程度依次增强。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4</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应急救援</w:t>
            </w:r>
          </w:p>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保障</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应急设施，设备与器材等：</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井场配备测试、医疗、消防、疏散等应急设施。</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钻开气层前通知当地医院、消防队等方面救援保障力量以及钻井队主管部门、普光分公司的应急救援单位。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5</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报警、通讯联络方式</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规定应急状态下的报警通讯方式、通知方式和交通保障、管制：</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协调井队通过广播系统和电话通知。至少在1个小组设2个电话联络点。小组通知人员应指定4人负责通知本小组内的居民。并电话通知当地交警队负责交通保障、管制，不允许非救援车辆进入危险井口周边区域。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6</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应急环境监测、抢险、救援及控制</w:t>
            </w:r>
          </w:p>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措施</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环境应急监测可组织协调当地环境监测中心站。</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抢险、救援组织协调当地消防队、医院和钻井主管部门及普光分公司的应急队伍。</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控制措施主要由钻井队和其管理部门、普光分公司等部门共同协商控制。</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井喷失控的关键控制措施：应立即组织撤离井口周边</w:t>
            </w:r>
            <w:r>
              <w:rPr>
                <w:rFonts w:hint="eastAsia" w:ascii="Times New Roman" w:cs="Times New Roman"/>
                <w:kern w:val="2"/>
                <w:sz w:val="21"/>
                <w:szCs w:val="21"/>
              </w:rPr>
              <w:t>50</w:t>
            </w:r>
            <w:r>
              <w:rPr>
                <w:rFonts w:ascii="Times New Roman" w:cs="Times New Roman"/>
                <w:kern w:val="2"/>
                <w:sz w:val="21"/>
                <w:szCs w:val="21"/>
              </w:rPr>
              <w:t>0m的居民。同时保证井喷失控在15min内点火，燃烧泄漏天然气。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7</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应急检测、防护措施、清除泄漏措施和器材</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应急检测、防护采用井队配备的设备和消防队伍的设备，必要可增加普光分公司、钻井队主管部门的检测防护设备。清除泄漏必要时可通过消防车喷雾状水溶解将大气污染物转化为地表水污染物。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8</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人员紧急撤离、疏散，应急剂量控制、撤离组织计划</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紧急撤离区：井口外</w:t>
            </w:r>
            <w:r>
              <w:rPr>
                <w:rFonts w:hint="eastAsia" w:ascii="Times New Roman" w:cs="Times New Roman"/>
                <w:kern w:val="2"/>
                <w:sz w:val="21"/>
                <w:szCs w:val="21"/>
              </w:rPr>
              <w:t>50</w:t>
            </w:r>
            <w:r>
              <w:rPr>
                <w:rFonts w:ascii="Times New Roman" w:cs="Times New Roman"/>
                <w:kern w:val="2"/>
                <w:sz w:val="21"/>
                <w:szCs w:val="21"/>
              </w:rPr>
              <w:t>0m范围为紧急撤离区。撤离路线应根据钻井井场风向标，沿发生事故时的上风向方向或侧风向远离事故源方向撤离。通过高音喇叭、广播、电话及时通知周边各户居民，保证全部及时通知撤离。</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一般撤离区：当发生井喷失控时，一般撤离范围可根据监测情况决定。在发生事故时应自发和在应急组织机构的带领下及时撤离。撤离路线应根据钻井井场风向标，沿发生事故时的上风向或侧风向方向远离事故源方向撤离。由于涉及人员多，应通过应急组织机构负责组织撤离，通过广播系统和电话系统通知。由于远处居民不能看到风向标，在通知撤离时要由专业人员根据风向标说明撤离方向。可通过广播系统和电话系统通知，应通过协调村委会通过电话通知到小组，各组至少设立2个联络点。小组负责人指定4人负责通知小组内的居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9</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事故应急救援关闭程序与恢复措施</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规定应急状态终止程序事故现场善后处理，恢复措施邻近区域解除事故警戒及善后恢复措施</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（1）井喷失控得到控制，伤亡人员得到全部救援和安置，危险区域的居民全部撤离。</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2）恢复措施：对事故伤亡情况进行统计，应做好详细的记录并存档。行政领导组应尽快协调各部做好医疗救护工作，包括医疗经费的提供、受伤人员的住院安排与护理以及善后赔偿等；钻井队主管单位配合相关部门人员对受损设备尽快安排修复并投入生产使用。钻井队主管部门、普光分公司、当地政府成立事故调查小组，调查原因并按“四不放过”的原则进行事故处理；做出事故调查报告，同时总结事件教训，实行安全事故的教育培训，杜绝类似事件的再次发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10</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应急培训</w:t>
            </w:r>
          </w:p>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计划</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应急计划制定后，平时安排人员培训与演练：</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着重在钻含气层前的演练，把井口周边500m范围内居民纳入培训、演练队伍。井队安全监督要对井队全体员工进行应急救援培训，提高员工的应急救援能力。加强对组织人员向井场附近居民宣传井喷的危害及相关知识。井队队长及安全员负责指定应急培训计划，定期对应急组织机构成员和应急保障系统、应急信息的有关人员进行综合性应急培训并做好培训记录。应急演练应每个月开展一次，进入气层后半个月开展一次，通过演练掌握应急人员在应急抢险中对预案的熟悉程度和能力，二是加强抢险应急设备的维护保养，检查是否备足所需应急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11</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公众教育和信息</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对井场邻近地区开展公众教育、培训和发布有关信息：</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安全距离内居民进行公众教育，发宣传册。钻井工程前，要向可能危及居民安全范围内进行安全知识和遇紧急情况时的应急预案教育，提出紧急情况下的安全撤离要求。</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施工单位应主动联系当地政府，对紧急撤离区范围内的居民通过发放宣传册普及安全知识，内容应有危害程度、防范应急救护措施。同时应在进入含硫气层前对</w:t>
            </w:r>
            <w:r>
              <w:rPr>
                <w:rFonts w:hint="eastAsia" w:ascii="Times New Roman" w:cs="Times New Roman"/>
                <w:kern w:val="2"/>
                <w:sz w:val="21"/>
                <w:szCs w:val="21"/>
              </w:rPr>
              <w:t>50</w:t>
            </w:r>
            <w:r>
              <w:rPr>
                <w:rFonts w:ascii="Times New Roman" w:cs="Times New Roman"/>
                <w:kern w:val="2"/>
                <w:sz w:val="21"/>
                <w:szCs w:val="21"/>
              </w:rPr>
              <w:t>0m范围内的居民进行应急演练一次。对一般撤离区范围居民发放宣传册普及安全知识，内容应有危害程度、防范应急救护措施。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12</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夜间特别管理机制</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井场配备高音喇叭、防爆灯具，以便夜间事故及时通知周边较近距离的居民，防爆灯具应布置在井场内风向标处，以便井场人员和周边较近居民可判断风向，带领其他人员撤离。</w:t>
            </w:r>
          </w:p>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井场实行轮班制度，保证夜间各岗位有相应值班人员。对居民进行公众教育、培训中应强调夜间自救内容，要求居民夜间保持通讯设备的畅通，夜间不关手机等教育。强调在钻气层期间夜间保持一定的警惕，提出在夜间事故报警后应立即穿少量衣服，及时保证人员撤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13</w:t>
            </w:r>
          </w:p>
        </w:tc>
        <w:tc>
          <w:tcPr>
            <w:tcW w:w="1285" w:type="dxa"/>
            <w:vAlign w:val="center"/>
          </w:tcPr>
          <w:p>
            <w:pPr>
              <w:widowControl/>
              <w:topLinePunct w:val="0"/>
              <w:snapToGrid w:val="0"/>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备案</w:t>
            </w:r>
          </w:p>
        </w:tc>
        <w:tc>
          <w:tcPr>
            <w:tcW w:w="6876" w:type="dxa"/>
            <w:vAlign w:val="center"/>
          </w:tcPr>
          <w:p>
            <w:pPr>
              <w:widowControl/>
              <w:topLinePunct w:val="0"/>
              <w:snapToGrid w:val="0"/>
              <w:spacing w:line="240" w:lineRule="auto"/>
              <w:ind w:firstLine="0" w:firstLineChars="0"/>
              <w:jc w:val="left"/>
              <w:rPr>
                <w:rFonts w:ascii="Times New Roman" w:cs="Times New Roman"/>
                <w:kern w:val="2"/>
                <w:sz w:val="21"/>
                <w:szCs w:val="21"/>
              </w:rPr>
            </w:pPr>
            <w:r>
              <w:rPr>
                <w:rFonts w:ascii="Times New Roman" w:cs="Times New Roman"/>
                <w:kern w:val="2"/>
                <w:sz w:val="21"/>
                <w:szCs w:val="21"/>
              </w:rPr>
              <w:t>将本项目应急预案报送地方环保部门备案。</w:t>
            </w:r>
          </w:p>
        </w:tc>
      </w:tr>
    </w:tbl>
    <w:p>
      <w:pPr>
        <w:pStyle w:val="6"/>
        <w:ind w:firstLine="482"/>
        <w:rPr>
          <w:rFonts w:ascii="Times New Roman" w:cs="Times New Roman"/>
          <w:b/>
        </w:rPr>
      </w:pPr>
      <w:bookmarkStart w:id="576" w:name="_Toc12288765"/>
      <w:r>
        <w:rPr>
          <w:rFonts w:ascii="Times New Roman" w:cs="Times New Roman"/>
          <w:b/>
        </w:rPr>
        <w:t>1、通讯联络方式</w:t>
      </w:r>
      <w:bookmarkEnd w:id="576"/>
    </w:p>
    <w:p>
      <w:pPr>
        <w:pStyle w:val="6"/>
        <w:ind w:firstLine="480"/>
        <w:rPr>
          <w:rFonts w:ascii="Times New Roman" w:cs="Times New Roman"/>
        </w:rPr>
      </w:pPr>
      <w:r>
        <w:rPr>
          <w:rFonts w:hint="eastAsia" w:hAnsi="宋体"/>
        </w:rPr>
        <w:t>①</w:t>
      </w:r>
      <w:r>
        <w:rPr>
          <w:rFonts w:ascii="Times New Roman" w:cs="Times New Roman"/>
        </w:rPr>
        <w:t>报告方式</w:t>
      </w:r>
    </w:p>
    <w:p>
      <w:pPr>
        <w:pStyle w:val="6"/>
        <w:ind w:firstLine="480"/>
        <w:rPr>
          <w:rFonts w:ascii="Times New Roman" w:cs="Times New Roman"/>
        </w:rPr>
      </w:pPr>
      <w:r>
        <w:rPr>
          <w:rFonts w:ascii="Times New Roman" w:cs="Times New Roman"/>
        </w:rPr>
        <w:t>通常方式有：捎口信、固定电话、移动电话、传真和网络。</w:t>
      </w:r>
    </w:p>
    <w:p>
      <w:pPr>
        <w:pStyle w:val="6"/>
        <w:ind w:firstLine="480"/>
        <w:rPr>
          <w:rFonts w:ascii="Times New Roman" w:cs="Times New Roman"/>
        </w:rPr>
      </w:pPr>
      <w:r>
        <w:rPr>
          <w:rFonts w:ascii="Times New Roman" w:cs="Times New Roman"/>
        </w:rPr>
        <w:t>作业区向分公司报告，除非特别紧急的情况采用电话报告外，其它一律书面报告（电传）。</w:t>
      </w:r>
    </w:p>
    <w:p>
      <w:pPr>
        <w:pStyle w:val="6"/>
        <w:ind w:firstLine="480"/>
        <w:rPr>
          <w:rFonts w:ascii="Times New Roman" w:cs="Times New Roman"/>
        </w:rPr>
      </w:pPr>
      <w:r>
        <w:rPr>
          <w:rFonts w:ascii="Times New Roman" w:cs="Times New Roman"/>
        </w:rPr>
        <w:t>作业区向当地镇、县、市级政府及其职能部门报告事故时，采用先电话告之，后附书面报告。</w:t>
      </w:r>
    </w:p>
    <w:p>
      <w:pPr>
        <w:pStyle w:val="6"/>
        <w:ind w:firstLine="480"/>
        <w:rPr>
          <w:rFonts w:ascii="Times New Roman" w:cs="Times New Roman"/>
        </w:rPr>
      </w:pPr>
      <w:r>
        <w:rPr>
          <w:rFonts w:ascii="Times New Roman" w:cs="Times New Roman"/>
        </w:rPr>
        <w:t>作业区向村社报告事故时，采用电话或口头报告形式。</w:t>
      </w:r>
    </w:p>
    <w:p>
      <w:pPr>
        <w:pStyle w:val="6"/>
        <w:ind w:firstLine="480"/>
        <w:rPr>
          <w:rFonts w:ascii="Times New Roman" w:cs="Times New Roman"/>
        </w:rPr>
      </w:pPr>
      <w:r>
        <w:rPr>
          <w:rFonts w:hint="eastAsia" w:hAnsi="宋体"/>
        </w:rPr>
        <w:t>②</w:t>
      </w:r>
      <w:r>
        <w:rPr>
          <w:rFonts w:ascii="Times New Roman" w:cs="Times New Roman"/>
        </w:rPr>
        <w:t>报警方式，作业区确认事故后，对社会公众报警的方式为：电告当地市、区、镇人民政府和所属村社。</w:t>
      </w:r>
    </w:p>
    <w:p>
      <w:pPr>
        <w:pStyle w:val="6"/>
        <w:ind w:firstLine="480"/>
        <w:rPr>
          <w:rFonts w:ascii="Times New Roman" w:cs="Times New Roman"/>
        </w:rPr>
      </w:pPr>
      <w:r>
        <w:rPr>
          <w:rFonts w:ascii="Times New Roman" w:cs="Times New Roman"/>
        </w:rPr>
        <w:t>电告110、119。</w:t>
      </w:r>
    </w:p>
    <w:p>
      <w:pPr>
        <w:pStyle w:val="6"/>
        <w:ind w:firstLine="480"/>
        <w:rPr>
          <w:rFonts w:ascii="Times New Roman" w:cs="Times New Roman"/>
        </w:rPr>
      </w:pPr>
      <w:r>
        <w:rPr>
          <w:rFonts w:ascii="Times New Roman" w:cs="Times New Roman"/>
        </w:rPr>
        <w:t>电告社会团体或企事业单位。</w:t>
      </w:r>
    </w:p>
    <w:p>
      <w:pPr>
        <w:pStyle w:val="6"/>
        <w:ind w:firstLine="480"/>
        <w:rPr>
          <w:rFonts w:ascii="Times New Roman" w:cs="Times New Roman"/>
        </w:rPr>
      </w:pPr>
      <w:r>
        <w:rPr>
          <w:rFonts w:ascii="Times New Roman" w:cs="Times New Roman"/>
        </w:rPr>
        <w:t>用高音喇叭通知社会居民或采用口信，一传十，十传百的方式。借助天然气救险车的扩音设备，巡回告之。</w:t>
      </w:r>
    </w:p>
    <w:p>
      <w:pPr>
        <w:pStyle w:val="112"/>
        <w:ind w:firstLine="482"/>
        <w:rPr>
          <w:b/>
          <w:bCs/>
        </w:rPr>
      </w:pPr>
      <w:bookmarkStart w:id="577" w:name="_Toc12288766"/>
      <w:r>
        <w:rPr>
          <w:b/>
          <w:bCs/>
        </w:rPr>
        <w:t>2、应急响应</w:t>
      </w:r>
    </w:p>
    <w:p>
      <w:pPr>
        <w:pStyle w:val="6"/>
        <w:ind w:firstLine="480"/>
        <w:rPr>
          <w:rFonts w:ascii="Times New Roman" w:cs="Times New Roman"/>
        </w:rPr>
      </w:pPr>
      <w:r>
        <w:rPr>
          <w:rFonts w:ascii="Times New Roman" w:cs="Times New Roman"/>
        </w:rPr>
        <w:t>（1）险情发生后，应急指挥启动应急预案；</w:t>
      </w:r>
    </w:p>
    <w:p>
      <w:pPr>
        <w:pStyle w:val="6"/>
        <w:ind w:firstLine="480"/>
        <w:rPr>
          <w:rFonts w:ascii="Times New Roman" w:cs="Times New Roman"/>
        </w:rPr>
      </w:pPr>
      <w:r>
        <w:rPr>
          <w:rFonts w:ascii="Times New Roman" w:cs="Times New Roman"/>
        </w:rPr>
        <w:t>（2）应急小组立即形成，由应急指挥组组长统一发布应急指挥命令；</w:t>
      </w:r>
    </w:p>
    <w:p>
      <w:pPr>
        <w:pStyle w:val="6"/>
        <w:ind w:firstLine="480"/>
        <w:rPr>
          <w:rFonts w:ascii="Times New Roman" w:cs="Times New Roman"/>
        </w:rPr>
      </w:pPr>
      <w:r>
        <w:rPr>
          <w:rFonts w:ascii="Times New Roman" w:cs="Times New Roman"/>
        </w:rPr>
        <w:t>（3）生产抢修组负责现场流程的切换，协调、配合抢险单位实施应急抢险工作，以及在应急情况下现场人员的疏散（考虑该工程管道据居民房屋近的特点，还应组织附近居民的疏散）；</w:t>
      </w:r>
    </w:p>
    <w:p>
      <w:pPr>
        <w:pStyle w:val="6"/>
        <w:ind w:firstLine="480"/>
        <w:rPr>
          <w:rFonts w:ascii="Times New Roman" w:cs="Times New Roman"/>
        </w:rPr>
      </w:pPr>
      <w:r>
        <w:rPr>
          <w:rFonts w:ascii="Times New Roman" w:cs="Times New Roman"/>
        </w:rPr>
        <w:t>（4）安全监护组负责现场可燃气体的检测，安全警戒线的设置，并配合相关单位实施应急救援；</w:t>
      </w:r>
    </w:p>
    <w:p>
      <w:pPr>
        <w:pStyle w:val="6"/>
        <w:ind w:firstLine="480"/>
        <w:rPr>
          <w:rFonts w:ascii="Times New Roman" w:cs="Times New Roman"/>
        </w:rPr>
      </w:pPr>
      <w:r>
        <w:rPr>
          <w:rFonts w:ascii="Times New Roman" w:cs="Times New Roman"/>
        </w:rPr>
        <w:t>（5）通讯联络组负责建立抢险单位、救援单位及地方政府有关部门的联络；</w:t>
      </w:r>
    </w:p>
    <w:p>
      <w:pPr>
        <w:pStyle w:val="6"/>
        <w:ind w:firstLine="480"/>
        <w:rPr>
          <w:rFonts w:ascii="Times New Roman" w:cs="Times New Roman"/>
        </w:rPr>
      </w:pPr>
      <w:r>
        <w:rPr>
          <w:rFonts w:ascii="Times New Roman" w:cs="Times New Roman"/>
        </w:rPr>
        <w:t>（6）后勤保障组负责抢险物资组织，后勤、车辆的保障。</w:t>
      </w:r>
    </w:p>
    <w:p>
      <w:pPr>
        <w:pStyle w:val="6"/>
        <w:ind w:firstLine="480"/>
        <w:rPr>
          <w:rFonts w:ascii="Times New Roman" w:cs="Times New Roman"/>
        </w:rPr>
      </w:pPr>
      <w:r>
        <w:rPr>
          <w:rFonts w:ascii="Times New Roman" w:cs="Times New Roman"/>
        </w:rPr>
        <w:t>（7）站场发生异常情况（大面积泄漏、火灾、爆炸）</w:t>
      </w:r>
    </w:p>
    <w:p>
      <w:pPr>
        <w:pStyle w:val="6"/>
        <w:ind w:firstLine="480"/>
        <w:rPr>
          <w:rFonts w:ascii="Times New Roman" w:cs="Times New Roman"/>
        </w:rPr>
      </w:pPr>
      <w:r>
        <w:rPr>
          <w:rFonts w:ascii="Times New Roman" w:cs="Times New Roman"/>
        </w:rPr>
        <w:t>（8）站场值班人员在站控室按下装置ESD按钮，实行全站ESD紧急关断，生产系统闭式放空，同时即向应急指挥汇报起火部位、情况；</w:t>
      </w:r>
    </w:p>
    <w:p>
      <w:pPr>
        <w:pStyle w:val="6"/>
        <w:ind w:firstLine="480"/>
        <w:rPr>
          <w:rFonts w:ascii="Times New Roman" w:cs="Times New Roman"/>
        </w:rPr>
      </w:pPr>
      <w:r>
        <w:rPr>
          <w:rFonts w:ascii="Times New Roman" w:cs="Times New Roman"/>
        </w:rPr>
        <w:t>（9）应急指挥下令启动事故应急预案，在控制室向现场下达应急指令；</w:t>
      </w:r>
    </w:p>
    <w:p>
      <w:pPr>
        <w:pStyle w:val="6"/>
        <w:ind w:firstLine="480"/>
        <w:rPr>
          <w:rFonts w:ascii="Times New Roman" w:cs="Times New Roman"/>
        </w:rPr>
      </w:pPr>
      <w:r>
        <w:rPr>
          <w:rFonts w:ascii="Times New Roman" w:cs="Times New Roman"/>
        </w:rPr>
        <w:t>（10）通讯联络组迅速打电话报警，向中原油田普光分公司、中国石油化工股份有限公司汇报现场情况，并联系抢险单位实施紧急抢险工作，同时向有关地方政府机构通报情况，请求救援；</w:t>
      </w:r>
    </w:p>
    <w:p>
      <w:pPr>
        <w:pStyle w:val="6"/>
        <w:ind w:firstLine="480"/>
        <w:rPr>
          <w:rFonts w:ascii="Times New Roman" w:cs="Times New Roman"/>
        </w:rPr>
      </w:pPr>
      <w:r>
        <w:rPr>
          <w:rFonts w:ascii="Times New Roman" w:cs="Times New Roman"/>
        </w:rPr>
        <w:t>（11）生产抢修组人员立即切断生产现场电源，并对现场流程切断情况进行确认；</w:t>
      </w:r>
    </w:p>
    <w:p>
      <w:pPr>
        <w:pStyle w:val="6"/>
        <w:ind w:firstLine="480"/>
        <w:rPr>
          <w:rFonts w:ascii="Times New Roman" w:cs="Times New Roman"/>
        </w:rPr>
      </w:pPr>
      <w:r>
        <w:rPr>
          <w:rFonts w:ascii="Times New Roman" w:cs="Times New Roman"/>
        </w:rPr>
        <w:t>（12）如现场存在火情，现场抢修组使用固定式消防系统和移动式灭火器进行灭火；</w:t>
      </w:r>
    </w:p>
    <w:p>
      <w:pPr>
        <w:pStyle w:val="6"/>
        <w:ind w:firstLine="480"/>
        <w:rPr>
          <w:rFonts w:ascii="Times New Roman" w:cs="Times New Roman"/>
        </w:rPr>
      </w:pPr>
      <w:r>
        <w:rPr>
          <w:rFonts w:ascii="Times New Roman" w:cs="Times New Roman"/>
        </w:rPr>
        <w:t>（13）安全监护组负责在现场进行检测，在影响距离外设置警戒线，进行安全监护；</w:t>
      </w:r>
    </w:p>
    <w:p>
      <w:pPr>
        <w:pStyle w:val="6"/>
        <w:ind w:firstLine="480"/>
        <w:rPr>
          <w:rFonts w:ascii="Times New Roman" w:cs="Times New Roman"/>
        </w:rPr>
      </w:pPr>
      <w:r>
        <w:rPr>
          <w:rFonts w:ascii="Times New Roman" w:cs="Times New Roman"/>
        </w:rPr>
        <w:t>（14）抢修现场严禁使用非防爆用具，车辆一律熄火站外停放，确因工作需要进入现场的车辆必须佩带防火帽，经安全监护组确认安全后，按指定路线行进；</w:t>
      </w:r>
    </w:p>
    <w:p>
      <w:pPr>
        <w:pStyle w:val="6"/>
        <w:ind w:firstLine="480"/>
        <w:rPr>
          <w:rFonts w:ascii="Times New Roman" w:cs="Times New Roman"/>
        </w:rPr>
      </w:pPr>
      <w:r>
        <w:rPr>
          <w:rFonts w:ascii="Times New Roman" w:cs="Times New Roman"/>
        </w:rPr>
        <w:t>（15）后勤保障组负责组织相关的应急抢险物资；</w:t>
      </w:r>
    </w:p>
    <w:p>
      <w:pPr>
        <w:pStyle w:val="6"/>
        <w:ind w:firstLine="480"/>
        <w:rPr>
          <w:rFonts w:ascii="Times New Roman" w:cs="Times New Roman"/>
        </w:rPr>
      </w:pPr>
      <w:r>
        <w:rPr>
          <w:rFonts w:ascii="Times New Roman" w:cs="Times New Roman"/>
        </w:rPr>
        <w:t>（16）若现场情况无法控制，现场抢修组组织现场人员进行撤离。</w:t>
      </w:r>
    </w:p>
    <w:p>
      <w:pPr>
        <w:pStyle w:val="6"/>
        <w:ind w:firstLine="482"/>
        <w:rPr>
          <w:rFonts w:ascii="Times New Roman" w:cs="Times New Roman"/>
          <w:b/>
          <w:bCs/>
        </w:rPr>
      </w:pPr>
      <w:r>
        <w:rPr>
          <w:rFonts w:ascii="Times New Roman" w:cs="Times New Roman"/>
          <w:b/>
          <w:bCs/>
        </w:rPr>
        <w:t>3、事故应急处理措施</w:t>
      </w:r>
      <w:bookmarkEnd w:id="577"/>
    </w:p>
    <w:p>
      <w:pPr>
        <w:pStyle w:val="112"/>
        <w:ind w:firstLine="482"/>
        <w:rPr>
          <w:b/>
        </w:rPr>
      </w:pPr>
      <w:r>
        <w:rPr>
          <w:rFonts w:hint="eastAsia"/>
          <w:b/>
        </w:rPr>
        <w:t>3.1井喷及井喷失控</w:t>
      </w:r>
      <w:r>
        <w:rPr>
          <w:b/>
        </w:rPr>
        <w:t>应急措施</w:t>
      </w:r>
    </w:p>
    <w:p>
      <w:pPr>
        <w:pStyle w:val="112"/>
        <w:ind w:firstLine="480"/>
        <w:rPr>
          <w:rFonts w:hAnsi="宋体"/>
        </w:rPr>
      </w:pPr>
      <w:r>
        <w:rPr>
          <w:rFonts w:hint="eastAsia" w:hAnsi="宋体"/>
        </w:rPr>
        <w:t>井喷时立即启动应急预案，根据事态发展变化情况，事故现场抢险指挥部根据应急领导小组的指令并充分考虑专家和有关意见的基础上，依法采取紧急措施，并注意做好以下工作：</w:t>
      </w:r>
    </w:p>
    <w:p>
      <w:pPr>
        <w:pStyle w:val="112"/>
        <w:ind w:firstLine="480"/>
        <w:rPr>
          <w:rFonts w:hAnsi="宋体"/>
        </w:rPr>
      </w:pPr>
      <w:r>
        <w:rPr>
          <w:rFonts w:hint="eastAsia" w:hAnsi="宋体"/>
        </w:rPr>
        <w:t>1）井喷失控后严防着火和爆炸。应立即停钻机、机房柴油机，切断井架、钻台、机泵房等处全部照明灯和用电设备的电源，熄灭一切火源，需要时打开专用探照灯，并组织警戒。</w:t>
      </w:r>
    </w:p>
    <w:p>
      <w:pPr>
        <w:pStyle w:val="112"/>
        <w:ind w:firstLine="480"/>
        <w:rPr>
          <w:rFonts w:hAnsi="宋体"/>
        </w:rPr>
      </w:pPr>
      <w:r>
        <w:rPr>
          <w:rFonts w:hint="eastAsia" w:hAnsi="宋体"/>
        </w:rPr>
        <w:t>2）立即向当地政府报告，协助当地政府作好井口周围500m范围内居民的疏散工作，</w:t>
      </w:r>
      <w:r>
        <w:rPr>
          <w:rFonts w:hAnsi="宋体"/>
        </w:rPr>
        <w:t>同时通报普光分</w:t>
      </w:r>
      <w:r>
        <w:rPr>
          <w:rFonts w:hint="eastAsia" w:hAnsi="宋体"/>
        </w:rPr>
        <w:t>公司</w:t>
      </w:r>
      <w:r>
        <w:rPr>
          <w:rFonts w:hAnsi="宋体"/>
        </w:rPr>
        <w:t>应急指挥中心办公室</w:t>
      </w:r>
      <w:r>
        <w:rPr>
          <w:rFonts w:hint="eastAsia" w:hAnsi="宋体"/>
        </w:rPr>
        <w:t>。</w:t>
      </w:r>
    </w:p>
    <w:p>
      <w:pPr>
        <w:pStyle w:val="112"/>
        <w:ind w:firstLine="480"/>
        <w:rPr>
          <w:rFonts w:hAnsi="宋体"/>
        </w:rPr>
      </w:pPr>
      <w:r>
        <w:rPr>
          <w:rFonts w:hint="eastAsia" w:hAnsi="宋体"/>
        </w:rPr>
        <w:t>3）设置观察点，定时取样，监测（大气/空气）中的（天然气、H</w:t>
      </w:r>
      <w:r>
        <w:rPr>
          <w:rFonts w:hint="eastAsia" w:hAnsi="宋体"/>
          <w:vertAlign w:val="subscript"/>
        </w:rPr>
        <w:t>2</w:t>
      </w:r>
      <w:r>
        <w:rPr>
          <w:rFonts w:hint="eastAsia" w:hAnsi="宋体"/>
        </w:rPr>
        <w:t>S和二氧化碳含量/有毒有害气体（如H</w:t>
      </w:r>
      <w:r>
        <w:rPr>
          <w:rFonts w:hint="eastAsia" w:hAnsi="宋体"/>
          <w:vertAlign w:val="subscript"/>
        </w:rPr>
        <w:t>2</w:t>
      </w:r>
      <w:r>
        <w:rPr>
          <w:rFonts w:hint="eastAsia" w:hAnsi="宋体"/>
        </w:rPr>
        <w:t>S）的浓度），划分安全范围。</w:t>
      </w:r>
    </w:p>
    <w:p>
      <w:pPr>
        <w:pStyle w:val="112"/>
        <w:ind w:firstLine="480"/>
        <w:rPr>
          <w:rFonts w:hAnsi="宋体"/>
        </w:rPr>
      </w:pPr>
      <w:r>
        <w:rPr>
          <w:rFonts w:hint="eastAsia" w:hAnsi="宋体"/>
        </w:rPr>
        <w:t>4）迅速成立现场抢险领导小组，根据失控状况制定抢险方案，统一指挥、组织和协调抢险工作。抢险方案</w:t>
      </w:r>
      <w:r>
        <w:rPr>
          <w:rFonts w:hint="eastAsia" w:hAnsi="宋体"/>
          <w:lang w:eastAsia="zh-CN"/>
        </w:rPr>
        <w:t>制定</w:t>
      </w:r>
      <w:r>
        <w:rPr>
          <w:rFonts w:hint="eastAsia" w:hAnsi="宋体"/>
        </w:rPr>
        <w:t>及实施，要把环境保护同时考虑，同时实施，防止出现次生环境事故。</w:t>
      </w:r>
    </w:p>
    <w:p>
      <w:pPr>
        <w:pStyle w:val="112"/>
        <w:ind w:firstLine="480"/>
        <w:rPr>
          <w:rFonts w:hAnsi="宋体"/>
        </w:rPr>
      </w:pPr>
      <w:r>
        <w:rPr>
          <w:rFonts w:hint="eastAsia" w:hAnsi="宋体"/>
        </w:rPr>
        <w:t>5）继续监测污染区有毒有害气体的浓度，根据监测情况决定是否扩大撤离范围。</w:t>
      </w:r>
    </w:p>
    <w:p>
      <w:pPr>
        <w:pStyle w:val="112"/>
        <w:ind w:firstLine="480"/>
        <w:rPr>
          <w:rFonts w:hAnsi="宋体"/>
        </w:rPr>
      </w:pPr>
      <w:r>
        <w:rPr>
          <w:rFonts w:hint="eastAsia" w:hAnsi="宋体"/>
        </w:rPr>
        <w:t>6）当井喷失控时，应采取如下措施：</w:t>
      </w:r>
    </w:p>
    <w:p>
      <w:pPr>
        <w:pStyle w:val="112"/>
        <w:ind w:firstLine="480"/>
        <w:rPr>
          <w:rFonts w:hAnsi="宋体"/>
        </w:rPr>
      </w:pPr>
      <w:r>
        <w:rPr>
          <w:rFonts w:hint="eastAsia" w:hAnsi="宋体"/>
        </w:rPr>
        <w:t>（1）立即通知并协助当地政府疏散井口500m范围内的居民和其他人员，根据监测情况，考虑风向、地形、人口密度、受污染程度等情况及时作出风险和危害程度评估，决定是否扩大撤离范围。</w:t>
      </w:r>
    </w:p>
    <w:p>
      <w:pPr>
        <w:pStyle w:val="112"/>
        <w:ind w:firstLine="480"/>
        <w:rPr>
          <w:rFonts w:hAnsi="宋体"/>
        </w:rPr>
      </w:pPr>
      <w:r>
        <w:rPr>
          <w:rFonts w:hint="eastAsia" w:hAnsi="宋体"/>
        </w:rPr>
        <w:t>（2）关停生产设施。</w:t>
      </w:r>
    </w:p>
    <w:p>
      <w:pPr>
        <w:pStyle w:val="112"/>
        <w:ind w:firstLine="480"/>
        <w:rPr>
          <w:rFonts w:hAnsi="宋体"/>
        </w:rPr>
      </w:pPr>
      <w:r>
        <w:rPr>
          <w:rFonts w:hint="eastAsia" w:hAnsi="宋体"/>
        </w:rPr>
        <w:t>（3）请求援助。</w:t>
      </w:r>
    </w:p>
    <w:p>
      <w:pPr>
        <w:pStyle w:val="112"/>
        <w:ind w:firstLine="480"/>
        <w:rPr>
          <w:rFonts w:hAnsi="宋体"/>
        </w:rPr>
      </w:pPr>
      <w:r>
        <w:rPr>
          <w:rFonts w:hint="eastAsia" w:hAnsi="宋体"/>
        </w:rPr>
        <w:t>7）在确保人员安全前提下，将氧气瓶、油罐等易燃易爆物品撤离危险区。</w:t>
      </w:r>
    </w:p>
    <w:p>
      <w:pPr>
        <w:pStyle w:val="112"/>
        <w:ind w:firstLine="480"/>
        <w:rPr>
          <w:rFonts w:hAnsi="宋体"/>
        </w:rPr>
      </w:pPr>
      <w:r>
        <w:rPr>
          <w:rFonts w:hint="eastAsia" w:hAnsi="宋体"/>
        </w:rPr>
        <w:t>8）点火条件及点火时间</w:t>
      </w:r>
    </w:p>
    <w:p>
      <w:pPr>
        <w:pStyle w:val="112"/>
        <w:ind w:firstLine="480"/>
        <w:rPr>
          <w:rFonts w:hAnsi="宋体"/>
        </w:rPr>
      </w:pPr>
      <w:r>
        <w:rPr>
          <w:rFonts w:hint="eastAsia" w:hAnsi="宋体"/>
        </w:rPr>
        <w:t>井喷失控后，在15min内完成井口点火燃烧泄漏天然气，将天然气燃烧转化为CO</w:t>
      </w:r>
      <w:r>
        <w:rPr>
          <w:rFonts w:hint="eastAsia" w:hAnsi="宋体"/>
          <w:vertAlign w:val="subscript"/>
        </w:rPr>
        <w:t>2</w:t>
      </w:r>
      <w:r>
        <w:rPr>
          <w:rFonts w:hint="eastAsia" w:hAnsi="宋体"/>
        </w:rPr>
        <w:t>和H</w:t>
      </w:r>
      <w:r>
        <w:rPr>
          <w:rFonts w:hint="eastAsia" w:hAnsi="宋体"/>
          <w:vertAlign w:val="subscript"/>
        </w:rPr>
        <w:t>2</w:t>
      </w:r>
      <w:r>
        <w:rPr>
          <w:rFonts w:hint="eastAsia" w:hAnsi="宋体"/>
        </w:rPr>
        <w:t>O。</w:t>
      </w:r>
    </w:p>
    <w:p>
      <w:pPr>
        <w:pStyle w:val="112"/>
        <w:ind w:firstLine="480"/>
        <w:rPr>
          <w:rFonts w:hAnsi="宋体"/>
        </w:rPr>
      </w:pPr>
      <w:r>
        <w:rPr>
          <w:rFonts w:hint="eastAsia" w:hAnsi="宋体"/>
        </w:rPr>
        <w:t>9）气井井口点火程序：</w:t>
      </w:r>
    </w:p>
    <w:p>
      <w:pPr>
        <w:pStyle w:val="112"/>
        <w:ind w:firstLine="480"/>
        <w:rPr>
          <w:rFonts w:hAnsi="宋体"/>
        </w:rPr>
      </w:pPr>
      <w:r>
        <w:rPr>
          <w:rFonts w:hint="eastAsia" w:hAnsi="宋体"/>
        </w:rPr>
        <w:t>（1）气井井喷或井喷失控事故发生后，应防止着火和爆炸。</w:t>
      </w:r>
    </w:p>
    <w:p>
      <w:pPr>
        <w:pStyle w:val="112"/>
        <w:ind w:firstLine="480"/>
        <w:rPr>
          <w:rFonts w:hAnsi="宋体"/>
        </w:rPr>
      </w:pPr>
      <w:r>
        <w:rPr>
          <w:rFonts w:hint="eastAsia" w:hAnsi="宋体"/>
        </w:rPr>
        <w:t>（2）发生井喷后应采取措施控制井喷，若井口压力有可能超过允许关井压力，需点火放喷时，井场应先点火后放喷。</w:t>
      </w:r>
    </w:p>
    <w:p>
      <w:pPr>
        <w:pStyle w:val="112"/>
        <w:ind w:firstLine="480"/>
        <w:rPr>
          <w:rFonts w:hAnsi="宋体"/>
        </w:rPr>
      </w:pPr>
      <w:r>
        <w:rPr>
          <w:rFonts w:hint="eastAsia" w:hAnsi="宋体"/>
        </w:rPr>
        <w:t>（3）井喷失控后，在人员的生命受到巨大威胁、人员撤离无望、失控井无希望得到控制的情况下，作为最后手段应按抢险作业程序对油气井井口实施点火。</w:t>
      </w:r>
    </w:p>
    <w:p>
      <w:pPr>
        <w:pStyle w:val="112"/>
        <w:ind w:firstLine="480"/>
        <w:rPr>
          <w:rFonts w:hAnsi="宋体"/>
        </w:rPr>
      </w:pPr>
      <w:r>
        <w:rPr>
          <w:rFonts w:hint="eastAsia" w:hAnsi="宋体"/>
        </w:rPr>
        <w:t>（4）气井点火程序的相关内容应在应急预案中予以明确。油气井点火决策人宜由建设单位代表或其授权的现场负责人来担任，并列入应急预案中。</w:t>
      </w:r>
    </w:p>
    <w:p>
      <w:pPr>
        <w:pStyle w:val="112"/>
        <w:ind w:firstLine="480"/>
        <w:rPr>
          <w:rFonts w:hAnsi="宋体"/>
        </w:rPr>
      </w:pPr>
      <w:r>
        <w:rPr>
          <w:rFonts w:hint="eastAsia" w:hAnsi="宋体"/>
        </w:rPr>
        <w:t>（5）井场应配备自动点火装置，并备用手动点火器具。点火人员佩戴防护器具，在上风方向，尽量远离井口使用移动点火器具点火；其他人员集中到上风方向的安全区。</w:t>
      </w:r>
    </w:p>
    <w:p>
      <w:pPr>
        <w:pStyle w:val="112"/>
        <w:ind w:firstLine="480"/>
        <w:rPr>
          <w:rFonts w:hAnsi="宋体"/>
        </w:rPr>
      </w:pPr>
      <w:r>
        <w:rPr>
          <w:rFonts w:hint="eastAsia" w:hAnsi="宋体"/>
        </w:rPr>
        <w:t>（6）点火后应对下风方向尤其是井场生活区、周围集中居住区、医院、学校等人员聚集场所的二氧化硫的浓度进行监测。</w:t>
      </w:r>
    </w:p>
    <w:p>
      <w:pPr>
        <w:pStyle w:val="112"/>
        <w:ind w:firstLine="480"/>
        <w:rPr>
          <w:rFonts w:hAnsi="宋体"/>
        </w:rPr>
      </w:pPr>
      <w:r>
        <w:rPr>
          <w:rFonts w:hint="eastAsia" w:hAnsi="宋体"/>
        </w:rPr>
        <w:t>10）井喷发生后，及时安排消防车、救护车、医护人员和技安人员到现场。</w:t>
      </w:r>
    </w:p>
    <w:p>
      <w:pPr>
        <w:pStyle w:val="112"/>
        <w:ind w:firstLine="480"/>
        <w:rPr>
          <w:rFonts w:hAnsi="宋体"/>
        </w:rPr>
      </w:pPr>
      <w:r>
        <w:rPr>
          <w:rFonts w:hint="eastAsia" w:hAnsi="宋体"/>
        </w:rPr>
        <w:t>11）在邻近江河、湖泊、环境敏感区以及交通干线等地区，要在进行处置井喷事故的同时，充分考虑到事故和次生事故对环境可能造成的威胁，要严密制定并采取对环境敏感区和易受损资源的保护措施，防止事态扩大和引发次生灾害。</w:t>
      </w:r>
    </w:p>
    <w:p>
      <w:pPr>
        <w:pStyle w:val="112"/>
        <w:ind w:firstLine="480"/>
      </w:pPr>
      <w:r>
        <w:t>1</w:t>
      </w:r>
      <w:r>
        <w:rPr>
          <w:rFonts w:hint="eastAsia"/>
        </w:rPr>
        <w:t>2</w:t>
      </w:r>
      <w:r>
        <w:rPr>
          <w:rFonts w:hAnsi="宋体"/>
        </w:rPr>
        <w:t>）在事故处理结束后，确认作业现场及其周边环境安全的情况下，和地方政府商定撤离群众的返回时间。</w:t>
      </w:r>
    </w:p>
    <w:p>
      <w:pPr>
        <w:pStyle w:val="112"/>
        <w:ind w:firstLine="482"/>
        <w:rPr>
          <w:b/>
        </w:rPr>
      </w:pPr>
      <w:r>
        <w:rPr>
          <w:rFonts w:hint="eastAsia"/>
          <w:b/>
        </w:rPr>
        <w:t>3.2井喷应急</w:t>
      </w:r>
      <w:r>
        <w:rPr>
          <w:b/>
        </w:rPr>
        <w:t>疏散预案</w:t>
      </w:r>
    </w:p>
    <w:p>
      <w:pPr>
        <w:pStyle w:val="112"/>
        <w:ind w:firstLine="480"/>
      </w:pPr>
      <w:r>
        <w:rPr>
          <w:rFonts w:hint="eastAsia"/>
        </w:rPr>
        <w:t>当井喷失控时，应立即通知并协助当地政府疏散井口500m范围内的居民和其他人员，根据监测情况，考虑风向、地形、人口密度、受污染程度等情况及时作出风险和危害程度评估，决定是否扩大撤离范围。</w:t>
      </w:r>
    </w:p>
    <w:p>
      <w:pPr>
        <w:pStyle w:val="112"/>
        <w:ind w:firstLine="480"/>
      </w:pPr>
      <w:r>
        <w:rPr>
          <w:rFonts w:hint="eastAsia"/>
        </w:rPr>
        <w:t>1）疏散方向原则</w:t>
      </w:r>
    </w:p>
    <w:p>
      <w:pPr>
        <w:pStyle w:val="112"/>
        <w:ind w:firstLine="480"/>
      </w:pPr>
      <w:r>
        <w:rPr>
          <w:rFonts w:hint="eastAsia"/>
        </w:rPr>
        <w:t>总体原则为远离泄漏源。（1）首先向远离泄漏源的方向撤离；（2）其次向上风向或侧风向撤离；（3）向高处撤离；（4）向交通方便处撤离。</w:t>
      </w:r>
    </w:p>
    <w:p>
      <w:pPr>
        <w:pStyle w:val="112"/>
        <w:ind w:firstLine="480"/>
      </w:pPr>
      <w:r>
        <w:rPr>
          <w:rFonts w:hint="eastAsia"/>
        </w:rPr>
        <w:t>2）考虑高程情况下应急撤离路径选择原则</w:t>
      </w:r>
    </w:p>
    <w:p>
      <w:pPr>
        <w:pStyle w:val="112"/>
        <w:ind w:firstLine="480"/>
      </w:pPr>
      <w:r>
        <w:rPr>
          <w:rFonts w:hint="eastAsia"/>
        </w:rPr>
        <w:t>（1）首先确保应急撤离路径为远离泄漏源的路径；（2）选择与泄漏源同一高程或高程增加的应急撤离路径；（3）选择交通方便的主要应急撤离路径。</w:t>
      </w:r>
    </w:p>
    <w:p>
      <w:pPr>
        <w:pStyle w:val="112"/>
        <w:ind w:firstLine="480"/>
      </w:pPr>
      <w:r>
        <w:rPr>
          <w:rFonts w:hint="eastAsia"/>
        </w:rPr>
        <w:t>3）井场人员撤离方式方法</w:t>
      </w:r>
    </w:p>
    <w:p>
      <w:pPr>
        <w:pStyle w:val="112"/>
        <w:ind w:firstLine="480"/>
      </w:pPr>
      <w:r>
        <w:rPr>
          <w:rFonts w:hint="eastAsia"/>
        </w:rPr>
        <w:t>指挥小组根据对事故发展的预测，撤离警报发出后，调度组将井场两处出口通道开至最大，指挥井场内人员及车辆离开，并禁止再次进入，同时指挥外部救援车辆有序进入场区进行事故抢险。</w:t>
      </w:r>
    </w:p>
    <w:p>
      <w:pPr>
        <w:pStyle w:val="112"/>
        <w:ind w:firstLine="480"/>
      </w:pPr>
      <w:r>
        <w:rPr>
          <w:rFonts w:hint="eastAsia"/>
        </w:rPr>
        <w:t>岗位操作人员，根据当班调度的指令，采取控制事故扩大的措施进行紧急工艺处理（含紧急停车）。非事故岗位人员按照要求关闭电器设备后，并根据当时风向撤离井场前后两集合点。并根据毒物扩散情况，适时撤离到安全地点。撤离时全体人员带上应急自救器材，发现有人受伤时，应先判断环境的安全性再进行救助。人员清点，由后勤保障组长或安全环保组组长指定人员统计应到人数，并及时报告领导小组，以便及时了解是否存在员工滞留在事故区。全体人员在指定的安全点停留，直到警报解除。</w:t>
      </w:r>
    </w:p>
    <w:p>
      <w:pPr>
        <w:pStyle w:val="112"/>
        <w:ind w:firstLine="480"/>
      </w:pPr>
      <w:r>
        <w:rPr>
          <w:rFonts w:hint="eastAsia"/>
        </w:rPr>
        <w:t>4）周边区域的单位、村居人员的疏散方式方法</w:t>
      </w:r>
    </w:p>
    <w:p>
      <w:pPr>
        <w:pStyle w:val="112"/>
        <w:ind w:firstLine="480"/>
      </w:pPr>
      <w:r>
        <w:rPr>
          <w:rFonts w:hint="eastAsia"/>
        </w:rPr>
        <w:t>指挥小组根据事故发展趋势的预测，通过警报器向周边单位、村居民发出疏散警报，警报一声表示井场发生严重事故；连续警报不停，告知周边单位、村居人员要进行疏散。对外联系组立即通过电话报告黄金镇、宣汉县政府等行政主管部门，申请联动应急救援，同时通知周边单位，村居负责人。周边单位、村居负责人立即组织本单位、村居人员，根据自己所处的位置，徒步有序地疏散到黄金镇、宣汉县设定的安全集合点。疏散人员要带上湿毛巾衣物，当闻到臭鸡蛋气味时将口鼻捂住。疏散时HSE管理组、后勤保障组、对外关系组应全力配合黄金镇、宣汉县政府的疏散工作。</w:t>
      </w:r>
    </w:p>
    <w:p>
      <w:pPr>
        <w:pStyle w:val="112"/>
        <w:ind w:firstLine="482"/>
        <w:rPr>
          <w:b/>
        </w:rPr>
      </w:pPr>
      <w:r>
        <w:rPr>
          <w:rFonts w:hint="eastAsia"/>
          <w:b/>
        </w:rPr>
        <w:t>3.3</w:t>
      </w:r>
      <w:r>
        <w:rPr>
          <w:b/>
        </w:rPr>
        <w:t>天然气管道风险事故应急措施</w:t>
      </w:r>
    </w:p>
    <w:p>
      <w:pPr>
        <w:pStyle w:val="112"/>
        <w:ind w:firstLine="480"/>
      </w:pPr>
      <w:r>
        <w:t>当项目天然气管道发生泄漏时，项目总负责人或其指定人员应向当地政府报告，协助当地政府立即疏散管线周围的居民，并立即组织对项目周边社会关注点的撤离。</w:t>
      </w:r>
    </w:p>
    <w:p>
      <w:pPr>
        <w:pStyle w:val="112"/>
        <w:ind w:firstLine="480"/>
      </w:pPr>
      <w:r>
        <w:rPr>
          <w:rFonts w:hint="eastAsia" w:ascii="宋体" w:hAnsi="宋体" w:cs="宋体"/>
        </w:rPr>
        <w:t>①</w:t>
      </w:r>
      <w:r>
        <w:t>天然气管道发生泄漏时：应关闭其进出口阀，截断站场气源，尽量控制、减少天然气的泄漏量。</w:t>
      </w:r>
    </w:p>
    <w:p>
      <w:pPr>
        <w:pStyle w:val="112"/>
        <w:ind w:firstLine="480"/>
      </w:pPr>
      <w:r>
        <w:rPr>
          <w:rFonts w:hint="eastAsia" w:ascii="宋体" w:hAnsi="宋体" w:cs="宋体"/>
        </w:rPr>
        <w:t>②</w:t>
      </w:r>
      <w:r>
        <w:t>天然气管线、设备的焊缝、甩头、仪表短接因腐蚀而引起的泄漏：应将手动打开装置前天然气压力调节阀、联锁阀，将天然气排放至放空系统；同时向调度室汇报，通知停止供气。</w:t>
      </w:r>
    </w:p>
    <w:p>
      <w:pPr>
        <w:pStyle w:val="112"/>
        <w:ind w:firstLine="480"/>
      </w:pPr>
      <w:r>
        <w:rPr>
          <w:rFonts w:hint="eastAsia" w:ascii="宋体" w:hAnsi="宋体" w:cs="宋体"/>
        </w:rPr>
        <w:t>③</w:t>
      </w:r>
      <w:r>
        <w:t>发生中毒事故：立即报告并调度就近救护车立即进入生产区，同时抢救人员戴好防毒面具，把中毒者救出现场，移至通风良好处，对呼吸及心跳停止者，立刻做人工呼吸，直至恢复正常或救护车到来。</w:t>
      </w:r>
    </w:p>
    <w:p>
      <w:pPr>
        <w:pStyle w:val="112"/>
        <w:ind w:firstLine="480"/>
      </w:pPr>
      <w:r>
        <w:rPr>
          <w:rFonts w:hint="eastAsia" w:ascii="宋体" w:hAnsi="宋体" w:cs="宋体"/>
        </w:rPr>
        <w:t>④</w:t>
      </w:r>
      <w:r>
        <w:t>根据事故可能危害的范围设置警戒，人员疏散路线朝泄漏处上风向，逃生时要注意风向，要沿上风（逆风）方向逃生，若所处位置沿上风方向逃生时的近道要经过甲烷严重污染区，则横向绕道避开管线吹来的下风，到达非污染区后，再沿上风方向逃生（离管线越远越好）；若所处位置在管线下风方向的较远处，且风速较小，不能沿上风方向逃生而又无横向逃生小道时，可以最快捷的方式顺风逃生到有横向绕道的地方，再横向逃生避开污染区后向上风方向及沿着地面上的高点方向逃生。</w:t>
      </w:r>
    </w:p>
    <w:p>
      <w:pPr>
        <w:pStyle w:val="112"/>
        <w:ind w:firstLine="480"/>
      </w:pPr>
      <w:r>
        <w:rPr>
          <w:rFonts w:hint="eastAsia" w:ascii="宋体" w:hAnsi="宋体" w:cs="宋体"/>
        </w:rPr>
        <w:t>⑤</w:t>
      </w:r>
      <w:r>
        <w:t>通知消防队，监护泄漏区域，防止引起火灾、爆炸。</w:t>
      </w:r>
    </w:p>
    <w:p>
      <w:pPr>
        <w:pStyle w:val="112"/>
        <w:ind w:firstLine="480"/>
      </w:pPr>
      <w:r>
        <w:rPr>
          <w:rFonts w:hint="eastAsia" w:ascii="宋体" w:hAnsi="宋体" w:cs="宋体"/>
        </w:rPr>
        <w:t>⑥</w:t>
      </w:r>
      <w:r>
        <w:t>时间就是生命，紧急逃生时，不要因收贵重物品等事宜延误时间，并且要轻装撤离逃生。</w:t>
      </w:r>
    </w:p>
    <w:p>
      <w:pPr>
        <w:pStyle w:val="112"/>
        <w:ind w:firstLine="480"/>
      </w:pPr>
      <w:r>
        <w:rPr>
          <w:rFonts w:hint="eastAsia" w:ascii="宋体" w:hAnsi="宋体" w:cs="宋体"/>
        </w:rPr>
        <w:t>⑦</w:t>
      </w:r>
      <w:r>
        <w:t>当所处位置离管线很远时，则只要偏离风向往离管线越来越远的方向逃生即可。</w:t>
      </w:r>
    </w:p>
    <w:p>
      <w:pPr>
        <w:pStyle w:val="112"/>
        <w:ind w:firstLine="482"/>
        <w:rPr>
          <w:b/>
          <w:bCs/>
        </w:rPr>
      </w:pPr>
      <w:bookmarkStart w:id="578" w:name="_Toc12288767"/>
      <w:r>
        <w:rPr>
          <w:b/>
          <w:bCs/>
        </w:rPr>
        <w:t>4、应急监测</w:t>
      </w:r>
      <w:bookmarkEnd w:id="578"/>
    </w:p>
    <w:p>
      <w:pPr>
        <w:pStyle w:val="112"/>
        <w:ind w:firstLine="480"/>
      </w:pPr>
      <w:r>
        <w:t>应急监测的项目：非甲烷总烃、</w:t>
      </w:r>
      <w:r>
        <w:rPr>
          <w:rFonts w:hint="eastAsia"/>
        </w:rPr>
        <w:t>甲烷</w:t>
      </w:r>
      <w:r>
        <w:t>。监测地点：出现事故地点</w:t>
      </w:r>
    </w:p>
    <w:p>
      <w:pPr>
        <w:pStyle w:val="112"/>
        <w:ind w:firstLine="480"/>
      </w:pPr>
      <w:r>
        <w:t>监测要求：主导风向结合敏感点进行布设。</w:t>
      </w:r>
    </w:p>
    <w:p>
      <w:pPr>
        <w:pStyle w:val="112"/>
        <w:ind w:firstLine="482"/>
        <w:rPr>
          <w:b/>
          <w:bCs/>
        </w:rPr>
      </w:pPr>
      <w:bookmarkStart w:id="579" w:name="_Toc12288768"/>
      <w:r>
        <w:rPr>
          <w:b/>
          <w:bCs/>
        </w:rPr>
        <w:t>5、事故后的恢复程序</w:t>
      </w:r>
      <w:bookmarkEnd w:id="579"/>
    </w:p>
    <w:p>
      <w:pPr>
        <w:pStyle w:val="112"/>
        <w:ind w:firstLine="480"/>
      </w:pPr>
      <w:r>
        <w:t>当恢复生产后，善后工作由现场人员负责具体落实，主要包括以下内容：</w:t>
      </w:r>
    </w:p>
    <w:p>
      <w:pPr>
        <w:pStyle w:val="112"/>
        <w:ind w:firstLine="480"/>
      </w:pPr>
      <w:r>
        <w:t>（1）对现场进行清理，撤除所有的机具设备。</w:t>
      </w:r>
    </w:p>
    <w:p>
      <w:pPr>
        <w:pStyle w:val="112"/>
        <w:ind w:firstLine="480"/>
      </w:pPr>
      <w:r>
        <w:t>（2）恢复地貌、植被；疏通河道、交通。</w:t>
      </w:r>
    </w:p>
    <w:p>
      <w:pPr>
        <w:pStyle w:val="112"/>
        <w:ind w:firstLine="480"/>
      </w:pPr>
      <w:r>
        <w:t>（3）根据事故破坏情况，进行评估，按照相关法律，进行赔偿。</w:t>
      </w:r>
    </w:p>
    <w:p>
      <w:pPr>
        <w:pStyle w:val="112"/>
        <w:ind w:firstLine="480"/>
      </w:pPr>
      <w:r>
        <w:t>（4）做好各项记录，进行归档整理。</w:t>
      </w:r>
    </w:p>
    <w:p>
      <w:pPr>
        <w:pStyle w:val="112"/>
        <w:ind w:firstLine="482"/>
        <w:rPr>
          <w:b/>
          <w:bCs/>
        </w:rPr>
      </w:pPr>
      <w:bookmarkStart w:id="580" w:name="_Toc12288769"/>
      <w:r>
        <w:rPr>
          <w:b/>
          <w:bCs/>
        </w:rPr>
        <w:t>6、应急培训与演练</w:t>
      </w:r>
      <w:bookmarkEnd w:id="580"/>
    </w:p>
    <w:p>
      <w:pPr>
        <w:pStyle w:val="112"/>
        <w:ind w:firstLine="480"/>
      </w:pPr>
      <w:r>
        <w:t>应急培训和演练是培养和提高各岗位操作人员以及其他人员的日常应急处理能力的重要手段。应急预案应明确规定以下内容：</w:t>
      </w:r>
    </w:p>
    <w:p>
      <w:pPr>
        <w:pStyle w:val="112"/>
        <w:ind w:firstLine="480"/>
      </w:pPr>
      <w:r>
        <w:t>（1）演练及考核计划</w:t>
      </w:r>
    </w:p>
    <w:p>
      <w:pPr>
        <w:pStyle w:val="112"/>
        <w:ind w:firstLine="480"/>
      </w:pPr>
      <w:r>
        <w:t>演练计划包括应急预案类型、演练时间、演练内容、参加人员、考核方式等要求。</w:t>
      </w:r>
    </w:p>
    <w:p>
      <w:pPr>
        <w:pStyle w:val="112"/>
        <w:ind w:firstLine="480"/>
      </w:pPr>
      <w:r>
        <w:t>（2）演练记录</w:t>
      </w:r>
    </w:p>
    <w:p>
      <w:pPr>
        <w:pStyle w:val="112"/>
        <w:ind w:firstLine="480"/>
      </w:pPr>
      <w:r>
        <w:t>演练记录包括应急预案类型、演练时间、演练人员名单、演练过程、考核结果、存在问题等项内容。演练记录存档备查。</w:t>
      </w:r>
    </w:p>
    <w:p>
      <w:pPr>
        <w:pStyle w:val="112"/>
        <w:ind w:firstLine="480"/>
      </w:pPr>
      <w:r>
        <w:t>（3）演练内容和形式</w:t>
      </w:r>
    </w:p>
    <w:p>
      <w:pPr>
        <w:pStyle w:val="112"/>
        <w:ind w:firstLine="480"/>
      </w:pPr>
      <w:r>
        <w:t>强化应急器材、医疗急救等方面的演练；</w:t>
      </w:r>
    </w:p>
    <w:p>
      <w:pPr>
        <w:pStyle w:val="112"/>
        <w:ind w:firstLine="480"/>
      </w:pPr>
      <w:r>
        <w:t>采用答卷方式对操作人员进行应急预案教育；</w:t>
      </w:r>
    </w:p>
    <w:p>
      <w:pPr>
        <w:pStyle w:val="112"/>
        <w:ind w:firstLine="480"/>
      </w:pPr>
      <w:r>
        <w:t>按照事故应急预案，以岗位为单位进行实战模拟演练；和地方消防、医疗等单位举行较大规模的实战模拟演练；</w:t>
      </w:r>
    </w:p>
    <w:p>
      <w:pPr>
        <w:pStyle w:val="112"/>
        <w:ind w:firstLine="480"/>
      </w:pPr>
      <w:r>
        <w:t>采取各种形式（如电视、电影、宣传手册等）对站场周围</w:t>
      </w:r>
      <w:r>
        <w:rPr>
          <w:rFonts w:hint="eastAsia"/>
        </w:rPr>
        <w:t>5km及</w:t>
      </w:r>
      <w:r>
        <w:t>管道工程周边的民众进行应急知识宣传，在站场周围</w:t>
      </w:r>
      <w:r>
        <w:rPr>
          <w:rFonts w:hint="eastAsia"/>
        </w:rPr>
        <w:t>5km及</w:t>
      </w:r>
      <w:r>
        <w:t>管道</w:t>
      </w:r>
      <w:r>
        <w:rPr>
          <w:rFonts w:hint="eastAsia"/>
        </w:rPr>
        <w:t>2</w:t>
      </w:r>
      <w:r>
        <w:t>00m内有居民的村庄进行居民疏散演练。</w:t>
      </w:r>
    </w:p>
    <w:p>
      <w:pPr>
        <w:pStyle w:val="112"/>
        <w:ind w:firstLine="480"/>
      </w:pPr>
      <w:r>
        <w:t>（4）总结</w:t>
      </w:r>
    </w:p>
    <w:p>
      <w:pPr>
        <w:pStyle w:val="112"/>
        <w:ind w:firstLine="480"/>
      </w:pPr>
      <w:r>
        <w:t>演练结束后应就演练过程与应急预案的要求进行对比，可采取自我评估或第三方评估的方式对预案实施过程中存在的问题进行评估，根据评估结果对应急预案进行修改、完善。</w:t>
      </w:r>
    </w:p>
    <w:p>
      <w:pPr>
        <w:pStyle w:val="3"/>
        <w:spacing w:before="120"/>
        <w:rPr>
          <w:rFonts w:cs="Times New Roman"/>
        </w:rPr>
      </w:pPr>
      <w:bookmarkStart w:id="581" w:name="bookmark65"/>
      <w:bookmarkEnd w:id="581"/>
      <w:bookmarkStart w:id="582" w:name="_Toc12288770"/>
      <w:bookmarkStart w:id="583" w:name="_Toc19816117"/>
      <w:bookmarkStart w:id="584" w:name="_Toc81515303"/>
      <w:r>
        <w:rPr>
          <w:rFonts w:cs="Times New Roman"/>
        </w:rPr>
        <w:t>7.1</w:t>
      </w:r>
      <w:bookmarkEnd w:id="582"/>
      <w:bookmarkEnd w:id="583"/>
      <w:r>
        <w:rPr>
          <w:rFonts w:cs="Times New Roman"/>
        </w:rPr>
        <w:t>1 环境风险评价结论与建议</w:t>
      </w:r>
      <w:bookmarkEnd w:id="584"/>
    </w:p>
    <w:p>
      <w:pPr>
        <w:pStyle w:val="112"/>
        <w:ind w:firstLine="480"/>
      </w:pPr>
      <w:bookmarkStart w:id="585" w:name="bookmark66"/>
      <w:bookmarkEnd w:id="585"/>
      <w:r>
        <w:t>本项目最大可行事故为</w:t>
      </w:r>
      <w:r>
        <w:rPr>
          <w:rFonts w:hint="eastAsia"/>
        </w:rPr>
        <w:t>井喷失控造成天然气释放，根据预测结果：</w:t>
      </w:r>
      <w:r>
        <w:t>最不利气象状况下，甲烷泄漏，超过毒性终点浓度-1和毒性终点浓度-2的距离均为0m，下风向的最大浓度均远低于毒性终点浓度-1和毒性终点浓度-2，若发生井喷事故，应对井场周边</w:t>
      </w:r>
      <w:r>
        <w:rPr>
          <w:rFonts w:hint="eastAsia"/>
        </w:rPr>
        <w:t>500m范围内的居民采取</w:t>
      </w:r>
      <w:r>
        <w:t>紧急疏散措施</w:t>
      </w:r>
      <w:r>
        <w:rPr>
          <w:rFonts w:hint="eastAsia"/>
        </w:rPr>
        <w:t>，同时井喷失控事故发生后及时进行点火，以减轻事故风险对环境的影响</w:t>
      </w:r>
      <w:r>
        <w:t>。</w:t>
      </w:r>
    </w:p>
    <w:p>
      <w:pPr>
        <w:pStyle w:val="112"/>
        <w:ind w:firstLine="480"/>
      </w:pPr>
      <w:r>
        <w:rPr>
          <w:rFonts w:hint="eastAsia"/>
        </w:rPr>
        <w:t>与工程地层情况类似的相邻井在钻井中未发生井喷失控事故，发生可能诱发井喷失控的不良现象很少，但事故发生对环境的影响重大，工程主管部门通过完善井控、防火、防爆安全以及安全防护等措施，尤其是井喷失控后在15min内点火、撤离居民等关键措施。制定详尽有效的事故应急方案，充分提高队伍的事故防范能力，严格按照钻井设计和行业规范作业，强化健康、安全、环境管理（HSE），该项目的环境风险值会大大的降低。通过按行业规范要求和环评要求进行风险防范和制定应急措施，将该项目环境风险机率和风险影响降低，本项目环境风险可控。</w:t>
      </w:r>
    </w:p>
    <w:p>
      <w:pPr>
        <w:pStyle w:val="112"/>
        <w:ind w:firstLine="480"/>
      </w:pPr>
      <w:r>
        <w:rPr>
          <w:rFonts w:hint="eastAsia"/>
        </w:rPr>
        <w:t>本工程的其他风险防范措施：</w:t>
      </w:r>
      <w:r>
        <w:t>本项目为天然气开采和内部集输工程，工程在选线上已尽量避开人口密集区和不良地质区。管线两端的站场均设置了安全截断装置，一旦发生事故可以立即采取措施，将其对环境的影响控制在可接受范围内，不会对沿线居民和当地环境造成重大不良影响。此外，柴油储罐</w:t>
      </w:r>
      <w:r>
        <w:rPr>
          <w:rFonts w:hint="eastAsia"/>
        </w:rPr>
        <w:t>、凝析油储罐</w:t>
      </w:r>
      <w:r>
        <w:t>和污水缓冲罐</w:t>
      </w:r>
      <w:r>
        <w:rPr>
          <w:rFonts w:hint="eastAsia"/>
        </w:rPr>
        <w:t>四周设置围堰，并</w:t>
      </w:r>
      <w:r>
        <w:t>进行防渗处理</w:t>
      </w:r>
      <w:r>
        <w:rPr>
          <w:rFonts w:hint="eastAsia"/>
        </w:rPr>
        <w:t>，</w:t>
      </w:r>
      <w:r>
        <w:t>加强管道</w:t>
      </w:r>
      <w:r>
        <w:rPr>
          <w:rFonts w:hint="eastAsia"/>
        </w:rPr>
        <w:t>、储罐</w:t>
      </w:r>
      <w:r>
        <w:t>的巡检</w:t>
      </w:r>
      <w:r>
        <w:rPr>
          <w:rFonts w:hint="eastAsia"/>
        </w:rPr>
        <w:t>，</w:t>
      </w:r>
      <w:r>
        <w:t>通过与管道沿线的居民和当地村委会建立联络沟通机制，完善应急监控能力。</w:t>
      </w:r>
    </w:p>
    <w:p>
      <w:pPr>
        <w:pStyle w:val="112"/>
        <w:ind w:firstLine="480"/>
      </w:pPr>
      <w:r>
        <w:t>本工程通过采取相应的环境风险防范措施，加强环境风险管理，落实应急预案，项目环境风险机率和风险影响为可接受水平。因此，从环境风险的角度而言，项目建设可行。</w:t>
      </w:r>
    </w:p>
    <w:bookmarkEnd w:id="563"/>
    <w:p>
      <w:pPr>
        <w:pStyle w:val="6"/>
        <w:ind w:firstLine="480"/>
        <w:rPr>
          <w:rFonts w:ascii="Times New Roman" w:cs="Times New Roman"/>
        </w:rPr>
        <w:sectPr>
          <w:headerReference r:id="rId34" w:type="first"/>
          <w:footerReference r:id="rId37" w:type="first"/>
          <w:headerReference r:id="rId32" w:type="default"/>
          <w:footerReference r:id="rId35" w:type="default"/>
          <w:headerReference r:id="rId33" w:type="even"/>
          <w:footerReference r:id="rId36" w:type="even"/>
          <w:pgSz w:w="11906" w:h="16838"/>
          <w:pgMar w:top="1440" w:right="1800" w:bottom="1440" w:left="1800" w:header="851" w:footer="992" w:gutter="0"/>
          <w:cols w:space="425" w:num="1"/>
          <w:docGrid w:type="lines" w:linePitch="312" w:charSpace="0"/>
        </w:sectPr>
      </w:pPr>
    </w:p>
    <w:p>
      <w:pPr>
        <w:pStyle w:val="2"/>
        <w:spacing w:before="0" w:beforeAutospacing="0" w:after="0" w:afterAutospacing="0"/>
        <w:rPr>
          <w:rFonts w:eastAsia="宋体"/>
        </w:rPr>
      </w:pPr>
      <w:bookmarkStart w:id="586" w:name="_Toc81515304"/>
      <w:bookmarkStart w:id="587" w:name="_Toc19816123"/>
      <w:r>
        <w:rPr>
          <w:rFonts w:eastAsia="宋体"/>
        </w:rPr>
        <w:t>8 环保措施及其经济技术论证</w:t>
      </w:r>
      <w:bookmarkEnd w:id="586"/>
      <w:bookmarkEnd w:id="587"/>
    </w:p>
    <w:p>
      <w:pPr>
        <w:pStyle w:val="3"/>
        <w:spacing w:before="120"/>
        <w:rPr>
          <w:rFonts w:cs="Times New Roman"/>
        </w:rPr>
      </w:pPr>
      <w:bookmarkStart w:id="588" w:name="bookmark72"/>
      <w:bookmarkEnd w:id="588"/>
      <w:bookmarkStart w:id="589" w:name="_Toc12288778"/>
      <w:bookmarkStart w:id="590" w:name="_Toc19816124"/>
      <w:bookmarkStart w:id="591" w:name="_Toc81515305"/>
      <w:r>
        <w:rPr>
          <w:rFonts w:cs="Times New Roman"/>
        </w:rPr>
        <w:t>8.1 施工期的环境保护措施</w:t>
      </w:r>
      <w:bookmarkEnd w:id="589"/>
      <w:bookmarkEnd w:id="590"/>
      <w:bookmarkEnd w:id="591"/>
    </w:p>
    <w:p>
      <w:pPr>
        <w:pStyle w:val="4"/>
        <w:rPr>
          <w:rFonts w:eastAsia="宋体"/>
        </w:rPr>
      </w:pPr>
      <w:bookmarkStart w:id="592" w:name="_Toc12288779"/>
      <w:bookmarkStart w:id="593" w:name="_Toc19816125"/>
      <w:r>
        <w:rPr>
          <w:rFonts w:eastAsia="宋体"/>
        </w:rPr>
        <w:t>8.1.1 施工期环境保护管理措施</w:t>
      </w:r>
      <w:bookmarkEnd w:id="592"/>
      <w:bookmarkEnd w:id="593"/>
    </w:p>
    <w:p>
      <w:pPr>
        <w:ind w:firstLine="482"/>
        <w:rPr>
          <w:rFonts w:ascii="Times New Roman" w:cs="Times New Roman"/>
          <w:b/>
        </w:rPr>
      </w:pPr>
      <w:r>
        <w:rPr>
          <w:rFonts w:ascii="Times New Roman" w:cs="Times New Roman"/>
          <w:b/>
        </w:rPr>
        <w:t>1、建立高效、务实的环境保护管理体系</w:t>
      </w:r>
    </w:p>
    <w:p>
      <w:pPr>
        <w:pStyle w:val="6"/>
        <w:ind w:firstLine="480"/>
        <w:rPr>
          <w:rFonts w:ascii="Times New Roman" w:cs="Times New Roman"/>
        </w:rPr>
      </w:pPr>
      <w:r>
        <w:rPr>
          <w:rFonts w:ascii="Times New Roman" w:cs="Times New Roman"/>
        </w:rPr>
        <w:t>（1）建设单位成立项目安全环保管理机构，制定相应的环境管理办法。</w:t>
      </w:r>
    </w:p>
    <w:p>
      <w:pPr>
        <w:pStyle w:val="6"/>
        <w:ind w:firstLine="480"/>
        <w:rPr>
          <w:rFonts w:ascii="Times New Roman" w:cs="Times New Roman"/>
        </w:rPr>
      </w:pPr>
      <w:r>
        <w:rPr>
          <w:rFonts w:hint="eastAsia" w:hAnsi="宋体"/>
        </w:rPr>
        <w:t>①</w:t>
      </w:r>
      <w:r>
        <w:rPr>
          <w:rFonts w:ascii="Times New Roman" w:cs="Times New Roman"/>
        </w:rPr>
        <w:t>根据环境影响评价成果，制定系统的、分阶段环境管理目标、方针，确定与项目建设有关单位的环境保护义务、职责和管理办法。</w:t>
      </w:r>
    </w:p>
    <w:p>
      <w:pPr>
        <w:pStyle w:val="6"/>
        <w:ind w:firstLine="480"/>
        <w:rPr>
          <w:rFonts w:ascii="Times New Roman" w:cs="Times New Roman"/>
        </w:rPr>
      </w:pPr>
      <w:r>
        <w:rPr>
          <w:rFonts w:hint="eastAsia" w:hAnsi="宋体"/>
        </w:rPr>
        <w:t>②</w:t>
      </w:r>
      <w:r>
        <w:rPr>
          <w:rFonts w:ascii="Times New Roman" w:cs="Times New Roman"/>
        </w:rPr>
        <w:t>确定环境管理措施实施效果的监督体系，制定激励和奖惩措施。</w:t>
      </w:r>
    </w:p>
    <w:p>
      <w:pPr>
        <w:pStyle w:val="6"/>
        <w:ind w:firstLine="480"/>
        <w:rPr>
          <w:rFonts w:ascii="Times New Roman" w:cs="Times New Roman"/>
        </w:rPr>
      </w:pPr>
      <w:r>
        <w:rPr>
          <w:rFonts w:hint="eastAsia" w:hAnsi="宋体"/>
        </w:rPr>
        <w:t>③</w:t>
      </w:r>
      <w:r>
        <w:rPr>
          <w:rFonts w:ascii="Times New Roman" w:cs="Times New Roman"/>
        </w:rPr>
        <w:t>开展施工期的环境保护知识普及和宣教活动。</w:t>
      </w:r>
    </w:p>
    <w:p>
      <w:pPr>
        <w:pStyle w:val="6"/>
        <w:ind w:firstLine="480"/>
        <w:rPr>
          <w:rFonts w:ascii="Times New Roman" w:cs="Times New Roman"/>
        </w:rPr>
      </w:pPr>
      <w:r>
        <w:rPr>
          <w:rFonts w:hint="eastAsia" w:hAnsi="宋体"/>
        </w:rPr>
        <w:t>④</w:t>
      </w:r>
      <w:r>
        <w:rPr>
          <w:rFonts w:ascii="Times New Roman" w:cs="Times New Roman"/>
        </w:rPr>
        <w:t>监控、评价和改进施工期环境保护管理办法。</w:t>
      </w:r>
    </w:p>
    <w:p>
      <w:pPr>
        <w:pStyle w:val="6"/>
        <w:ind w:firstLine="480"/>
        <w:rPr>
          <w:rFonts w:ascii="Times New Roman" w:cs="Times New Roman"/>
        </w:rPr>
      </w:pPr>
      <w:r>
        <w:rPr>
          <w:rFonts w:ascii="Times New Roman" w:cs="Times New Roman"/>
        </w:rPr>
        <w:t>（2）委托有资质的环境监测单位进行施工期污染监测，落实施工期污染控制措施，建立完善的监测报告编制、上报制度。</w:t>
      </w:r>
    </w:p>
    <w:p>
      <w:pPr>
        <w:pStyle w:val="6"/>
        <w:ind w:firstLine="480"/>
        <w:rPr>
          <w:rFonts w:ascii="Times New Roman" w:cs="Times New Roman"/>
        </w:rPr>
      </w:pPr>
      <w:r>
        <w:rPr>
          <w:rFonts w:ascii="Times New Roman" w:cs="Times New Roman"/>
        </w:rPr>
        <w:t>（4）促使施工期建设管理与环境管理的有机结合，为实现工程的环境管理目标提供充足的资源保证，包括合格的环境管理人员、管理和治理资金的到位等。</w:t>
      </w:r>
    </w:p>
    <w:p>
      <w:pPr>
        <w:pStyle w:val="6"/>
        <w:ind w:firstLine="480"/>
        <w:rPr>
          <w:rFonts w:ascii="Times New Roman" w:cs="Times New Roman"/>
        </w:rPr>
      </w:pPr>
      <w:r>
        <w:rPr>
          <w:rFonts w:ascii="Times New Roman" w:cs="Times New Roman"/>
        </w:rPr>
        <w:t>（5）充分利用工程支付的调节手段，将工程的环境保护工作落到实处。</w:t>
      </w:r>
    </w:p>
    <w:p>
      <w:pPr>
        <w:pStyle w:val="6"/>
        <w:ind w:firstLine="480"/>
        <w:rPr>
          <w:rFonts w:ascii="Times New Roman" w:cs="Times New Roman"/>
        </w:rPr>
      </w:pPr>
      <w:r>
        <w:rPr>
          <w:rFonts w:ascii="Times New Roman" w:cs="Times New Roman"/>
        </w:rPr>
        <w:t>（6）做好工程施工期环境保护工作文档管理工作。</w:t>
      </w:r>
    </w:p>
    <w:p>
      <w:pPr>
        <w:pStyle w:val="6"/>
        <w:ind w:firstLine="482"/>
        <w:rPr>
          <w:rFonts w:ascii="Times New Roman" w:cs="Times New Roman"/>
          <w:b/>
        </w:rPr>
      </w:pPr>
      <w:bookmarkStart w:id="594" w:name="_Toc12288780"/>
      <w:r>
        <w:rPr>
          <w:rFonts w:ascii="Times New Roman" w:cs="Times New Roman"/>
          <w:b/>
        </w:rPr>
        <w:t>2、加强招、投标工作的管理</w:t>
      </w:r>
      <w:bookmarkEnd w:id="594"/>
    </w:p>
    <w:p>
      <w:pPr>
        <w:pStyle w:val="6"/>
        <w:ind w:firstLine="480"/>
        <w:rPr>
          <w:rFonts w:ascii="Times New Roman" w:cs="Times New Roman"/>
        </w:rPr>
      </w:pPr>
      <w:r>
        <w:rPr>
          <w:rFonts w:ascii="Times New Roman" w:cs="Times New Roman"/>
        </w:rPr>
        <w:t>（1）招标阶段</w:t>
      </w:r>
    </w:p>
    <w:p>
      <w:pPr>
        <w:pStyle w:val="6"/>
        <w:ind w:firstLine="480"/>
        <w:rPr>
          <w:rFonts w:ascii="Times New Roman" w:cs="Times New Roman"/>
        </w:rPr>
      </w:pPr>
      <w:r>
        <w:rPr>
          <w:rFonts w:hint="eastAsia" w:hAnsi="宋体"/>
        </w:rPr>
        <w:t>①</w:t>
      </w:r>
      <w:r>
        <w:rPr>
          <w:rFonts w:ascii="Times New Roman" w:cs="Times New Roman"/>
        </w:rPr>
        <w:t>招标文件编制应体现工程的环境影响评价成果，明确制定在每一标段中的环境保护目标，明确工程承包商对国土、生物多样性、水等环境资源保护以及生态环境保护、水土保持、人群健康和环境整治的责任和义务。</w:t>
      </w:r>
    </w:p>
    <w:p>
      <w:pPr>
        <w:pStyle w:val="6"/>
        <w:ind w:firstLine="480"/>
        <w:rPr>
          <w:rFonts w:ascii="Times New Roman" w:cs="Times New Roman"/>
        </w:rPr>
      </w:pPr>
      <w:r>
        <w:rPr>
          <w:rFonts w:hint="eastAsia" w:hAnsi="宋体"/>
        </w:rPr>
        <w:t>②</w:t>
      </w:r>
      <w:r>
        <w:rPr>
          <w:rFonts w:ascii="Times New Roman" w:cs="Times New Roman"/>
        </w:rPr>
        <w:t>对各标段的施工组织计划提出具体的环境保护要求，要求编制环境保护实施计划，并配备相应的环境管理人员和环保设施。</w:t>
      </w:r>
    </w:p>
    <w:p>
      <w:pPr>
        <w:pStyle w:val="6"/>
        <w:ind w:firstLine="480"/>
        <w:rPr>
          <w:rFonts w:ascii="Times New Roman" w:cs="Times New Roman"/>
        </w:rPr>
      </w:pPr>
      <w:r>
        <w:rPr>
          <w:rFonts w:hint="eastAsia" w:hAnsi="宋体"/>
        </w:rPr>
        <w:t>③</w:t>
      </w:r>
      <w:r>
        <w:rPr>
          <w:rFonts w:ascii="Times New Roman" w:cs="Times New Roman"/>
        </w:rPr>
        <w:t>规范标底的编制和审定工作，保证工程承包商的合理利润，使其能够实施其环境保护计划。</w:t>
      </w:r>
    </w:p>
    <w:p>
      <w:pPr>
        <w:pStyle w:val="6"/>
        <w:ind w:firstLine="480"/>
        <w:rPr>
          <w:rFonts w:ascii="Times New Roman" w:cs="Times New Roman"/>
        </w:rPr>
      </w:pPr>
      <w:r>
        <w:rPr>
          <w:rFonts w:ascii="Times New Roman" w:cs="Times New Roman"/>
        </w:rPr>
        <w:t>（2）投标阶段</w:t>
      </w:r>
    </w:p>
    <w:p>
      <w:pPr>
        <w:pStyle w:val="6"/>
        <w:ind w:firstLine="480"/>
        <w:rPr>
          <w:rFonts w:ascii="Times New Roman" w:cs="Times New Roman"/>
        </w:rPr>
      </w:pPr>
      <w:r>
        <w:rPr>
          <w:rFonts w:hint="eastAsia" w:hAnsi="宋体"/>
        </w:rPr>
        <w:t>①</w:t>
      </w:r>
      <w:r>
        <w:rPr>
          <w:rFonts w:ascii="Times New Roman" w:cs="Times New Roman"/>
        </w:rPr>
        <w:t>投标文件必须响应招标文件有关环境保护问题的要求，制定符合环境保护要求的施工组织计划和实施措施，配备相应的环保管理人员和相应的设施。</w:t>
      </w:r>
    </w:p>
    <w:p>
      <w:pPr>
        <w:pStyle w:val="6"/>
        <w:ind w:firstLine="480"/>
        <w:rPr>
          <w:rFonts w:ascii="Times New Roman" w:cs="Times New Roman"/>
        </w:rPr>
      </w:pPr>
      <w:r>
        <w:rPr>
          <w:rFonts w:hint="eastAsia" w:hAnsi="宋体"/>
        </w:rPr>
        <w:t>②</w:t>
      </w:r>
      <w:r>
        <w:rPr>
          <w:rFonts w:ascii="Times New Roman" w:cs="Times New Roman"/>
        </w:rPr>
        <w:t>投标文件报价应根据标段的具体环境保护要求，合理地制定其实施环境保护管理和对策所需的投资费用预算。</w:t>
      </w:r>
    </w:p>
    <w:p>
      <w:pPr>
        <w:pStyle w:val="6"/>
        <w:ind w:firstLine="480"/>
        <w:rPr>
          <w:rFonts w:ascii="Times New Roman" w:cs="Times New Roman"/>
        </w:rPr>
      </w:pPr>
      <w:r>
        <w:rPr>
          <w:rFonts w:hint="eastAsia" w:hAnsi="宋体"/>
        </w:rPr>
        <w:t>③</w:t>
      </w:r>
      <w:r>
        <w:rPr>
          <w:rFonts w:ascii="Times New Roman" w:cs="Times New Roman"/>
        </w:rPr>
        <w:t>工程承包商要承诺其环境保护责任和义务，不得发生层层转包、层层提取管理费的现象，自愿接受建设单位和地方环保单位的监督。</w:t>
      </w:r>
    </w:p>
    <w:p>
      <w:pPr>
        <w:pStyle w:val="6"/>
        <w:ind w:firstLine="480"/>
        <w:rPr>
          <w:rFonts w:ascii="Times New Roman" w:cs="Times New Roman"/>
        </w:rPr>
      </w:pPr>
      <w:r>
        <w:rPr>
          <w:rFonts w:ascii="Times New Roman" w:cs="Times New Roman"/>
        </w:rPr>
        <w:t>（3）评标阶段</w:t>
      </w:r>
    </w:p>
    <w:p>
      <w:pPr>
        <w:pStyle w:val="6"/>
        <w:ind w:firstLine="480"/>
        <w:rPr>
          <w:rFonts w:ascii="Times New Roman" w:cs="Times New Roman"/>
        </w:rPr>
      </w:pPr>
      <w:r>
        <w:rPr>
          <w:rFonts w:hint="eastAsia" w:hAnsi="宋体"/>
        </w:rPr>
        <w:t>①</w:t>
      </w:r>
      <w:r>
        <w:rPr>
          <w:rFonts w:ascii="Times New Roman" w:cs="Times New Roman"/>
        </w:rPr>
        <w:t>建立高素质的评标专家队伍，注意引进高素质的环保专家参与评标。</w:t>
      </w:r>
    </w:p>
    <w:p>
      <w:pPr>
        <w:pStyle w:val="6"/>
        <w:ind w:firstLine="480"/>
        <w:rPr>
          <w:rFonts w:ascii="Times New Roman" w:cs="Times New Roman"/>
        </w:rPr>
      </w:pPr>
      <w:r>
        <w:rPr>
          <w:rFonts w:hint="eastAsia" w:hAnsi="宋体"/>
        </w:rPr>
        <w:t>③</w:t>
      </w:r>
      <w:r>
        <w:rPr>
          <w:rFonts w:ascii="Times New Roman" w:cs="Times New Roman"/>
        </w:rPr>
        <w:t>加强投标单位的资质、施工能力、管理水平和业绩的审查工作。</w:t>
      </w:r>
    </w:p>
    <w:p>
      <w:pPr>
        <w:pStyle w:val="6"/>
        <w:ind w:firstLine="480"/>
        <w:rPr>
          <w:rFonts w:ascii="Times New Roman" w:cs="Times New Roman"/>
        </w:rPr>
      </w:pPr>
      <w:r>
        <w:rPr>
          <w:rFonts w:hint="eastAsia" w:hAnsi="宋体"/>
        </w:rPr>
        <w:t>③</w:t>
      </w:r>
      <w:r>
        <w:rPr>
          <w:rFonts w:ascii="Times New Roman" w:cs="Times New Roman"/>
        </w:rPr>
        <w:t>认真审查其施工组织计划有关环境保护和施工文明的内容，尤其应对其环境保护保障条件加强审查，禁止那些旨在中标而随意压低环保投入的工程承包商入围。</w:t>
      </w:r>
    </w:p>
    <w:p>
      <w:pPr>
        <w:pStyle w:val="6"/>
        <w:ind w:firstLine="480"/>
        <w:rPr>
          <w:rFonts w:ascii="Times New Roman" w:cs="Times New Roman"/>
        </w:rPr>
      </w:pPr>
      <w:r>
        <w:rPr>
          <w:rFonts w:hint="eastAsia" w:hAnsi="宋体"/>
        </w:rPr>
        <w:t>④</w:t>
      </w:r>
      <w:r>
        <w:rPr>
          <w:rFonts w:ascii="Times New Roman" w:cs="Times New Roman"/>
        </w:rPr>
        <w:t>加强中标价格的评价和审定工作，保证工程承包商的合理利润，从根源上避免其因追求正当利润而牺牲环境的现象发生。</w:t>
      </w:r>
    </w:p>
    <w:p>
      <w:pPr>
        <w:pStyle w:val="6"/>
        <w:ind w:firstLine="482"/>
        <w:rPr>
          <w:rFonts w:ascii="Times New Roman" w:cs="Times New Roman"/>
          <w:b/>
        </w:rPr>
      </w:pPr>
      <w:bookmarkStart w:id="595" w:name="_Toc12288781"/>
      <w:r>
        <w:rPr>
          <w:rFonts w:ascii="Times New Roman" w:cs="Times New Roman"/>
          <w:b/>
        </w:rPr>
        <w:t>3、加强工程的环境保护监理工作</w:t>
      </w:r>
      <w:bookmarkEnd w:id="595"/>
    </w:p>
    <w:p>
      <w:pPr>
        <w:pStyle w:val="6"/>
        <w:ind w:firstLine="480"/>
        <w:rPr>
          <w:rFonts w:ascii="Times New Roman" w:cs="Times New Roman"/>
        </w:rPr>
      </w:pPr>
      <w:r>
        <w:rPr>
          <w:rFonts w:ascii="Times New Roman" w:cs="Times New Roman"/>
        </w:rPr>
        <w:t>（1）建设单位</w:t>
      </w:r>
    </w:p>
    <w:p>
      <w:pPr>
        <w:pStyle w:val="6"/>
        <w:ind w:firstLine="480"/>
        <w:rPr>
          <w:rFonts w:ascii="Times New Roman" w:cs="Times New Roman"/>
        </w:rPr>
      </w:pPr>
      <w:r>
        <w:rPr>
          <w:rFonts w:hint="eastAsia" w:hAnsi="宋体"/>
        </w:rPr>
        <w:t>①</w:t>
      </w:r>
      <w:r>
        <w:rPr>
          <w:rFonts w:ascii="Times New Roman" w:cs="Times New Roman"/>
        </w:rPr>
        <w:t>加强工程监理的招投标工作，保证合理的监理费用，使工程监理单位能够独立开展工程质量、环境保护的监理工作。</w:t>
      </w:r>
    </w:p>
    <w:p>
      <w:pPr>
        <w:pStyle w:val="6"/>
        <w:ind w:firstLine="480"/>
        <w:rPr>
          <w:rFonts w:ascii="Times New Roman" w:cs="Times New Roman"/>
        </w:rPr>
      </w:pPr>
      <w:r>
        <w:rPr>
          <w:rFonts w:hint="eastAsia" w:hAnsi="宋体"/>
        </w:rPr>
        <w:t>②</w:t>
      </w:r>
      <w:r>
        <w:rPr>
          <w:rFonts w:ascii="Times New Roman" w:cs="Times New Roman"/>
        </w:rPr>
        <w:t>通过招标选择优秀的监理队伍，严把监理上岗资质关、能力关，明确提出配备具有一定环保素质的工程技术人员以及相应的检测设备的要求。</w:t>
      </w:r>
    </w:p>
    <w:p>
      <w:pPr>
        <w:pStyle w:val="6"/>
        <w:ind w:firstLine="480"/>
        <w:rPr>
          <w:rFonts w:ascii="Times New Roman" w:cs="Times New Roman"/>
        </w:rPr>
      </w:pPr>
      <w:r>
        <w:rPr>
          <w:rFonts w:hint="eastAsia" w:hAnsi="宋体"/>
        </w:rPr>
        <w:t>③</w:t>
      </w:r>
      <w:r>
        <w:rPr>
          <w:rFonts w:ascii="Times New Roman" w:cs="Times New Roman"/>
        </w:rPr>
        <w:t>保证工程监理工作的正常条件和独立行使监理功能的权利，并将其包括环境监理在内的监理权力的内容明确通告施工单位。</w:t>
      </w:r>
    </w:p>
    <w:p>
      <w:pPr>
        <w:pStyle w:val="6"/>
        <w:ind w:firstLine="480"/>
        <w:rPr>
          <w:rFonts w:ascii="Times New Roman" w:cs="Times New Roman"/>
        </w:rPr>
      </w:pPr>
      <w:r>
        <w:rPr>
          <w:rFonts w:hint="eastAsia" w:hAnsi="宋体"/>
        </w:rPr>
        <w:t>④</w:t>
      </w:r>
      <w:r>
        <w:rPr>
          <w:rFonts w:ascii="Times New Roman" w:cs="Times New Roman"/>
        </w:rPr>
        <w:t>建立工程监理监督的有效体制，杜绝监理人员的不端行为。</w:t>
      </w:r>
    </w:p>
    <w:p>
      <w:pPr>
        <w:pStyle w:val="6"/>
        <w:ind w:firstLine="480"/>
        <w:rPr>
          <w:rFonts w:ascii="Times New Roman" w:cs="Times New Roman"/>
        </w:rPr>
      </w:pPr>
      <w:r>
        <w:rPr>
          <w:rFonts w:ascii="Times New Roman" w:cs="Times New Roman"/>
        </w:rPr>
        <w:t>（2）工程监理单位</w:t>
      </w:r>
    </w:p>
    <w:p>
      <w:pPr>
        <w:pStyle w:val="6"/>
        <w:ind w:firstLine="480"/>
        <w:rPr>
          <w:rFonts w:ascii="Times New Roman" w:cs="Times New Roman"/>
        </w:rPr>
      </w:pPr>
      <w:r>
        <w:rPr>
          <w:rFonts w:hint="eastAsia" w:hAnsi="宋体"/>
        </w:rPr>
        <w:t>①</w:t>
      </w:r>
      <w:r>
        <w:rPr>
          <w:rFonts w:ascii="Times New Roman" w:cs="Times New Roman"/>
        </w:rPr>
        <w:t>按监理合同配备具有一定的环保素质的监理人员，并就监理服务的内容强化所有现场监理人员的环境保护知识培训，提高监理人员的环保专业技能。</w:t>
      </w:r>
    </w:p>
    <w:p>
      <w:pPr>
        <w:pStyle w:val="6"/>
        <w:ind w:firstLine="480"/>
        <w:rPr>
          <w:rFonts w:ascii="Times New Roman" w:cs="Times New Roman"/>
        </w:rPr>
      </w:pPr>
      <w:r>
        <w:rPr>
          <w:rFonts w:hint="eastAsia" w:hAnsi="宋体"/>
        </w:rPr>
        <w:t>②</w:t>
      </w:r>
      <w:r>
        <w:rPr>
          <w:rFonts w:ascii="Times New Roman" w:cs="Times New Roman"/>
        </w:rPr>
        <w:t>监督符合环保要求的施工组织计划的实施，工程变更必须经过环保论证，经监理单位审批后方可实施。</w:t>
      </w:r>
    </w:p>
    <w:p>
      <w:pPr>
        <w:pStyle w:val="6"/>
        <w:ind w:firstLine="480"/>
        <w:rPr>
          <w:rFonts w:ascii="Times New Roman" w:cs="Times New Roman"/>
        </w:rPr>
      </w:pPr>
      <w:r>
        <w:rPr>
          <w:rFonts w:hint="eastAsia" w:hAnsi="宋体"/>
        </w:rPr>
        <w:t>③</w:t>
      </w:r>
      <w:r>
        <w:rPr>
          <w:rFonts w:ascii="Times New Roman" w:cs="Times New Roman"/>
        </w:rPr>
        <w:t>监理单位应加大对生态环境影响较大的土方工程监理力度，包括有肥力土层的剥离和临时储存等，避免土壤资源浪费和土壤侵蚀现象的发生。</w:t>
      </w:r>
    </w:p>
    <w:p>
      <w:pPr>
        <w:pStyle w:val="6"/>
        <w:ind w:firstLine="480"/>
        <w:rPr>
          <w:rFonts w:ascii="Times New Roman" w:cs="Times New Roman"/>
        </w:rPr>
      </w:pPr>
      <w:r>
        <w:rPr>
          <w:rFonts w:hint="eastAsia" w:hAnsi="宋体"/>
        </w:rPr>
        <w:t>④</w:t>
      </w:r>
      <w:r>
        <w:rPr>
          <w:rFonts w:ascii="Times New Roman" w:cs="Times New Roman"/>
        </w:rPr>
        <w:t>在施工单位自检基础上，进行其环境保护工作的终检、评定和验收，确保工程正常、有序地进行。</w:t>
      </w:r>
    </w:p>
    <w:p>
      <w:pPr>
        <w:pStyle w:val="6"/>
        <w:ind w:firstLine="480"/>
        <w:rPr>
          <w:rFonts w:ascii="Times New Roman" w:cs="Times New Roman"/>
        </w:rPr>
      </w:pPr>
      <w:r>
        <w:rPr>
          <w:rFonts w:ascii="Times New Roman" w:cs="Times New Roman"/>
        </w:rPr>
        <w:t>（3）施工单位</w:t>
      </w:r>
    </w:p>
    <w:p>
      <w:pPr>
        <w:pStyle w:val="6"/>
        <w:ind w:firstLine="480"/>
        <w:rPr>
          <w:rFonts w:ascii="Times New Roman" w:cs="Times New Roman"/>
        </w:rPr>
      </w:pPr>
      <w:r>
        <w:rPr>
          <w:rFonts w:hint="eastAsia" w:hAnsi="宋体"/>
        </w:rPr>
        <w:t>①</w:t>
      </w:r>
      <w:r>
        <w:rPr>
          <w:rFonts w:ascii="Times New Roman" w:cs="Times New Roman"/>
        </w:rPr>
        <w:t>作为具体的施工机构，施工单位行为直接关系到能否将环境的影响和破坏降低到最小程度。施工单位必须自觉遵守和维护有关环境保护的政策法规，教育好队伍人员爱护施工路段周围的一草一木。在施工前对施工平面图设计进行科学合理的规划，充分利用原有的地形、地物，以尽量少占农田、防护林为原则，施工中严禁乱挖乱弃，做到文明施工，规范施工，按设计施工。</w:t>
      </w:r>
    </w:p>
    <w:p>
      <w:pPr>
        <w:pStyle w:val="6"/>
        <w:ind w:firstLine="480"/>
        <w:rPr>
          <w:rFonts w:ascii="Times New Roman" w:cs="Times New Roman"/>
        </w:rPr>
      </w:pPr>
      <w:r>
        <w:rPr>
          <w:rFonts w:hint="eastAsia" w:hAnsi="宋体"/>
        </w:rPr>
        <w:t>②</w:t>
      </w:r>
      <w:r>
        <w:rPr>
          <w:rFonts w:ascii="Times New Roman" w:cs="Times New Roman"/>
        </w:rPr>
        <w:t>施工单位应合理进行施工布置，精心组织施工管理，严格将施工作业活动控制在施工作业带范围内，在管沟开挖作业中，尽量减小和有效控制对施工作业区生态环境的影响范围和程度。</w:t>
      </w:r>
    </w:p>
    <w:p>
      <w:pPr>
        <w:pStyle w:val="6"/>
        <w:ind w:firstLine="480"/>
        <w:rPr>
          <w:rFonts w:ascii="Times New Roman" w:cs="Times New Roman"/>
        </w:rPr>
      </w:pPr>
      <w:r>
        <w:rPr>
          <w:rFonts w:hint="eastAsia" w:hAnsi="宋体"/>
        </w:rPr>
        <w:t>③</w:t>
      </w:r>
      <w:r>
        <w:rPr>
          <w:rFonts w:ascii="Times New Roman" w:cs="Times New Roman"/>
        </w:rPr>
        <w:t>合理安排施工季节和作业时间，优化施工方案，减少废弃土方的临时堆放，并尽量避免在雨天进行开挖作业活动，避免加重沿线水土流失的危害。</w:t>
      </w:r>
    </w:p>
    <w:p>
      <w:pPr>
        <w:pStyle w:val="6"/>
        <w:ind w:firstLine="480"/>
        <w:rPr>
          <w:rFonts w:ascii="Times New Roman" w:cs="Times New Roman"/>
        </w:rPr>
      </w:pPr>
      <w:r>
        <w:rPr>
          <w:rFonts w:hint="eastAsia" w:hAnsi="宋体"/>
        </w:rPr>
        <w:t>④</w:t>
      </w:r>
      <w:r>
        <w:rPr>
          <w:rFonts w:ascii="Times New Roman" w:cs="Times New Roman"/>
        </w:rPr>
        <w:t>强化施工迹地整治工作。</w:t>
      </w:r>
    </w:p>
    <w:p>
      <w:pPr>
        <w:pStyle w:val="4"/>
        <w:rPr>
          <w:rFonts w:eastAsia="宋体"/>
        </w:rPr>
      </w:pPr>
      <w:bookmarkStart w:id="596" w:name="_Toc12288782"/>
      <w:bookmarkStart w:id="597" w:name="_Toc19816126"/>
      <w:r>
        <w:rPr>
          <w:rFonts w:eastAsia="宋体"/>
        </w:rPr>
        <w:t>8.1.2 生态保护措施</w:t>
      </w:r>
      <w:bookmarkEnd w:id="596"/>
      <w:bookmarkEnd w:id="597"/>
    </w:p>
    <w:p>
      <w:pPr>
        <w:pStyle w:val="6"/>
        <w:ind w:firstLine="480"/>
        <w:rPr>
          <w:rFonts w:ascii="Times New Roman" w:cs="Times New Roman"/>
        </w:rPr>
      </w:pPr>
      <w:r>
        <w:rPr>
          <w:rFonts w:ascii="Times New Roman" w:cs="Times New Roman"/>
        </w:rPr>
        <w:t>根据天然气开采和内部集输工程建设的特点，提出以下生态环境保护的措施。</w:t>
      </w:r>
    </w:p>
    <w:p>
      <w:pPr>
        <w:pStyle w:val="6"/>
        <w:ind w:firstLine="482"/>
        <w:rPr>
          <w:rFonts w:ascii="Times New Roman" w:cs="Times New Roman"/>
          <w:b/>
        </w:rPr>
      </w:pPr>
      <w:bookmarkStart w:id="598" w:name="_Toc12288783"/>
      <w:r>
        <w:rPr>
          <w:rFonts w:ascii="Times New Roman" w:cs="Times New Roman"/>
          <w:b/>
        </w:rPr>
        <w:t>1、土地利用现有格局的保护和恢复措施</w:t>
      </w:r>
      <w:bookmarkEnd w:id="598"/>
    </w:p>
    <w:p>
      <w:pPr>
        <w:pStyle w:val="6"/>
        <w:ind w:firstLine="480"/>
        <w:rPr>
          <w:rFonts w:ascii="Times New Roman" w:cs="Times New Roman"/>
        </w:rPr>
      </w:pPr>
      <w:r>
        <w:rPr>
          <w:rFonts w:ascii="Times New Roman" w:cs="Times New Roman"/>
        </w:rPr>
        <w:t>（1）严格控制施工占用土地</w:t>
      </w:r>
    </w:p>
    <w:p>
      <w:pPr>
        <w:pStyle w:val="6"/>
        <w:ind w:firstLine="480"/>
        <w:rPr>
          <w:rFonts w:ascii="Times New Roman" w:cs="Times New Roman"/>
        </w:rPr>
      </w:pPr>
      <w:r>
        <w:rPr>
          <w:rFonts w:hint="eastAsia" w:hAnsi="宋体"/>
        </w:rPr>
        <w:t>①</w:t>
      </w:r>
      <w:r>
        <w:rPr>
          <w:rFonts w:ascii="Times New Roman" w:cs="Times New Roman"/>
        </w:rPr>
        <w:t>对永久占地合理规划，严格控制占地面积，严禁占用永久基本农田。</w:t>
      </w:r>
    </w:p>
    <w:p>
      <w:pPr>
        <w:pStyle w:val="6"/>
        <w:ind w:firstLine="480"/>
        <w:rPr>
          <w:rFonts w:ascii="Times New Roman" w:cs="Times New Roman"/>
        </w:rPr>
      </w:pPr>
      <w:r>
        <w:rPr>
          <w:rFonts w:hint="eastAsia" w:hAnsi="宋体"/>
        </w:rPr>
        <w:t>②</w:t>
      </w:r>
      <w:r>
        <w:rPr>
          <w:rFonts w:ascii="Times New Roman" w:cs="Times New Roman"/>
        </w:rPr>
        <w:t>按设计标准规定，严格控制施工作业带面积，不得超过作业标准规定，对管线敷设施工宽度控制在设计标准范围内，以减少土壤扰动和地表植被破坏，减少裸地和土方暴露面积。</w:t>
      </w:r>
    </w:p>
    <w:p>
      <w:pPr>
        <w:pStyle w:val="6"/>
        <w:ind w:firstLine="480"/>
        <w:rPr>
          <w:rFonts w:ascii="Times New Roman" w:cs="Times New Roman"/>
        </w:rPr>
      </w:pPr>
      <w:r>
        <w:rPr>
          <w:rFonts w:hint="eastAsia" w:hAnsi="宋体"/>
        </w:rPr>
        <w:t>③</w:t>
      </w:r>
      <w:r>
        <w:rPr>
          <w:rFonts w:ascii="Times New Roman" w:cs="Times New Roman"/>
        </w:rPr>
        <w:t>一切施工作业尽量利用原有公路，沿已有车辙行驶，若无原有公路，则要执行先修道路，后设点作业的原则进行。杜绝车辆乱碾乱轧的情况发生，不随意开设便道。管线尽量沿公路侧平行布置，便于施工及运营期检修维护，避免修筑专门施工便道。</w:t>
      </w:r>
    </w:p>
    <w:p>
      <w:pPr>
        <w:pStyle w:val="6"/>
        <w:ind w:firstLine="480"/>
        <w:rPr>
          <w:rFonts w:ascii="Times New Roman" w:cs="Times New Roman"/>
        </w:rPr>
      </w:pPr>
      <w:r>
        <w:rPr>
          <w:rFonts w:hint="eastAsia" w:hAnsi="宋体"/>
        </w:rPr>
        <w:t>④</w:t>
      </w:r>
      <w:r>
        <w:rPr>
          <w:rFonts w:ascii="Times New Roman" w:cs="Times New Roman"/>
        </w:rPr>
        <w:t>现场施工作业机械应严格管理，划定活动范围，不得在道路以外的地方行驶和作业，保持路外植被不被破坏。</w:t>
      </w:r>
    </w:p>
    <w:p>
      <w:pPr>
        <w:pStyle w:val="6"/>
        <w:ind w:firstLine="480"/>
        <w:rPr>
          <w:rFonts w:ascii="Times New Roman" w:cs="Times New Roman"/>
        </w:rPr>
      </w:pPr>
      <w:r>
        <w:rPr>
          <w:rFonts w:ascii="Times New Roman" w:cs="Times New Roman"/>
        </w:rPr>
        <w:t>（2）恢复土地利用原有格局</w:t>
      </w:r>
    </w:p>
    <w:p>
      <w:pPr>
        <w:pStyle w:val="6"/>
        <w:ind w:firstLine="480"/>
        <w:rPr>
          <w:rFonts w:ascii="Times New Roman" w:cs="Times New Roman"/>
        </w:rPr>
      </w:pPr>
      <w:r>
        <w:rPr>
          <w:rFonts w:hint="eastAsia" w:hAnsi="宋体"/>
        </w:rPr>
        <w:t>①</w:t>
      </w:r>
      <w:r>
        <w:rPr>
          <w:rFonts w:ascii="Times New Roman" w:cs="Times New Roman"/>
        </w:rPr>
        <w:t>施工结束后，应恢复地貌原状。施工时对管沟开挖的土壤做分层堆放，分层回填压实，以保护植被生长层，降低对土壤养分的影响，尽快使土壤恢复生产力，同时减少水土流失。</w:t>
      </w:r>
    </w:p>
    <w:p>
      <w:pPr>
        <w:pStyle w:val="6"/>
        <w:ind w:firstLine="480"/>
        <w:rPr>
          <w:rFonts w:ascii="Times New Roman" w:cs="Times New Roman"/>
        </w:rPr>
      </w:pPr>
      <w:r>
        <w:rPr>
          <w:rFonts w:hint="eastAsia" w:hAnsi="宋体"/>
        </w:rPr>
        <w:t>②</w:t>
      </w:r>
      <w:r>
        <w:rPr>
          <w:rFonts w:ascii="Times New Roman" w:cs="Times New Roman"/>
        </w:rPr>
        <w:t>对管沟回填后多余的土严禁大量集中弃置，应均匀分散在管线中心两侧，并使管沟与周围自然地表形成平滑过度，不得形成汇水环境，防止水土流失。管线所经地段的原始地表存在局部凹地时，若有集水的可能，需采用管沟多余土或借土填高以防地表水汇集。对敷设在较平坦地段的管道，应在地貌恢复后使管沟与附近地表自然过渡，回填土与周围地表坡向保持一致，严禁在管沟两侧有集水环境存在。</w:t>
      </w:r>
    </w:p>
    <w:p>
      <w:pPr>
        <w:pStyle w:val="6"/>
        <w:ind w:firstLine="480"/>
        <w:rPr>
          <w:rFonts w:ascii="Times New Roman" w:cs="Times New Roman"/>
        </w:rPr>
      </w:pPr>
      <w:r>
        <w:rPr>
          <w:rFonts w:hint="eastAsia" w:ascii="Times New Roman" w:cs="Times New Roman"/>
        </w:rPr>
        <w:t>（3）表土堆存与复耕盖土</w:t>
      </w:r>
    </w:p>
    <w:p>
      <w:pPr>
        <w:pStyle w:val="6"/>
        <w:ind w:firstLine="480"/>
        <w:rPr>
          <w:rFonts w:ascii="Times New Roman" w:cs="Times New Roman"/>
        </w:rPr>
      </w:pPr>
      <w:r>
        <w:rPr>
          <w:rFonts w:hint="eastAsia"/>
        </w:rPr>
        <w:t>设置专门的表土堆场对表土进行暂存，表土堆场</w:t>
      </w:r>
      <w:r>
        <w:t>位于</w:t>
      </w:r>
      <w:r>
        <w:rPr>
          <w:rFonts w:hint="eastAsia"/>
        </w:rPr>
        <w:t>炉旺</w:t>
      </w:r>
      <w:r>
        <w:t>村</w:t>
      </w:r>
      <w:r>
        <w:rPr>
          <w:rFonts w:hint="eastAsia"/>
        </w:rPr>
        <w:t>，施工结束后表土全部回用于绿化、复耕盖土等。</w:t>
      </w:r>
    </w:p>
    <w:p>
      <w:pPr>
        <w:pStyle w:val="6"/>
        <w:ind w:firstLine="482"/>
        <w:rPr>
          <w:rFonts w:ascii="Times New Roman" w:cs="Times New Roman"/>
          <w:b/>
        </w:rPr>
      </w:pPr>
      <w:bookmarkStart w:id="599" w:name="_Toc12288784"/>
      <w:r>
        <w:rPr>
          <w:rFonts w:ascii="Times New Roman" w:cs="Times New Roman"/>
          <w:b/>
        </w:rPr>
        <w:t>2、生物多样性的保护措施</w:t>
      </w:r>
      <w:bookmarkEnd w:id="599"/>
    </w:p>
    <w:p>
      <w:pPr>
        <w:pStyle w:val="6"/>
        <w:ind w:firstLine="480"/>
        <w:rPr>
          <w:rFonts w:ascii="Times New Roman" w:cs="Times New Roman"/>
        </w:rPr>
      </w:pPr>
      <w:r>
        <w:rPr>
          <w:rFonts w:ascii="Times New Roman" w:cs="Times New Roman"/>
        </w:rPr>
        <w:t>（1）在施工过程中，应加强施工人员的管理，禁止施工人员对野外植被滥砍滥伐，破坏沿线地区的生态环境。</w:t>
      </w:r>
    </w:p>
    <w:p>
      <w:pPr>
        <w:pStyle w:val="6"/>
        <w:ind w:firstLine="480"/>
        <w:rPr>
          <w:rFonts w:ascii="Times New Roman" w:cs="Times New Roman"/>
        </w:rPr>
      </w:pPr>
      <w:r>
        <w:rPr>
          <w:rFonts w:ascii="Times New Roman" w:cs="Times New Roman"/>
        </w:rPr>
        <w:t>（2）禁止施工人员对野生动物尤其是珍稀动物的滥捕滥杀，作好野生动物的保护工作。</w:t>
      </w:r>
    </w:p>
    <w:p>
      <w:pPr>
        <w:pStyle w:val="6"/>
        <w:ind w:firstLine="480"/>
        <w:rPr>
          <w:rFonts w:ascii="Times New Roman" w:cs="Times New Roman"/>
        </w:rPr>
      </w:pPr>
      <w:r>
        <w:rPr>
          <w:rFonts w:ascii="Times New Roman" w:cs="Times New Roman"/>
        </w:rPr>
        <w:t>（3）施工期要加大对保护野生动物的宣传力度，大力宣传两栖、爬行动物、鸟类对农林卫生业的作用。蛙类、蜥蜴类和蛇类要吃掉大量的农林卫生业上害虫害鼠，对人类有益，应克服任意拘杀两栖、爬行动物和鸟类的恶习。</w:t>
      </w:r>
    </w:p>
    <w:p>
      <w:pPr>
        <w:pStyle w:val="6"/>
        <w:ind w:firstLine="480"/>
        <w:rPr>
          <w:rFonts w:ascii="Times New Roman" w:cs="Times New Roman"/>
        </w:rPr>
      </w:pPr>
      <w:r>
        <w:rPr>
          <w:rFonts w:ascii="Times New Roman" w:cs="Times New Roman"/>
        </w:rPr>
        <w:t>（4）对施工期处于繁殖的动物，在车辆行驶中，遇见动物通过时，应避让。施工结束后，应采取相应的恢复替代措施，如对破坏植被的恢复等。</w:t>
      </w:r>
    </w:p>
    <w:p>
      <w:pPr>
        <w:pStyle w:val="6"/>
        <w:ind w:firstLine="480"/>
        <w:rPr>
          <w:rFonts w:ascii="Times New Roman" w:cs="Times New Roman"/>
        </w:rPr>
      </w:pPr>
      <w:r>
        <w:rPr>
          <w:rFonts w:ascii="Times New Roman" w:cs="Times New Roman"/>
        </w:rPr>
        <w:t>（5）对水生生物的一般保护措施为：切实加强对水环境的保护，避免沿线局部水域发生富营养化，把对水生生物生息环境的影响减少到最低程度。具体如下：</w:t>
      </w:r>
    </w:p>
    <w:p>
      <w:pPr>
        <w:pStyle w:val="6"/>
        <w:ind w:firstLine="480"/>
        <w:rPr>
          <w:rFonts w:ascii="Times New Roman" w:cs="Times New Roman"/>
        </w:rPr>
      </w:pPr>
      <w:r>
        <w:rPr>
          <w:rFonts w:ascii="Times New Roman" w:cs="Times New Roman"/>
        </w:rPr>
        <w:t>施工用料的堆放应远离水源和其他水体，选择暴雨径流难以冲刷的地方。防止被暴雨径流带入水体，影响水质，各类材料应备有防雨遮雨设施。</w:t>
      </w:r>
    </w:p>
    <w:p>
      <w:pPr>
        <w:pStyle w:val="6"/>
        <w:ind w:firstLine="482"/>
        <w:rPr>
          <w:rFonts w:ascii="Times New Roman" w:cs="Times New Roman"/>
          <w:b/>
        </w:rPr>
      </w:pPr>
      <w:bookmarkStart w:id="600" w:name="_Toc12288785"/>
      <w:r>
        <w:rPr>
          <w:rFonts w:ascii="Times New Roman" w:cs="Times New Roman"/>
          <w:b/>
        </w:rPr>
        <w:t>3、植被保护及恢复措施</w:t>
      </w:r>
      <w:bookmarkEnd w:id="600"/>
    </w:p>
    <w:p>
      <w:pPr>
        <w:pStyle w:val="6"/>
        <w:ind w:firstLine="480"/>
        <w:rPr>
          <w:rFonts w:ascii="Times New Roman" w:cs="Times New Roman"/>
        </w:rPr>
      </w:pPr>
      <w:r>
        <w:rPr>
          <w:rFonts w:ascii="Times New Roman" w:cs="Times New Roman"/>
        </w:rPr>
        <w:t>（1）植被保护措施</w:t>
      </w:r>
    </w:p>
    <w:p>
      <w:pPr>
        <w:pStyle w:val="6"/>
        <w:ind w:firstLine="480"/>
        <w:rPr>
          <w:rFonts w:ascii="Times New Roman" w:cs="Times New Roman"/>
        </w:rPr>
      </w:pPr>
      <w:r>
        <w:rPr>
          <w:rFonts w:ascii="Times New Roman" w:cs="Times New Roman"/>
        </w:rPr>
        <w:t>植物保护的一般原则为：首先应尽量保存施工区的熟化土，对于建设中永久占用地、临时用地占用耕地部分的表层土予以收集保存，施工结束后及时清理、松土、覆盖收集的耕作土，复耕或选择当地适宜植物及时恢复绿化。</w:t>
      </w:r>
    </w:p>
    <w:p>
      <w:pPr>
        <w:pStyle w:val="6"/>
        <w:ind w:firstLine="480"/>
        <w:rPr>
          <w:rFonts w:ascii="Times New Roman" w:cs="Times New Roman"/>
        </w:rPr>
      </w:pPr>
      <w:r>
        <w:rPr>
          <w:rFonts w:ascii="Times New Roman" w:cs="Times New Roman"/>
        </w:rPr>
        <w:t>在项目植被恢复建设过程中除考虑选择适合当地速成树种外，在布局上还应考虑多种树种的交错分布，既提高植物种类的多样性又不至于太大改变原来的生态组分，增强其稳定性。另外修复树种种苗的选择应经过严格检疫，防止引入病害。对于森林防火要采取有效措施，对国家重点保护的物种要列入工程建设中要注意的事项。针对工程沿线植物资源分布的特点，对不同的保护对象提出如下的保护措施：</w:t>
      </w:r>
    </w:p>
    <w:p>
      <w:pPr>
        <w:pStyle w:val="6"/>
        <w:ind w:firstLine="480"/>
        <w:rPr>
          <w:rFonts w:ascii="Times New Roman" w:cs="Times New Roman"/>
        </w:rPr>
      </w:pPr>
      <w:r>
        <w:rPr>
          <w:rFonts w:hint="eastAsia" w:hAnsi="宋体"/>
        </w:rPr>
        <w:t>①</w:t>
      </w:r>
      <w:r>
        <w:rPr>
          <w:rFonts w:ascii="Times New Roman" w:cs="Times New Roman"/>
        </w:rPr>
        <w:t>对工程施工中无法避让的需保护树种，要进行异地移栽</w:t>
      </w:r>
    </w:p>
    <w:p>
      <w:pPr>
        <w:pStyle w:val="6"/>
        <w:ind w:firstLine="480"/>
        <w:rPr>
          <w:rFonts w:ascii="Times New Roman" w:cs="Times New Roman"/>
        </w:rPr>
      </w:pPr>
      <w:r>
        <w:rPr>
          <w:rFonts w:ascii="Times New Roman" w:cs="Times New Roman"/>
        </w:rPr>
        <w:t>施工便道的选线应避免和尽量减少对地表植被的破坏和影响。工程结束后，立即对施工便道进行恢复。管线施工过程中，尽可能不破坏地形、地貌；施工完毕后，尽可能将施工地带地形、地貌恢复至施工前时的地形地貌。根据现场踏勘，没有发现需要特别保护的树种，在具体施工中，如发现特别需保护的树种并且无法避让时，应进行移栽。</w:t>
      </w:r>
    </w:p>
    <w:p>
      <w:pPr>
        <w:pStyle w:val="6"/>
        <w:ind w:firstLine="480"/>
        <w:rPr>
          <w:rFonts w:ascii="Times New Roman" w:cs="Times New Roman"/>
        </w:rPr>
      </w:pPr>
      <w:r>
        <w:t>根据现场踏勘，</w:t>
      </w:r>
      <w:r>
        <w:rPr>
          <w:rFonts w:hint="eastAsia"/>
        </w:rPr>
        <w:t>临时占地影响范围内涉及二级公益林，因此，在具体施工中，将二级公益林进行保护，严禁施工中损毁二级公益林</w:t>
      </w:r>
      <w:r>
        <w:t>。</w:t>
      </w:r>
    </w:p>
    <w:p>
      <w:pPr>
        <w:pStyle w:val="6"/>
        <w:ind w:firstLine="480"/>
        <w:rPr>
          <w:rFonts w:ascii="Times New Roman" w:cs="Times New Roman"/>
        </w:rPr>
      </w:pPr>
      <w:r>
        <w:rPr>
          <w:rFonts w:hint="eastAsia" w:hAnsi="宋体"/>
        </w:rPr>
        <w:t>②</w:t>
      </w:r>
      <w:r>
        <w:rPr>
          <w:rFonts w:ascii="Times New Roman" w:cs="Times New Roman"/>
        </w:rPr>
        <w:t>加强施工人员的环保意识</w:t>
      </w:r>
    </w:p>
    <w:p>
      <w:pPr>
        <w:pStyle w:val="6"/>
        <w:ind w:firstLine="480"/>
        <w:rPr>
          <w:rFonts w:ascii="Times New Roman" w:cs="Times New Roman"/>
        </w:rPr>
      </w:pPr>
      <w:r>
        <w:rPr>
          <w:rFonts w:ascii="Times New Roman" w:cs="Times New Roman"/>
        </w:rPr>
        <w:t>不随意砍伐植物，在开挖的工程中，如发现有国家重点保护植物，要报告当地环保部门，立即组织挽救，移栽他处。</w:t>
      </w:r>
    </w:p>
    <w:p>
      <w:pPr>
        <w:pStyle w:val="6"/>
        <w:ind w:firstLine="480"/>
        <w:rPr>
          <w:rFonts w:ascii="Times New Roman" w:cs="Times New Roman"/>
        </w:rPr>
      </w:pPr>
      <w:r>
        <w:rPr>
          <w:rFonts w:hint="eastAsia" w:hAnsi="宋体"/>
        </w:rPr>
        <w:t>③</w:t>
      </w:r>
      <w:r>
        <w:rPr>
          <w:rFonts w:ascii="Times New Roman" w:cs="Times New Roman"/>
        </w:rPr>
        <w:t>加强环境管理</w:t>
      </w:r>
    </w:p>
    <w:p>
      <w:pPr>
        <w:pStyle w:val="6"/>
        <w:ind w:firstLine="480"/>
        <w:rPr>
          <w:rFonts w:ascii="Times New Roman" w:cs="Times New Roman"/>
        </w:rPr>
      </w:pPr>
      <w:r>
        <w:rPr>
          <w:rFonts w:ascii="Times New Roman" w:cs="Times New Roman"/>
        </w:rPr>
        <w:t>对已经发现的保护物种，环境管理体系的工作就显得十分重要，尤其是在施工期，工程单位与生态环境部门要合作，建立完善的管理体系，使之有法可依，执法有效，确保国家重点保护植物资源的安全。同时也要加大宣传的力度，并采取各种方式，如宣传栏、挂牌等，让施工人员了解保护的重要性。通过宣传植物的显著的特征，使施工人员会识别分布在此地的国家重点保护植物。</w:t>
      </w:r>
    </w:p>
    <w:p>
      <w:pPr>
        <w:pStyle w:val="6"/>
        <w:ind w:firstLine="480"/>
        <w:rPr>
          <w:rFonts w:ascii="Times New Roman" w:cs="Times New Roman"/>
        </w:rPr>
      </w:pPr>
      <w:r>
        <w:rPr>
          <w:rFonts w:ascii="Times New Roman" w:cs="Times New Roman"/>
        </w:rPr>
        <w:t>（2）植被恢复措施及建议</w:t>
      </w:r>
    </w:p>
    <w:p>
      <w:pPr>
        <w:pStyle w:val="6"/>
        <w:ind w:firstLine="480"/>
        <w:rPr>
          <w:rFonts w:ascii="Times New Roman" w:cs="Times New Roman"/>
        </w:rPr>
      </w:pPr>
      <w:r>
        <w:rPr>
          <w:rFonts w:ascii="Times New Roman" w:cs="Times New Roman"/>
        </w:rPr>
        <w:t>对于原农业用地，在覆土后施肥，恢复农业用地。对不能复垦为耕地和不能继续利用的施工便道且不能退耕的，根据气候条件采取种树种草绿化措施。</w:t>
      </w:r>
    </w:p>
    <w:p>
      <w:pPr>
        <w:pStyle w:val="6"/>
        <w:ind w:firstLine="480"/>
        <w:rPr>
          <w:rFonts w:ascii="Times New Roman" w:cs="Times New Roman"/>
        </w:rPr>
      </w:pPr>
      <w:r>
        <w:rPr>
          <w:rFonts w:ascii="Times New Roman" w:cs="Times New Roman"/>
        </w:rPr>
        <w:t>临时用地范围内植被恢复：对作为农用地以外的部分应植树种草恢复植被，农用地周边结合当地的农田林网营造绿化林带。施工中应加强施工管理，对边界以外的植被应不破坏或尽量减少破坏，两侧植被恢复除考虑管道防护、水土保持外，使水保、绿化、美化、环保有机结合为一体。</w:t>
      </w:r>
    </w:p>
    <w:p>
      <w:pPr>
        <w:pStyle w:val="6"/>
        <w:ind w:firstLine="480"/>
        <w:rPr>
          <w:rFonts w:ascii="Times New Roman" w:cs="Times New Roman"/>
        </w:rPr>
      </w:pPr>
      <w:r>
        <w:rPr>
          <w:rFonts w:ascii="Times New Roman" w:cs="Times New Roman"/>
        </w:rPr>
        <w:t>草种、树种的选择：在“适地适树、适地适草”的原则下，树种、草种的选择应对各地区的地形、土壤和气候条件经过详细的调查以当地优良乡土树种为主，适当引进新的优良树种草种，保证绿化栽植的成活率。</w:t>
      </w:r>
    </w:p>
    <w:p>
      <w:pPr>
        <w:pStyle w:val="6"/>
        <w:ind w:firstLine="482"/>
        <w:rPr>
          <w:rFonts w:ascii="Times New Roman" w:cs="Times New Roman"/>
          <w:b/>
        </w:rPr>
      </w:pPr>
      <w:bookmarkStart w:id="601" w:name="_Toc12288786"/>
      <w:r>
        <w:rPr>
          <w:rFonts w:ascii="Times New Roman" w:cs="Times New Roman"/>
          <w:b/>
        </w:rPr>
        <w:t>4、对农业生态系统的保护措施</w:t>
      </w:r>
      <w:bookmarkEnd w:id="601"/>
    </w:p>
    <w:p>
      <w:pPr>
        <w:pStyle w:val="6"/>
        <w:ind w:firstLine="480"/>
        <w:rPr>
          <w:rFonts w:ascii="Times New Roman" w:cs="Times New Roman"/>
        </w:rPr>
      </w:pPr>
      <w:r>
        <w:rPr>
          <w:rFonts w:ascii="Times New Roman" w:cs="Times New Roman"/>
        </w:rPr>
        <w:t>（1）在工程的总体规划中必须考虑施工对农业生产的影响，将农业损失纳入到工程预算中，管道通过农业区时，尤其是占用园地、菜地、果林等经济农业区时应尽量缩小影响范围，减少损失，降低工程对农业生态环境的干扰和破坏，避免占用国家规定的耕地。</w:t>
      </w:r>
    </w:p>
    <w:p>
      <w:pPr>
        <w:pStyle w:val="6"/>
        <w:ind w:firstLine="480"/>
        <w:rPr>
          <w:rFonts w:ascii="Times New Roman" w:cs="Times New Roman"/>
        </w:rPr>
      </w:pPr>
      <w:r>
        <w:rPr>
          <w:rFonts w:ascii="Times New Roman" w:cs="Times New Roman"/>
        </w:rPr>
        <w:t>（2）由于本项目所涉及的永久占地和临时占地都应按有关土地管理办法的要求，逐级上报有审批权的政府部门批准。对于永久占地，应纳入地方土地利用规划中，并按有关土地管理部门要求认真执行。</w:t>
      </w:r>
    </w:p>
    <w:p>
      <w:pPr>
        <w:pStyle w:val="6"/>
        <w:ind w:firstLine="480"/>
        <w:rPr>
          <w:rFonts w:ascii="Times New Roman" w:cs="Times New Roman"/>
        </w:rPr>
      </w:pPr>
      <w:r>
        <w:rPr>
          <w:rFonts w:ascii="Times New Roman" w:cs="Times New Roman"/>
        </w:rPr>
        <w:t>（3）临时占用的耕地，使用后立即实施复垦措施，恢复田坎时做好防渗措施；可与农民协商，由农民自行复垦。</w:t>
      </w:r>
    </w:p>
    <w:p>
      <w:pPr>
        <w:pStyle w:val="6"/>
        <w:ind w:firstLine="480"/>
        <w:rPr>
          <w:rFonts w:ascii="Times New Roman" w:cs="Times New Roman"/>
        </w:rPr>
      </w:pPr>
      <w:r>
        <w:rPr>
          <w:rFonts w:ascii="Times New Roman" w:cs="Times New Roman"/>
        </w:rPr>
        <w:t>（4）提高施工效率，缩短施工时间，以保持耕作层肥力，缩短农业生产季节的损失。因地制宜地选择施工季节，尽量避开农作物的生长和收获期，减少农业当季损失。</w:t>
      </w:r>
    </w:p>
    <w:p>
      <w:pPr>
        <w:pStyle w:val="6"/>
        <w:ind w:firstLine="480"/>
        <w:rPr>
          <w:rFonts w:ascii="Times New Roman" w:cs="Times New Roman"/>
        </w:rPr>
      </w:pPr>
      <w:r>
        <w:rPr>
          <w:rFonts w:ascii="Times New Roman" w:cs="Times New Roman"/>
        </w:rPr>
        <w:t>（5）管道施工中要采取保护土壤措施，对农业熟化土壤要分层开挖，分别堆放，分层复原的方法，减少因施工生土上翻耕层养分损失农作物减产的后果，同时要避免间断覆土造成的土层不坚实形成的水土流失等问题。</w:t>
      </w:r>
    </w:p>
    <w:p>
      <w:pPr>
        <w:pStyle w:val="6"/>
        <w:ind w:firstLine="480"/>
        <w:rPr>
          <w:rFonts w:ascii="Times New Roman" w:cs="Times New Roman"/>
        </w:rPr>
      </w:pPr>
      <w:r>
        <w:rPr>
          <w:rFonts w:ascii="Times New Roman" w:cs="Times New Roman"/>
        </w:rPr>
        <w:t>（6）施工完成后做好现场清理及恢复工作，包括田埂、水渠妥善处治等，尽可能降低施工对农田生态系统带来的不利影响。</w:t>
      </w:r>
    </w:p>
    <w:p>
      <w:pPr>
        <w:pStyle w:val="6"/>
        <w:ind w:firstLine="480"/>
        <w:rPr>
          <w:rFonts w:ascii="Times New Roman" w:cs="Times New Roman"/>
        </w:rPr>
      </w:pPr>
      <w:r>
        <w:rPr>
          <w:rFonts w:ascii="Times New Roman" w:cs="Times New Roman"/>
        </w:rPr>
        <w:t>（7）由于施工设备基本属于重型、庞大类别，在施工时，应避免农田基础设施受碾压而失去正常使用功能。例如：机井、灌渠、灌溉暗管（一般埋藏较浅）等水利设施的损坏，会导致灌溉区受益范围内农作物生长受影响。</w:t>
      </w:r>
    </w:p>
    <w:p>
      <w:pPr>
        <w:pStyle w:val="6"/>
        <w:ind w:firstLine="480"/>
        <w:rPr>
          <w:rFonts w:ascii="Times New Roman" w:cs="Times New Roman"/>
        </w:rPr>
      </w:pPr>
      <w:r>
        <w:rPr>
          <w:rFonts w:ascii="Times New Roman" w:cs="Times New Roman"/>
        </w:rPr>
        <w:t>管道施工时，除了以上耕地恢复的措施外，在开挖地表土壤时，在地形地貌允许的地方，应尽可能的把表土层单独堆放，放到编织带内临时堆放。回填时，把表土覆盖在最上面的地表层，这样可以大大缩短土壤生产力恢复的时间，减少工程影响时间。</w:t>
      </w:r>
    </w:p>
    <w:p>
      <w:pPr>
        <w:pStyle w:val="6"/>
        <w:ind w:firstLine="482"/>
        <w:rPr>
          <w:rFonts w:ascii="Times New Roman" w:cs="Times New Roman"/>
          <w:b/>
        </w:rPr>
      </w:pPr>
      <w:bookmarkStart w:id="602" w:name="_Toc12288787"/>
      <w:r>
        <w:rPr>
          <w:rFonts w:ascii="Times New Roman" w:cs="Times New Roman"/>
          <w:b/>
        </w:rPr>
        <w:t>5、林地恢复措施</w:t>
      </w:r>
      <w:bookmarkEnd w:id="602"/>
    </w:p>
    <w:p>
      <w:pPr>
        <w:pStyle w:val="6"/>
        <w:ind w:firstLine="480"/>
        <w:rPr>
          <w:rFonts w:ascii="Times New Roman" w:cs="Times New Roman"/>
        </w:rPr>
      </w:pPr>
      <w:r>
        <w:rPr>
          <w:rFonts w:ascii="Times New Roman" w:cs="Times New Roman"/>
        </w:rPr>
        <w:t>（1）加强对施工人员及施工活动的管理</w:t>
      </w:r>
    </w:p>
    <w:p>
      <w:pPr>
        <w:pStyle w:val="6"/>
        <w:ind w:firstLine="480"/>
        <w:rPr>
          <w:rFonts w:ascii="Times New Roman" w:cs="Times New Roman"/>
        </w:rPr>
      </w:pPr>
      <w:r>
        <w:rPr>
          <w:rFonts w:hint="eastAsia" w:hAnsi="宋体"/>
        </w:rPr>
        <w:t>①</w:t>
      </w:r>
      <w:r>
        <w:rPr>
          <w:rFonts w:ascii="Times New Roman" w:cs="Times New Roman"/>
        </w:rPr>
        <w:t>施工过程中，加强施工人员的管理，禁止施工人员对野生植被滥砍滥伐，严格限制人员的活动范围，破坏沿线的生态环境。</w:t>
      </w:r>
    </w:p>
    <w:p>
      <w:pPr>
        <w:pStyle w:val="6"/>
        <w:ind w:firstLine="480"/>
        <w:rPr>
          <w:rFonts w:ascii="Times New Roman" w:cs="Times New Roman"/>
        </w:rPr>
      </w:pPr>
      <w:r>
        <w:rPr>
          <w:rFonts w:hint="eastAsia" w:hAnsi="宋体"/>
        </w:rPr>
        <w:t>②</w:t>
      </w:r>
      <w:r>
        <w:t>根据现场踏勘，</w:t>
      </w:r>
      <w:r>
        <w:rPr>
          <w:rFonts w:hint="eastAsia"/>
        </w:rPr>
        <w:t>项目临时占地影响范围内涉及二级公益林，因此，在具体施工中，将二级公益林进行保护，严禁施工中损毁二级公益林</w:t>
      </w:r>
      <w:r>
        <w:rPr>
          <w:rFonts w:ascii="Times New Roman" w:cs="Times New Roman"/>
        </w:rPr>
        <w:t>。</w:t>
      </w:r>
    </w:p>
    <w:p>
      <w:pPr>
        <w:pStyle w:val="6"/>
        <w:ind w:firstLine="480"/>
        <w:rPr>
          <w:rFonts w:ascii="Times New Roman" w:cs="Times New Roman"/>
        </w:rPr>
      </w:pPr>
      <w:r>
        <w:rPr>
          <w:rFonts w:ascii="Times New Roman" w:cs="Times New Roman"/>
        </w:rPr>
        <w:t>（2）施工后的植被恢复</w:t>
      </w:r>
    </w:p>
    <w:p>
      <w:pPr>
        <w:pStyle w:val="6"/>
        <w:ind w:firstLine="480"/>
        <w:rPr>
          <w:rFonts w:ascii="Times New Roman" w:cs="Times New Roman"/>
        </w:rPr>
      </w:pPr>
      <w:r>
        <w:rPr>
          <w:rFonts w:hint="eastAsia" w:hAnsi="宋体"/>
        </w:rPr>
        <w:t>①</w:t>
      </w:r>
      <w:r>
        <w:rPr>
          <w:rFonts w:ascii="Times New Roman" w:cs="Times New Roman"/>
        </w:rPr>
        <w:t>总体原则</w:t>
      </w:r>
    </w:p>
    <w:p>
      <w:pPr>
        <w:pStyle w:val="6"/>
        <w:ind w:firstLine="480"/>
        <w:rPr>
          <w:rFonts w:ascii="Times New Roman" w:cs="Times New Roman"/>
        </w:rPr>
      </w:pPr>
      <w:r>
        <w:rPr>
          <w:rFonts w:ascii="Times New Roman" w:cs="Times New Roman"/>
        </w:rPr>
        <w:t>管道开挖填埋土方工程完成后，沿线区间尽早植树种草，原为草地的要植草，原为林地的要植树。由于在管线两侧5m范围内不能种植深根作物，不能植树的地方（管道两侧5m）可种草。</w:t>
      </w:r>
    </w:p>
    <w:p>
      <w:pPr>
        <w:pStyle w:val="6"/>
        <w:ind w:firstLine="480"/>
        <w:rPr>
          <w:rFonts w:ascii="Times New Roman" w:cs="Times New Roman"/>
        </w:rPr>
      </w:pPr>
      <w:r>
        <w:rPr>
          <w:rFonts w:hint="eastAsia" w:hAnsi="宋体"/>
        </w:rPr>
        <w:t>②</w:t>
      </w:r>
      <w:r>
        <w:rPr>
          <w:rFonts w:ascii="Times New Roman" w:cs="Times New Roman"/>
        </w:rPr>
        <w:t>植被恢复措施</w:t>
      </w:r>
    </w:p>
    <w:p>
      <w:pPr>
        <w:pStyle w:val="6"/>
        <w:ind w:firstLine="480"/>
        <w:rPr>
          <w:rFonts w:ascii="Times New Roman" w:cs="Times New Roman"/>
        </w:rPr>
      </w:pPr>
      <w:r>
        <w:rPr>
          <w:rFonts w:ascii="Times New Roman" w:cs="Times New Roman"/>
        </w:rPr>
        <w:t>本管道工程植被措施主要布设在场站周边、管道作业带、附属配套工程裸露空地、施工便道两侧等工程单元。林草措施分为铺种草皮、人工种草、种植乔木、种植灌木、种植攀援植物、植物护坡等6种类型。</w:t>
      </w:r>
    </w:p>
    <w:p>
      <w:pPr>
        <w:pStyle w:val="6"/>
        <w:ind w:firstLine="480"/>
        <w:rPr>
          <w:rFonts w:ascii="Times New Roman" w:cs="Times New Roman"/>
        </w:rPr>
      </w:pPr>
      <w:r>
        <w:rPr>
          <w:rFonts w:hint="eastAsia" w:hAnsi="宋体"/>
        </w:rPr>
        <w:t>③</w:t>
      </w:r>
      <w:r>
        <w:rPr>
          <w:rFonts w:ascii="Times New Roman" w:cs="Times New Roman"/>
        </w:rPr>
        <w:t>植物种类选择</w:t>
      </w:r>
    </w:p>
    <w:p>
      <w:pPr>
        <w:pStyle w:val="6"/>
        <w:ind w:firstLine="480"/>
        <w:rPr>
          <w:rFonts w:ascii="Times New Roman" w:cs="Times New Roman"/>
        </w:rPr>
      </w:pPr>
      <w:r>
        <w:rPr>
          <w:rFonts w:ascii="Times New Roman" w:cs="Times New Roman"/>
        </w:rPr>
        <w:t>a.工程区属亚热带季风气候区，水热条件充沛，在地质、地形、土壤、气候和生物等因素的综合作用下，为植物生长提供了有利条件，形成亚热带常绿阔叶、落叶阔叶与针叶林为主的低山、丘陵天然林、人工次生林。集输管道沿线主要为人工植被，有枇杷、葡萄、柑橘、梨等果林，以及杉木、柏木等用材林；农作物一般为水稻、蔬菜、玉米等季节性农作物；局部丘陵地貌顶部和山区为人工经济林。当地水土保持植物主要有紫穗槐、巴茅、狗牙根、三叶草等。</w:t>
      </w:r>
    </w:p>
    <w:p>
      <w:pPr>
        <w:pStyle w:val="6"/>
        <w:ind w:firstLine="480"/>
        <w:rPr>
          <w:rFonts w:ascii="Times New Roman" w:cs="Times New Roman"/>
        </w:rPr>
      </w:pPr>
      <w:r>
        <w:rPr>
          <w:rFonts w:ascii="Times New Roman" w:cs="Times New Roman"/>
        </w:rPr>
        <w:t>b.乔木树种选择抗逆性强、形体优美的树种，主要有马尾松、杨树、柏树、香樟、刺槐等；灌木树种选择耐瘠薄、生长迅速的树种，主要有紫穗槐、马桑、灌木柳、夹竹桃等，以及景观灌木种金叶女贞、小叶黄杨等；草种选择适应性强、耐瘠薄、易繁殖草种，主要有草坪草：狗牙根、黑麦草、地毯草、马尼拉，以及当地野生草种狗尾草、野羊茅、白三叶等；攀援植物种有爬山虎、地锦、岩爬藤等。</w:t>
      </w:r>
    </w:p>
    <w:p>
      <w:pPr>
        <w:pStyle w:val="6"/>
        <w:ind w:firstLine="480"/>
        <w:rPr>
          <w:rFonts w:ascii="Times New Roman" w:cs="Times New Roman"/>
        </w:rPr>
      </w:pPr>
      <w:r>
        <w:rPr>
          <w:rFonts w:ascii="Times New Roman" w:cs="Times New Roman"/>
        </w:rPr>
        <w:t>c.对于管道沿线较大面积的林地中，林分单一，多为阔叶林，因此工程施工中严禁带入有害的外来物种，从而避免病虫害以及森林树种的竞争等。</w:t>
      </w:r>
    </w:p>
    <w:p>
      <w:pPr>
        <w:pStyle w:val="6"/>
        <w:ind w:firstLine="480"/>
        <w:rPr>
          <w:rFonts w:ascii="Times New Roman" w:cs="Times New Roman"/>
        </w:rPr>
      </w:pPr>
      <w:r>
        <w:rPr>
          <w:rFonts w:hint="eastAsia" w:hAnsi="宋体"/>
        </w:rPr>
        <w:t>④</w:t>
      </w:r>
      <w:r>
        <w:rPr>
          <w:rFonts w:ascii="Times New Roman" w:cs="Times New Roman"/>
        </w:rPr>
        <w:t>种草</w:t>
      </w:r>
    </w:p>
    <w:p>
      <w:pPr>
        <w:pStyle w:val="6"/>
        <w:ind w:firstLine="480"/>
        <w:rPr>
          <w:rFonts w:ascii="Times New Roman" w:cs="Times New Roman"/>
        </w:rPr>
      </w:pPr>
      <w:r>
        <w:rPr>
          <w:rFonts w:ascii="Times New Roman" w:cs="Times New Roman"/>
        </w:rPr>
        <w:t>本管道项目种草有作业带种草、护坡种草及站场草坪建植。</w:t>
      </w:r>
    </w:p>
    <w:p>
      <w:pPr>
        <w:pStyle w:val="6"/>
        <w:ind w:firstLine="480"/>
        <w:rPr>
          <w:rFonts w:ascii="Times New Roman" w:cs="Times New Roman"/>
        </w:rPr>
      </w:pPr>
      <w:r>
        <w:rPr>
          <w:rFonts w:ascii="Times New Roman" w:cs="Times New Roman"/>
        </w:rPr>
        <w:t>a.种植方式</w:t>
      </w:r>
    </w:p>
    <w:p>
      <w:pPr>
        <w:pStyle w:val="6"/>
        <w:ind w:firstLine="480"/>
        <w:rPr>
          <w:rFonts w:ascii="Times New Roman" w:cs="Times New Roman"/>
        </w:rPr>
      </w:pPr>
      <w:r>
        <w:rPr>
          <w:rFonts w:ascii="Times New Roman" w:cs="Times New Roman"/>
        </w:rPr>
        <w:t>栽植、埋植或直播。直播有条播、撒播、穴播和混播几种方式。部分植物护坡可采用网格状种草。草坪种草主要在站场区实施，按园林绿化要求进行，多为规则式草坪，有的要结合花灌、花台等进行建设。草种推荐选择狗牙根、黑麦草、地毯草、马尼拉等。</w:t>
      </w:r>
    </w:p>
    <w:p>
      <w:pPr>
        <w:pStyle w:val="6"/>
        <w:ind w:firstLine="480"/>
        <w:rPr>
          <w:rFonts w:ascii="Times New Roman" w:cs="Times New Roman"/>
        </w:rPr>
      </w:pPr>
      <w:r>
        <w:rPr>
          <w:rFonts w:ascii="Times New Roman" w:cs="Times New Roman"/>
        </w:rPr>
        <w:t>b.抚育管理：栽植、播种后，根据实际情况及时浇水、除草。</w:t>
      </w:r>
    </w:p>
    <w:p>
      <w:pPr>
        <w:pStyle w:val="6"/>
        <w:ind w:firstLine="480"/>
        <w:rPr>
          <w:rFonts w:ascii="Times New Roman" w:cs="Times New Roman"/>
        </w:rPr>
      </w:pPr>
      <w:r>
        <w:rPr>
          <w:rFonts w:hint="eastAsia" w:hAnsi="宋体"/>
        </w:rPr>
        <w:t>⑤</w:t>
      </w:r>
      <w:r>
        <w:rPr>
          <w:rFonts w:ascii="Times New Roman" w:cs="Times New Roman"/>
        </w:rPr>
        <w:t>种树</w:t>
      </w:r>
    </w:p>
    <w:p>
      <w:pPr>
        <w:pStyle w:val="6"/>
        <w:ind w:firstLine="480"/>
        <w:rPr>
          <w:rFonts w:ascii="Times New Roman" w:cs="Times New Roman"/>
        </w:rPr>
      </w:pPr>
      <w:r>
        <w:rPr>
          <w:rFonts w:ascii="Times New Roman" w:cs="Times New Roman"/>
        </w:rPr>
        <w:t>本项目种树主要包括灌草结合方式种植和行道树栽植两种。</w:t>
      </w:r>
    </w:p>
    <w:p>
      <w:pPr>
        <w:pStyle w:val="6"/>
        <w:ind w:firstLine="480"/>
        <w:rPr>
          <w:rFonts w:ascii="Times New Roman" w:cs="Times New Roman"/>
        </w:rPr>
      </w:pPr>
      <w:r>
        <w:rPr>
          <w:rFonts w:ascii="Times New Roman" w:cs="Times New Roman"/>
        </w:rPr>
        <w:t>a.行道树种植</w:t>
      </w:r>
    </w:p>
    <w:p>
      <w:pPr>
        <w:pStyle w:val="6"/>
        <w:ind w:firstLine="480"/>
        <w:rPr>
          <w:rFonts w:ascii="Times New Roman" w:cs="Times New Roman"/>
        </w:rPr>
      </w:pPr>
      <w:r>
        <w:rPr>
          <w:rFonts w:ascii="Times New Roman" w:cs="Times New Roman"/>
        </w:rPr>
        <w:t>选择树形整齐、树干通直、枝叶茂盛、冠大荫浓的树种作为行道数，如杨树、香樟、柏树、小叶榕，坑穴种植，株行距3m×3m，坑穴尺寸0.6m×0.6m×0.6m。</w:t>
      </w:r>
    </w:p>
    <w:p>
      <w:pPr>
        <w:pStyle w:val="6"/>
        <w:ind w:firstLine="480"/>
        <w:rPr>
          <w:rFonts w:ascii="Times New Roman" w:cs="Times New Roman"/>
        </w:rPr>
      </w:pPr>
      <w:r>
        <w:rPr>
          <w:rFonts w:ascii="Times New Roman" w:cs="Times New Roman"/>
        </w:rPr>
        <w:t>b.施工场地</w:t>
      </w:r>
    </w:p>
    <w:p>
      <w:pPr>
        <w:pStyle w:val="6"/>
        <w:ind w:firstLine="480"/>
        <w:rPr>
          <w:rFonts w:ascii="Times New Roman" w:cs="Times New Roman"/>
        </w:rPr>
      </w:pPr>
      <w:r>
        <w:rPr>
          <w:rFonts w:ascii="Times New Roman" w:cs="Times New Roman"/>
        </w:rPr>
        <w:t>施工场地采用灌草结合的方式进行绿化，灌木株行距为1.5m×2m，坑穴种植，坑穴尺寸0.4m×0.4m×0.4m，灌木林下撒播种草，撒播密度为60kg/hm</w:t>
      </w:r>
      <w:r>
        <w:rPr>
          <w:rFonts w:ascii="Times New Roman" w:cs="Times New Roman"/>
          <w:vertAlign w:val="superscript"/>
        </w:rPr>
        <w:t>2</w:t>
      </w:r>
      <w:r>
        <w:rPr>
          <w:rFonts w:ascii="Times New Roman" w:cs="Times New Roman"/>
        </w:rPr>
        <w:t>。</w:t>
      </w:r>
    </w:p>
    <w:p>
      <w:pPr>
        <w:pStyle w:val="6"/>
        <w:ind w:firstLine="480"/>
        <w:rPr>
          <w:rFonts w:ascii="Times New Roman" w:cs="Times New Roman"/>
        </w:rPr>
      </w:pPr>
      <w:r>
        <w:rPr>
          <w:rFonts w:ascii="Times New Roman" w:cs="Times New Roman"/>
        </w:rPr>
        <w:t>c.抚育管理</w:t>
      </w:r>
    </w:p>
    <w:p>
      <w:pPr>
        <w:pStyle w:val="6"/>
        <w:ind w:firstLine="480"/>
        <w:rPr>
          <w:rFonts w:ascii="Times New Roman" w:cs="Times New Roman"/>
        </w:rPr>
      </w:pPr>
      <w:r>
        <w:rPr>
          <w:rFonts w:ascii="Times New Roman" w:cs="Times New Roman"/>
        </w:rPr>
        <w:t>栽植、播种后，根据实际情况及时浇水、除草。</w:t>
      </w:r>
    </w:p>
    <w:p>
      <w:pPr>
        <w:pStyle w:val="6"/>
        <w:ind w:firstLine="480"/>
        <w:rPr>
          <w:rFonts w:ascii="Times New Roman" w:cs="Times New Roman"/>
        </w:rPr>
      </w:pPr>
      <w:r>
        <w:rPr>
          <w:rFonts w:hint="eastAsia" w:hAnsi="宋体"/>
        </w:rPr>
        <w:t>⑥</w:t>
      </w:r>
      <w:r>
        <w:rPr>
          <w:rFonts w:ascii="Times New Roman" w:cs="Times New Roman"/>
        </w:rPr>
        <w:t>植物措施管理技术要点</w:t>
      </w:r>
    </w:p>
    <w:p>
      <w:pPr>
        <w:pStyle w:val="6"/>
        <w:ind w:firstLine="480"/>
        <w:rPr>
          <w:rFonts w:ascii="Times New Roman" w:cs="Times New Roman"/>
        </w:rPr>
      </w:pPr>
      <w:r>
        <w:rPr>
          <w:rFonts w:ascii="Times New Roman" w:cs="Times New Roman"/>
        </w:rPr>
        <w:t>a.幼林抚育管理包括补植、松土、除草、灌水、修枝和平茬，对于成活率低于85%的林地要进行苗木补植，同时要禁止放牧和人为破坏，做好病虫害防治工作。</w:t>
      </w:r>
    </w:p>
    <w:p>
      <w:pPr>
        <w:pStyle w:val="6"/>
        <w:ind w:firstLine="480"/>
        <w:rPr>
          <w:rFonts w:ascii="Times New Roman" w:cs="Times New Roman"/>
        </w:rPr>
      </w:pPr>
      <w:r>
        <w:rPr>
          <w:rFonts w:ascii="Times New Roman" w:cs="Times New Roman"/>
        </w:rPr>
        <w:t>b.植苗造林所用的苗木必须是未受冻害、为损伤、根系较完整、失水少且经过较短时间和距离运输的苗木，尤其以附近苗圃繁育的优质壮苗为佳；草坪草播后洒水，保持土壤湿润至全部出苗。</w:t>
      </w:r>
    </w:p>
    <w:p>
      <w:pPr>
        <w:pStyle w:val="6"/>
        <w:ind w:firstLine="480"/>
        <w:rPr>
          <w:rFonts w:ascii="Times New Roman" w:cs="Times New Roman"/>
        </w:rPr>
      </w:pPr>
      <w:r>
        <w:rPr>
          <w:rFonts w:ascii="Times New Roman" w:cs="Times New Roman"/>
        </w:rPr>
        <w:t>c.乔木树种选用2年以上的实生壮苗，苗高1.5m左右，紫穗槐等灌木选用1年生壮苗，苗高0.5m，为提高成活率，每穴栽植两株。狗尾草、野羊茅等草种用当年收获且籽粒饱满、发芽率在80%以上的种子。</w:t>
      </w:r>
    </w:p>
    <w:p>
      <w:pPr>
        <w:pStyle w:val="6"/>
        <w:ind w:firstLine="482"/>
        <w:rPr>
          <w:rFonts w:ascii="Times New Roman" w:cs="Times New Roman"/>
          <w:b/>
        </w:rPr>
      </w:pPr>
      <w:bookmarkStart w:id="603" w:name="_Toc12288788"/>
      <w:r>
        <w:rPr>
          <w:rFonts w:ascii="Times New Roman" w:cs="Times New Roman"/>
          <w:b/>
        </w:rPr>
        <w:t>6、生态景观环境影响减缓措施</w:t>
      </w:r>
      <w:bookmarkEnd w:id="603"/>
    </w:p>
    <w:p>
      <w:pPr>
        <w:pStyle w:val="6"/>
        <w:ind w:firstLine="480"/>
        <w:rPr>
          <w:rFonts w:ascii="Times New Roman" w:cs="Times New Roman"/>
        </w:rPr>
      </w:pPr>
      <w:r>
        <w:rPr>
          <w:rFonts w:ascii="Times New Roman" w:cs="Times New Roman"/>
        </w:rPr>
        <w:t>（1）施工过程中，文明施工，有序作业，减少临时占地面积，尽量减少农作物的损失。</w:t>
      </w:r>
    </w:p>
    <w:p>
      <w:pPr>
        <w:pStyle w:val="6"/>
        <w:ind w:firstLine="480"/>
        <w:rPr>
          <w:rFonts w:ascii="Times New Roman" w:cs="Times New Roman"/>
        </w:rPr>
      </w:pPr>
      <w:r>
        <w:rPr>
          <w:rFonts w:ascii="Times New Roman" w:cs="Times New Roman"/>
        </w:rPr>
        <w:t>（2）在遇到确定为环境敏感点的区域时，施工人员、施工车辆以及各种设备应按规定的路线行驶、操作，不得随意破坏道路等设施。</w:t>
      </w:r>
    </w:p>
    <w:p>
      <w:pPr>
        <w:pStyle w:val="6"/>
        <w:ind w:firstLine="480"/>
        <w:rPr>
          <w:rFonts w:ascii="Times New Roman" w:cs="Times New Roman"/>
        </w:rPr>
      </w:pPr>
      <w:r>
        <w:rPr>
          <w:rFonts w:ascii="Times New Roman" w:cs="Times New Roman"/>
        </w:rPr>
        <w:t>（3）对必须要毁坏的树木，予以经济补偿或者是易地种植，种植地通常可选择在铁路、公路两旁、河渠两侧等。</w:t>
      </w:r>
    </w:p>
    <w:p>
      <w:pPr>
        <w:pStyle w:val="6"/>
        <w:ind w:firstLine="480"/>
        <w:rPr>
          <w:rFonts w:ascii="Times New Roman" w:cs="Times New Roman"/>
        </w:rPr>
      </w:pPr>
      <w:r>
        <w:rPr>
          <w:rFonts w:ascii="Times New Roman" w:cs="Times New Roman"/>
        </w:rPr>
        <w:t>（4）尽量缩短施工期，使土壤暴露时间缩短，并快速回填。</w:t>
      </w:r>
    </w:p>
    <w:p>
      <w:pPr>
        <w:pStyle w:val="6"/>
        <w:ind w:firstLine="482"/>
        <w:rPr>
          <w:rFonts w:ascii="Times New Roman" w:cs="Times New Roman"/>
          <w:b/>
        </w:rPr>
      </w:pPr>
      <w:bookmarkStart w:id="604" w:name="_Toc12288789"/>
      <w:r>
        <w:rPr>
          <w:rFonts w:ascii="Times New Roman" w:cs="Times New Roman"/>
          <w:b/>
        </w:rPr>
        <w:t>7、水土流失防治措施</w:t>
      </w:r>
      <w:bookmarkEnd w:id="604"/>
    </w:p>
    <w:p>
      <w:pPr>
        <w:pStyle w:val="6"/>
        <w:ind w:firstLine="480"/>
      </w:pPr>
      <w:r>
        <w:t>项目位于</w:t>
      </w:r>
      <w:r>
        <w:rPr>
          <w:rFonts w:hint="eastAsia" w:ascii="Times New Roman" w:cs="Times New Roman"/>
        </w:rPr>
        <w:t>宣汉县</w:t>
      </w:r>
      <w:r>
        <w:rPr>
          <w:rFonts w:hint="eastAsia"/>
        </w:rPr>
        <w:t>黄金镇</w:t>
      </w:r>
      <w:r>
        <w:rPr>
          <w:rFonts w:hint="eastAsia" w:ascii="Times New Roman" w:cs="Times New Roman"/>
        </w:rPr>
        <w:t>境内</w:t>
      </w:r>
      <w:r>
        <w:t>，</w:t>
      </w:r>
      <w:r>
        <w:rPr>
          <w:rFonts w:hint="eastAsia"/>
        </w:rPr>
        <w:t>涉及</w:t>
      </w:r>
      <w:r>
        <w:t>嘉陵江及沱江中下游国家级水土流失重点治理区，</w:t>
      </w:r>
      <w:r>
        <w:rPr>
          <w:rFonts w:hint="eastAsia"/>
        </w:rPr>
        <w:t>因此，本项目需采取水土流水污染防止</w:t>
      </w:r>
      <w:r>
        <w:t>高标准，</w:t>
      </w:r>
      <w:r>
        <w:rPr>
          <w:rFonts w:hint="eastAsia"/>
        </w:rPr>
        <w:t>采取严格的</w:t>
      </w:r>
      <w:r>
        <w:t>水土保持防护措施及施工管理</w:t>
      </w:r>
      <w:r>
        <w:rPr>
          <w:rFonts w:hint="eastAsia"/>
        </w:rPr>
        <w:t>措施</w:t>
      </w:r>
      <w:r>
        <w:t>，从水土保持角度来看，通过提高防治标准，采取积极的水土保持措施，加强工程施工期间的临时防护以及管控，可以将不利影响降到最低。</w:t>
      </w:r>
    </w:p>
    <w:p>
      <w:pPr>
        <w:pStyle w:val="6"/>
        <w:ind w:firstLine="482"/>
        <w:rPr>
          <w:rFonts w:ascii="Times New Roman" w:cs="Times New Roman"/>
          <w:b/>
        </w:rPr>
      </w:pPr>
      <w:r>
        <w:rPr>
          <w:rFonts w:hint="eastAsia" w:ascii="Times New Roman" w:cs="Times New Roman"/>
          <w:b/>
        </w:rPr>
        <w:t>7.1</w:t>
      </w:r>
      <w:r>
        <w:rPr>
          <w:rFonts w:ascii="Times New Roman" w:cs="Times New Roman"/>
          <w:b/>
        </w:rPr>
        <w:t>水土流失防治措施总体布设原则</w:t>
      </w:r>
    </w:p>
    <w:p>
      <w:pPr>
        <w:pStyle w:val="6"/>
        <w:ind w:firstLine="480"/>
        <w:rPr>
          <w:rFonts w:ascii="Times New Roman" w:cs="Times New Roman"/>
        </w:rPr>
      </w:pPr>
      <w:r>
        <w:rPr>
          <w:rFonts w:hint="eastAsia" w:ascii="Times New Roman" w:cs="Times New Roman"/>
        </w:rPr>
        <w:t>（1）</w:t>
      </w:r>
      <w:r>
        <w:rPr>
          <w:rFonts w:ascii="Times New Roman" w:cs="Times New Roman"/>
        </w:rPr>
        <w:t>结合工程实际和项目区水土流失现状，因地制宜、因害设防、防治结合、全面布局、科学配置。</w:t>
      </w:r>
    </w:p>
    <w:p>
      <w:pPr>
        <w:pStyle w:val="6"/>
        <w:ind w:firstLine="480"/>
        <w:rPr>
          <w:rFonts w:ascii="Times New Roman" w:cs="Times New Roman"/>
        </w:rPr>
      </w:pPr>
      <w:r>
        <w:rPr>
          <w:rFonts w:hint="eastAsia" w:ascii="Times New Roman" w:cs="Times New Roman"/>
        </w:rPr>
        <w:t>（2）</w:t>
      </w:r>
      <w:r>
        <w:rPr>
          <w:rFonts w:ascii="Times New Roman" w:cs="Times New Roman"/>
        </w:rPr>
        <w:t>应控制和减少对原地貌、地表植被、水系的扰动和损毁，保护原地表植被、表土层，减少占用水、土资源，提高利用效率。</w:t>
      </w:r>
    </w:p>
    <w:p>
      <w:pPr>
        <w:pStyle w:val="6"/>
        <w:ind w:firstLine="480"/>
        <w:rPr>
          <w:rFonts w:ascii="Times New Roman" w:cs="Times New Roman"/>
        </w:rPr>
      </w:pPr>
      <w:r>
        <w:rPr>
          <w:rFonts w:hint="eastAsia" w:ascii="Times New Roman" w:cs="Times New Roman"/>
        </w:rPr>
        <w:t>（3）</w:t>
      </w:r>
      <w:r>
        <w:rPr>
          <w:rFonts w:ascii="Times New Roman" w:cs="Times New Roman"/>
        </w:rPr>
        <w:t>开挖、排弃、堆垫的场地必须采取拦挡、护坡、排水及土地整治等措施。</w:t>
      </w:r>
    </w:p>
    <w:p>
      <w:pPr>
        <w:pStyle w:val="6"/>
        <w:ind w:firstLine="480"/>
        <w:rPr>
          <w:rFonts w:ascii="Times New Roman" w:cs="Times New Roman"/>
        </w:rPr>
      </w:pPr>
      <w:r>
        <w:rPr>
          <w:rFonts w:hint="eastAsia" w:ascii="Times New Roman" w:cs="Times New Roman"/>
        </w:rPr>
        <w:t>（4）</w:t>
      </w:r>
      <w:r>
        <w:rPr>
          <w:rFonts w:ascii="Times New Roman" w:cs="Times New Roman"/>
        </w:rPr>
        <w:t>弃土（石、渣）应综合利用，不能利用的应集中堆放在专门的存放地，并按“先拦后弃”的原则采取拦挡措施，不得在饮用水源保护区、建成水库、河道及灌渠管理范围内布设弃土（石、渣）场。</w:t>
      </w:r>
    </w:p>
    <w:p>
      <w:pPr>
        <w:pStyle w:val="6"/>
        <w:ind w:firstLine="480"/>
        <w:rPr>
          <w:rFonts w:ascii="Times New Roman" w:cs="Times New Roman"/>
        </w:rPr>
      </w:pPr>
      <w:r>
        <w:rPr>
          <w:rFonts w:hint="eastAsia" w:ascii="Times New Roman" w:cs="Times New Roman"/>
        </w:rPr>
        <w:t>（5）</w:t>
      </w:r>
      <w:r>
        <w:rPr>
          <w:rFonts w:ascii="Times New Roman" w:cs="Times New Roman"/>
        </w:rPr>
        <w:t>施工迹地应及时进行土地平整压实，采取水土保持措施，恢复其利用功能。</w:t>
      </w:r>
    </w:p>
    <w:p>
      <w:pPr>
        <w:pStyle w:val="6"/>
        <w:ind w:firstLine="480"/>
        <w:rPr>
          <w:rFonts w:ascii="Times New Roman" w:cs="Times New Roman"/>
        </w:rPr>
      </w:pPr>
      <w:r>
        <w:rPr>
          <w:rFonts w:hint="eastAsia" w:ascii="Times New Roman" w:cs="Times New Roman"/>
        </w:rPr>
        <w:t>（6）</w:t>
      </w:r>
      <w:r>
        <w:rPr>
          <w:rFonts w:ascii="Times New Roman" w:cs="Times New Roman"/>
        </w:rPr>
        <w:t>项目建设过程中应注重生态环境保护，设置临时性防护措施，减少施工过程中造成的人为干扰及产生的弃土、石、渣。</w:t>
      </w:r>
    </w:p>
    <w:p>
      <w:pPr>
        <w:pStyle w:val="6"/>
        <w:ind w:firstLine="480"/>
        <w:rPr>
          <w:rFonts w:ascii="Times New Roman" w:cs="Times New Roman"/>
        </w:rPr>
      </w:pPr>
      <w:r>
        <w:rPr>
          <w:rFonts w:hint="eastAsia" w:ascii="Times New Roman" w:cs="Times New Roman"/>
        </w:rPr>
        <w:t>（7）</w:t>
      </w:r>
      <w:r>
        <w:rPr>
          <w:rFonts w:ascii="Times New Roman" w:cs="Times New Roman"/>
        </w:rPr>
        <w:t>注重吸收当地水土保持的成功经验，借鉴国内外先进技术。</w:t>
      </w:r>
    </w:p>
    <w:p>
      <w:pPr>
        <w:pStyle w:val="6"/>
        <w:ind w:firstLine="480"/>
        <w:rPr>
          <w:rFonts w:ascii="Times New Roman" w:cs="Times New Roman"/>
        </w:rPr>
      </w:pPr>
      <w:r>
        <w:rPr>
          <w:rFonts w:hint="eastAsia" w:ascii="Times New Roman" w:cs="Times New Roman"/>
        </w:rPr>
        <w:t>（8）</w:t>
      </w:r>
      <w:r>
        <w:rPr>
          <w:rFonts w:ascii="Times New Roman" w:cs="Times New Roman"/>
        </w:rPr>
        <w:t>工程措施、临时措施合理配置，统筹兼顾，形成综合防护体系。</w:t>
      </w:r>
    </w:p>
    <w:p>
      <w:pPr>
        <w:pStyle w:val="6"/>
        <w:ind w:firstLine="480"/>
        <w:rPr>
          <w:rFonts w:ascii="Times New Roman" w:cs="Times New Roman"/>
        </w:rPr>
      </w:pPr>
      <w:r>
        <w:rPr>
          <w:rFonts w:hint="eastAsia" w:ascii="Times New Roman" w:cs="Times New Roman"/>
        </w:rPr>
        <w:t>（9）</w:t>
      </w:r>
      <w:r>
        <w:rPr>
          <w:rFonts w:ascii="Times New Roman" w:cs="Times New Roman"/>
        </w:rPr>
        <w:t>工程措施要尽量选用当地材料，做到技术上可靠、经济上合理。</w:t>
      </w:r>
    </w:p>
    <w:p>
      <w:pPr>
        <w:pStyle w:val="6"/>
        <w:ind w:firstLine="480"/>
        <w:rPr>
          <w:rFonts w:ascii="Times New Roman" w:cs="Times New Roman"/>
        </w:rPr>
      </w:pPr>
      <w:r>
        <w:rPr>
          <w:rFonts w:hint="eastAsia" w:ascii="Times New Roman" w:cs="Times New Roman"/>
        </w:rPr>
        <w:t>（10）</w:t>
      </w:r>
      <w:r>
        <w:rPr>
          <w:rFonts w:ascii="Times New Roman" w:cs="Times New Roman"/>
        </w:rPr>
        <w:t>防治措施布设要与主体工程密切配合，相互协调，形成整体。</w:t>
      </w:r>
    </w:p>
    <w:p>
      <w:pPr>
        <w:pStyle w:val="6"/>
        <w:ind w:firstLine="482"/>
        <w:rPr>
          <w:rFonts w:ascii="Times New Roman" w:cs="Times New Roman"/>
          <w:b/>
        </w:rPr>
      </w:pPr>
      <w:r>
        <w:rPr>
          <w:rFonts w:hint="eastAsia" w:ascii="Times New Roman" w:cs="Times New Roman"/>
          <w:b/>
        </w:rPr>
        <w:t>7.</w:t>
      </w:r>
      <w:r>
        <w:rPr>
          <w:rFonts w:ascii="Times New Roman" w:cs="Times New Roman"/>
          <w:b/>
        </w:rPr>
        <w:t>2水土流失防治措施总体布局</w:t>
      </w:r>
    </w:p>
    <w:p>
      <w:pPr>
        <w:pStyle w:val="6"/>
        <w:ind w:firstLine="480"/>
        <w:rPr>
          <w:rFonts w:ascii="Times New Roman" w:cs="Times New Roman"/>
        </w:rPr>
      </w:pPr>
      <w:r>
        <w:rPr>
          <w:rFonts w:ascii="Times New Roman" w:cs="Times New Roman"/>
        </w:rPr>
        <w:t>本工程水土保持防治措施由工程措施、植物措施和临时措施构成。水土保持防治措施布局按照综合防治的原则进行规划，从而确定本工程水土流失防治体系和总体布局。</w:t>
      </w:r>
    </w:p>
    <w:p>
      <w:pPr>
        <w:pStyle w:val="6"/>
        <w:ind w:firstLine="480"/>
        <w:rPr>
          <w:rFonts w:ascii="Times New Roman" w:cs="Times New Roman"/>
        </w:rPr>
      </w:pPr>
      <w:r>
        <w:rPr>
          <w:rFonts w:ascii="Times New Roman" w:cs="Times New Roman"/>
        </w:rPr>
        <w:t>本项目分为三个区即井场及附属工程防治区、井场进场道路防治区、临时堆土防治区进行水土保持措施总体布局：</w:t>
      </w:r>
    </w:p>
    <w:p>
      <w:pPr>
        <w:pStyle w:val="6"/>
        <w:ind w:firstLine="480"/>
        <w:rPr>
          <w:rFonts w:ascii="Times New Roman" w:cs="Times New Roman"/>
        </w:rPr>
      </w:pPr>
      <w:r>
        <w:rPr>
          <w:rFonts w:ascii="Times New Roman" w:cs="Times New Roman"/>
        </w:rPr>
        <w:t>（1）井场及附属工程防治区</w:t>
      </w:r>
    </w:p>
    <w:p>
      <w:pPr>
        <w:pStyle w:val="6"/>
        <w:ind w:firstLine="480"/>
        <w:rPr>
          <w:rFonts w:ascii="Times New Roman" w:cs="Times New Roman"/>
        </w:rPr>
      </w:pPr>
      <w:r>
        <w:rPr>
          <w:rFonts w:ascii="Times New Roman" w:cs="Times New Roman"/>
        </w:rPr>
        <w:t>1）场地平整前先进行表土剥离，剥离后的表土集中堆放于临时堆土区；</w:t>
      </w:r>
    </w:p>
    <w:p>
      <w:pPr>
        <w:pStyle w:val="6"/>
        <w:ind w:firstLine="480"/>
        <w:rPr>
          <w:rFonts w:ascii="Times New Roman" w:cs="Times New Roman"/>
        </w:rPr>
      </w:pPr>
      <w:r>
        <w:rPr>
          <w:rFonts w:ascii="Times New Roman" w:cs="Times New Roman"/>
        </w:rPr>
        <w:t>2）建设中，主体在井场四周布设井场边沟，新建井场内设置排污沟，井场边沟出水接入周边自然水系；在井场北侧、东侧边坡坡顶设置截水沟，出口接入自然水系；在开挖裸露面设置植草绿化护坡；方案对井场裸露面进行临时彩条布苫盖。</w:t>
      </w:r>
    </w:p>
    <w:p>
      <w:pPr>
        <w:pStyle w:val="6"/>
        <w:ind w:firstLine="480"/>
        <w:rPr>
          <w:rFonts w:ascii="Times New Roman" w:cs="Times New Roman"/>
        </w:rPr>
      </w:pPr>
      <w:r>
        <w:rPr>
          <w:rFonts w:ascii="Times New Roman" w:cs="Times New Roman"/>
        </w:rPr>
        <w:t>3）完井工程拆除临时设施后，对井场进行土地整治和表土回填，恢复地表作物和植被。</w:t>
      </w:r>
    </w:p>
    <w:p>
      <w:pPr>
        <w:pStyle w:val="6"/>
        <w:ind w:firstLine="480"/>
        <w:rPr>
          <w:rFonts w:ascii="Times New Roman" w:cs="Times New Roman"/>
        </w:rPr>
      </w:pPr>
      <w:r>
        <w:rPr>
          <w:rFonts w:hint="eastAsia" w:ascii="Times New Roman" w:cs="Times New Roman"/>
        </w:rPr>
        <w:t>（2）</w:t>
      </w:r>
      <w:r>
        <w:rPr>
          <w:rFonts w:ascii="Times New Roman" w:cs="Times New Roman"/>
        </w:rPr>
        <w:t>井场进场道路防治区</w:t>
      </w:r>
    </w:p>
    <w:p>
      <w:pPr>
        <w:pStyle w:val="6"/>
        <w:ind w:firstLine="480"/>
        <w:rPr>
          <w:rFonts w:ascii="Times New Roman" w:cs="Times New Roman"/>
        </w:rPr>
      </w:pPr>
      <w:r>
        <w:rPr>
          <w:rFonts w:ascii="Times New Roman" w:cs="Times New Roman"/>
        </w:rPr>
        <w:t>1）道路路基开挖前先进行表土剥离，主体对剥离的表土集中堆放至临时堆土区；在道路东侧设置排水沟，出口接入附近东侧的水沟；方案对场地道路裸露边坡进行临时彩条布苫盖；</w:t>
      </w:r>
    </w:p>
    <w:p>
      <w:pPr>
        <w:pStyle w:val="6"/>
        <w:ind w:firstLine="480"/>
        <w:rPr>
          <w:rFonts w:ascii="Times New Roman" w:cs="Times New Roman"/>
        </w:rPr>
      </w:pPr>
      <w:r>
        <w:rPr>
          <w:rFonts w:ascii="Times New Roman" w:cs="Times New Roman"/>
        </w:rPr>
        <w:t>2）完井工程拆除临时设施后，对本区进行土地整治和表土回填，恢复地表作物和植被。</w:t>
      </w:r>
    </w:p>
    <w:p>
      <w:pPr>
        <w:pStyle w:val="6"/>
        <w:ind w:firstLine="480"/>
        <w:rPr>
          <w:rFonts w:ascii="Times New Roman" w:cs="Times New Roman"/>
        </w:rPr>
      </w:pPr>
      <w:r>
        <w:rPr>
          <w:rFonts w:hint="eastAsia" w:ascii="Times New Roman" w:cs="Times New Roman"/>
        </w:rPr>
        <w:t>（3）</w:t>
      </w:r>
      <w:r>
        <w:rPr>
          <w:rFonts w:ascii="Times New Roman" w:cs="Times New Roman"/>
        </w:rPr>
        <w:t>临时堆土防治区</w:t>
      </w:r>
    </w:p>
    <w:p>
      <w:pPr>
        <w:pStyle w:val="6"/>
        <w:ind w:firstLine="480"/>
        <w:rPr>
          <w:rFonts w:ascii="Times New Roman" w:cs="Times New Roman"/>
        </w:rPr>
      </w:pPr>
      <w:r>
        <w:rPr>
          <w:rFonts w:ascii="Times New Roman" w:cs="Times New Roman"/>
        </w:rPr>
        <w:t>1）表土堆放中，方案在临时堆土区外边缘设置临时土袋挡墙，在临时堆土区外边设置临时排水沟；</w:t>
      </w:r>
      <w:r>
        <w:rPr>
          <w:rFonts w:ascii="Times New Roman" w:cs="Times New Roman"/>
          <w:bCs/>
        </w:rPr>
        <w:t>对</w:t>
      </w:r>
      <w:r>
        <w:rPr>
          <w:rFonts w:ascii="Times New Roman" w:cs="Times New Roman"/>
        </w:rPr>
        <w:t>堆土区域撒播草籽进行临时植被恢复；对堆土裸露面进行临时彩条布苫盖；</w:t>
      </w:r>
    </w:p>
    <w:p>
      <w:pPr>
        <w:pStyle w:val="6"/>
        <w:ind w:firstLine="480"/>
        <w:rPr>
          <w:rFonts w:ascii="Times New Roman" w:cs="Times New Roman"/>
        </w:rPr>
      </w:pPr>
      <w:r>
        <w:rPr>
          <w:rFonts w:ascii="Times New Roman" w:cs="Times New Roman"/>
        </w:rPr>
        <w:t>2）表土全部用于各区回填后，进行土地整治并恢复地表作物。</w:t>
      </w:r>
    </w:p>
    <w:p>
      <w:pPr>
        <w:topLinePunct w:val="0"/>
        <w:adjustRightInd/>
        <w:spacing w:line="240" w:lineRule="auto"/>
        <w:ind w:firstLine="0" w:firstLineChars="0"/>
        <w:jc w:val="center"/>
        <w:rPr>
          <w:rFonts w:hAnsi="宋体" w:cs="Times New Roman"/>
          <w:b/>
          <w:kern w:val="2"/>
          <w:sz w:val="21"/>
          <w:szCs w:val="22"/>
        </w:rPr>
      </w:pPr>
      <w:r>
        <w:rPr>
          <w:rFonts w:ascii="Times New Roman" w:hAnsi="宋体" w:cs="Times New Roman"/>
          <w:b/>
          <w:kern w:val="2"/>
          <w:sz w:val="21"/>
          <w:szCs w:val="22"/>
        </w:rPr>
        <w:t>表</w:t>
      </w:r>
      <w:r>
        <w:rPr>
          <w:rFonts w:ascii="Times New Roman" w:cs="Times New Roman" w:eastAsiaTheme="minorEastAsia"/>
          <w:b/>
          <w:kern w:val="2"/>
          <w:sz w:val="21"/>
          <w:szCs w:val="22"/>
        </w:rPr>
        <w:t>8.1</w:t>
      </w:r>
      <w:r>
        <w:rPr>
          <w:rFonts w:ascii="Times New Roman" w:cs="Times New Roman"/>
          <w:b/>
          <w:kern w:val="2"/>
          <w:sz w:val="21"/>
          <w:szCs w:val="22"/>
        </w:rPr>
        <w:t>-</w:t>
      </w:r>
      <w:r>
        <w:rPr>
          <w:rFonts w:ascii="Times New Roman" w:cs="Times New Roman" w:eastAsiaTheme="minorEastAsia"/>
          <w:b/>
          <w:kern w:val="2"/>
          <w:sz w:val="21"/>
          <w:szCs w:val="22"/>
        </w:rPr>
        <w:t>1</w:t>
      </w:r>
      <w:r>
        <w:rPr>
          <w:rFonts w:hAnsi="宋体" w:cs="Times New Roman"/>
          <w:b/>
          <w:kern w:val="2"/>
          <w:sz w:val="21"/>
          <w:szCs w:val="22"/>
        </w:rPr>
        <w:t xml:space="preserve">  水土流失防治措施总体布局</w:t>
      </w:r>
    </w:p>
    <w:tbl>
      <w:tblPr>
        <w:tblStyle w:val="57"/>
        <w:tblW w:w="82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6"/>
        <w:gridCol w:w="1134"/>
        <w:gridCol w:w="55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26" w:type="dxa"/>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hAnsi="宋体" w:cs="Times New Roman"/>
                <w:sz w:val="21"/>
                <w:szCs w:val="21"/>
              </w:rPr>
            </w:pPr>
            <w:r>
              <w:rPr>
                <w:rFonts w:hAnsi="宋体" w:cs="Times New Roman"/>
                <w:sz w:val="21"/>
                <w:szCs w:val="21"/>
              </w:rPr>
              <w:t>分区</w:t>
            </w:r>
          </w:p>
        </w:tc>
        <w:tc>
          <w:tcPr>
            <w:tcW w:w="1134" w:type="dxa"/>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hAnsi="宋体" w:cs="Times New Roman"/>
                <w:sz w:val="21"/>
                <w:szCs w:val="21"/>
              </w:rPr>
            </w:pPr>
            <w:r>
              <w:rPr>
                <w:rFonts w:hAnsi="宋体" w:cs="Times New Roman"/>
                <w:sz w:val="21"/>
                <w:szCs w:val="21"/>
              </w:rPr>
              <w:t>措施类型</w:t>
            </w:r>
          </w:p>
        </w:tc>
        <w:tc>
          <w:tcPr>
            <w:tcW w:w="5562" w:type="dxa"/>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hAnsi="宋体" w:cs="Times New Roman"/>
                <w:sz w:val="21"/>
                <w:szCs w:val="18"/>
              </w:rPr>
            </w:pPr>
            <w:r>
              <w:rPr>
                <w:rFonts w:hAnsi="宋体" w:cs="Times New Roman"/>
                <w:sz w:val="21"/>
                <w:szCs w:val="21"/>
              </w:rPr>
              <w:t>实施措施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26" w:type="dxa"/>
            <w:vMerge w:val="restart"/>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hAnsi="宋体" w:cs="Times New Roman"/>
                <w:sz w:val="21"/>
                <w:szCs w:val="21"/>
              </w:rPr>
            </w:pPr>
            <w:r>
              <w:rPr>
                <w:rFonts w:hAnsi="宋体" w:cs="Times New Roman"/>
                <w:sz w:val="21"/>
                <w:szCs w:val="21"/>
              </w:rPr>
              <w:t>井场及附属工程</w:t>
            </w:r>
          </w:p>
        </w:tc>
        <w:tc>
          <w:tcPr>
            <w:tcW w:w="1134" w:type="dxa"/>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hAnsi="宋体" w:cs="Times New Roman"/>
                <w:sz w:val="21"/>
                <w:szCs w:val="21"/>
              </w:rPr>
            </w:pPr>
            <w:r>
              <w:rPr>
                <w:rFonts w:hAnsi="宋体" w:cs="Times New Roman"/>
                <w:sz w:val="21"/>
                <w:szCs w:val="21"/>
              </w:rPr>
              <w:t>工程措施</w:t>
            </w:r>
          </w:p>
        </w:tc>
        <w:tc>
          <w:tcPr>
            <w:tcW w:w="5562" w:type="dxa"/>
            <w:vAlign w:val="center"/>
          </w:tcPr>
          <w:p>
            <w:pPr>
              <w:widowControl/>
              <w:tabs>
                <w:tab w:val="left" w:pos="3720"/>
              </w:tabs>
              <w:topLinePunct w:val="0"/>
              <w:autoSpaceDE w:val="0"/>
              <w:autoSpaceDN w:val="0"/>
              <w:snapToGrid w:val="0"/>
              <w:spacing w:before="40" w:line="240" w:lineRule="auto"/>
              <w:ind w:firstLine="0" w:firstLineChars="0"/>
              <w:jc w:val="left"/>
              <w:textAlignment w:val="bottom"/>
              <w:rPr>
                <w:rFonts w:hAnsi="宋体" w:cs="Times New Roman"/>
                <w:sz w:val="21"/>
                <w:szCs w:val="21"/>
              </w:rPr>
            </w:pPr>
            <w:r>
              <w:rPr>
                <w:rFonts w:hAnsi="宋体" w:cs="Times New Roman"/>
                <w:sz w:val="21"/>
                <w:szCs w:val="21"/>
              </w:rPr>
              <w:t>排污沟</w:t>
            </w:r>
            <w:r>
              <w:rPr>
                <w:rFonts w:hAnsi="宋体" w:cs="Times New Roman"/>
                <w:sz w:val="21"/>
                <w:szCs w:val="21"/>
                <w:vertAlign w:val="superscript"/>
              </w:rPr>
              <w:t>*</w:t>
            </w:r>
            <w:r>
              <w:rPr>
                <w:rFonts w:hAnsi="宋体" w:cs="Times New Roman"/>
                <w:sz w:val="21"/>
                <w:szCs w:val="21"/>
              </w:rPr>
              <w:t>、井场边沟</w:t>
            </w:r>
            <w:r>
              <w:rPr>
                <w:rFonts w:hAnsi="宋体" w:cs="Times New Roman"/>
                <w:sz w:val="21"/>
                <w:szCs w:val="21"/>
                <w:vertAlign w:val="superscript"/>
              </w:rPr>
              <w:t>*</w:t>
            </w:r>
            <w:r>
              <w:rPr>
                <w:rFonts w:hAnsi="宋体" w:cs="Times New Roman"/>
                <w:sz w:val="21"/>
                <w:szCs w:val="21"/>
              </w:rPr>
              <w:t>、土地整治、覆土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26" w:type="dxa"/>
            <w:vMerge w:val="continue"/>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hAnsi="宋体" w:cs="Times New Roman"/>
                <w:sz w:val="21"/>
                <w:szCs w:val="21"/>
              </w:rPr>
            </w:pPr>
          </w:p>
        </w:tc>
        <w:tc>
          <w:tcPr>
            <w:tcW w:w="1134" w:type="dxa"/>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hAnsi="宋体" w:cs="Times New Roman"/>
                <w:sz w:val="21"/>
                <w:szCs w:val="21"/>
              </w:rPr>
            </w:pPr>
            <w:r>
              <w:rPr>
                <w:rFonts w:hAnsi="宋体" w:cs="Times New Roman"/>
                <w:sz w:val="21"/>
                <w:szCs w:val="21"/>
              </w:rPr>
              <w:t>植物措施</w:t>
            </w:r>
          </w:p>
        </w:tc>
        <w:tc>
          <w:tcPr>
            <w:tcW w:w="5562" w:type="dxa"/>
            <w:vAlign w:val="center"/>
          </w:tcPr>
          <w:p>
            <w:pPr>
              <w:widowControl/>
              <w:tabs>
                <w:tab w:val="left" w:pos="3720"/>
              </w:tabs>
              <w:topLinePunct w:val="0"/>
              <w:autoSpaceDE w:val="0"/>
              <w:autoSpaceDN w:val="0"/>
              <w:snapToGrid w:val="0"/>
              <w:spacing w:before="40" w:line="240" w:lineRule="auto"/>
              <w:ind w:firstLine="0" w:firstLineChars="0"/>
              <w:jc w:val="left"/>
              <w:textAlignment w:val="bottom"/>
              <w:rPr>
                <w:rFonts w:hAnsi="宋体" w:cs="Times New Roman"/>
                <w:sz w:val="21"/>
                <w:szCs w:val="21"/>
              </w:rPr>
            </w:pPr>
            <w:r>
              <w:rPr>
                <w:rFonts w:hAnsi="宋体" w:cs="Times New Roman"/>
                <w:sz w:val="21"/>
                <w:szCs w:val="21"/>
              </w:rPr>
              <w:t>植草</w:t>
            </w:r>
            <w:r>
              <w:rPr>
                <w:rFonts w:hAnsi="宋体" w:cs="Times New Roman"/>
                <w:sz w:val="21"/>
                <w:szCs w:val="21"/>
                <w:vertAlign w:val="superscript"/>
              </w:rPr>
              <w:t>*</w:t>
            </w:r>
            <w:r>
              <w:rPr>
                <w:rFonts w:hAnsi="宋体" w:cs="Times New Roman"/>
                <w:sz w:val="21"/>
                <w:szCs w:val="21"/>
              </w:rPr>
              <w:t>、撒播种草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26" w:type="dxa"/>
            <w:vMerge w:val="continue"/>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hAnsi="宋体" w:cs="Times New Roman"/>
                <w:sz w:val="21"/>
                <w:szCs w:val="21"/>
              </w:rPr>
            </w:pPr>
          </w:p>
        </w:tc>
        <w:tc>
          <w:tcPr>
            <w:tcW w:w="1134" w:type="dxa"/>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hAnsi="宋体" w:cs="Times New Roman"/>
                <w:sz w:val="21"/>
                <w:szCs w:val="21"/>
              </w:rPr>
            </w:pPr>
            <w:r>
              <w:rPr>
                <w:rFonts w:hAnsi="宋体" w:cs="Times New Roman"/>
                <w:sz w:val="21"/>
                <w:szCs w:val="21"/>
              </w:rPr>
              <w:t>临时措施</w:t>
            </w:r>
          </w:p>
        </w:tc>
        <w:tc>
          <w:tcPr>
            <w:tcW w:w="5562" w:type="dxa"/>
            <w:vAlign w:val="center"/>
          </w:tcPr>
          <w:p>
            <w:pPr>
              <w:widowControl/>
              <w:tabs>
                <w:tab w:val="left" w:pos="3720"/>
              </w:tabs>
              <w:topLinePunct w:val="0"/>
              <w:autoSpaceDE w:val="0"/>
              <w:autoSpaceDN w:val="0"/>
              <w:snapToGrid w:val="0"/>
              <w:spacing w:before="40" w:line="240" w:lineRule="auto"/>
              <w:ind w:firstLine="0" w:firstLineChars="0"/>
              <w:jc w:val="left"/>
              <w:textAlignment w:val="bottom"/>
              <w:rPr>
                <w:rFonts w:hAnsi="宋体" w:cs="Times New Roman"/>
                <w:sz w:val="21"/>
                <w:szCs w:val="21"/>
              </w:rPr>
            </w:pPr>
            <w:r>
              <w:rPr>
                <w:rFonts w:hAnsi="宋体" w:cs="Times New Roman"/>
                <w:sz w:val="21"/>
                <w:szCs w:val="21"/>
              </w:rPr>
              <w:t>彩条布苫盖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26" w:type="dxa"/>
            <w:vMerge w:val="restart"/>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hAnsi="宋体" w:cs="Times New Roman"/>
                <w:sz w:val="21"/>
                <w:szCs w:val="21"/>
              </w:rPr>
            </w:pPr>
            <w:r>
              <w:rPr>
                <w:rFonts w:hAnsi="宋体" w:cs="Times New Roman"/>
                <w:snapToGrid w:val="0"/>
                <w:sz w:val="21"/>
              </w:rPr>
              <w:t>井场进场道路</w:t>
            </w:r>
          </w:p>
        </w:tc>
        <w:tc>
          <w:tcPr>
            <w:tcW w:w="1134" w:type="dxa"/>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hAnsi="宋体" w:cs="Times New Roman"/>
                <w:sz w:val="21"/>
                <w:szCs w:val="21"/>
              </w:rPr>
            </w:pPr>
            <w:r>
              <w:rPr>
                <w:rFonts w:hAnsi="宋体" w:cs="Times New Roman"/>
                <w:sz w:val="21"/>
                <w:szCs w:val="21"/>
              </w:rPr>
              <w:t>工程措施</w:t>
            </w:r>
          </w:p>
        </w:tc>
        <w:tc>
          <w:tcPr>
            <w:tcW w:w="5562" w:type="dxa"/>
            <w:vAlign w:val="center"/>
          </w:tcPr>
          <w:p>
            <w:pPr>
              <w:widowControl/>
              <w:tabs>
                <w:tab w:val="left" w:pos="3720"/>
              </w:tabs>
              <w:topLinePunct w:val="0"/>
              <w:autoSpaceDE w:val="0"/>
              <w:autoSpaceDN w:val="0"/>
              <w:snapToGrid w:val="0"/>
              <w:spacing w:before="40" w:line="240" w:lineRule="auto"/>
              <w:ind w:firstLine="0" w:firstLineChars="0"/>
              <w:jc w:val="left"/>
              <w:textAlignment w:val="bottom"/>
              <w:rPr>
                <w:rFonts w:hAnsi="宋体" w:cs="Times New Roman"/>
                <w:sz w:val="21"/>
                <w:szCs w:val="21"/>
              </w:rPr>
            </w:pPr>
            <w:r>
              <w:rPr>
                <w:rFonts w:hAnsi="宋体" w:cs="Times New Roman"/>
                <w:sz w:val="21"/>
                <w:szCs w:val="21"/>
              </w:rPr>
              <w:t>表土剥离</w:t>
            </w:r>
            <w:r>
              <w:rPr>
                <w:rFonts w:hAnsi="宋体" w:cs="Times New Roman"/>
                <w:sz w:val="21"/>
                <w:szCs w:val="21"/>
                <w:vertAlign w:val="superscript"/>
              </w:rPr>
              <w:t>*</w:t>
            </w:r>
            <w:r>
              <w:rPr>
                <w:rFonts w:hAnsi="宋体" w:cs="Times New Roman"/>
                <w:sz w:val="21"/>
                <w:szCs w:val="21"/>
              </w:rPr>
              <w:t>、排水沟</w:t>
            </w:r>
            <w:r>
              <w:rPr>
                <w:rFonts w:hAnsi="宋体" w:cs="Times New Roman"/>
                <w:sz w:val="21"/>
                <w:szCs w:val="21"/>
                <w:vertAlign w:val="superscript"/>
              </w:rPr>
              <w:t>*</w:t>
            </w:r>
            <w:r>
              <w:rPr>
                <w:rFonts w:hAnsi="宋体" w:cs="Times New Roman"/>
                <w:sz w:val="21"/>
                <w:szCs w:val="21"/>
              </w:rPr>
              <w:t>、土地整治、覆土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26" w:type="dxa"/>
            <w:vMerge w:val="continue"/>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hAnsi="宋体" w:cs="Times New Roman"/>
                <w:sz w:val="21"/>
                <w:szCs w:val="21"/>
              </w:rPr>
            </w:pPr>
          </w:p>
        </w:tc>
        <w:tc>
          <w:tcPr>
            <w:tcW w:w="1134" w:type="dxa"/>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hAnsi="宋体" w:cs="Times New Roman"/>
                <w:sz w:val="21"/>
                <w:szCs w:val="21"/>
              </w:rPr>
            </w:pPr>
            <w:r>
              <w:rPr>
                <w:rFonts w:hAnsi="宋体" w:cs="Times New Roman"/>
                <w:sz w:val="21"/>
                <w:szCs w:val="21"/>
              </w:rPr>
              <w:t>植物措施</w:t>
            </w:r>
          </w:p>
        </w:tc>
        <w:tc>
          <w:tcPr>
            <w:tcW w:w="5562" w:type="dxa"/>
            <w:vAlign w:val="center"/>
          </w:tcPr>
          <w:p>
            <w:pPr>
              <w:widowControl/>
              <w:tabs>
                <w:tab w:val="left" w:pos="3720"/>
              </w:tabs>
              <w:topLinePunct w:val="0"/>
              <w:autoSpaceDE w:val="0"/>
              <w:autoSpaceDN w:val="0"/>
              <w:snapToGrid w:val="0"/>
              <w:spacing w:before="40" w:line="240" w:lineRule="auto"/>
              <w:ind w:firstLine="0" w:firstLineChars="0"/>
              <w:jc w:val="left"/>
              <w:textAlignment w:val="bottom"/>
              <w:rPr>
                <w:rFonts w:hAnsi="宋体" w:cs="Times New Roman"/>
                <w:sz w:val="21"/>
                <w:szCs w:val="21"/>
              </w:rPr>
            </w:pPr>
            <w:r>
              <w:rPr>
                <w:rFonts w:hAnsi="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26" w:type="dxa"/>
            <w:vMerge w:val="continue"/>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hAnsi="宋体" w:cs="Times New Roman"/>
                <w:sz w:val="21"/>
                <w:szCs w:val="21"/>
              </w:rPr>
            </w:pPr>
          </w:p>
        </w:tc>
        <w:tc>
          <w:tcPr>
            <w:tcW w:w="1134" w:type="dxa"/>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hAnsi="宋体" w:cs="Times New Roman"/>
                <w:sz w:val="21"/>
                <w:szCs w:val="21"/>
              </w:rPr>
            </w:pPr>
            <w:r>
              <w:rPr>
                <w:rFonts w:hAnsi="宋体" w:cs="Times New Roman"/>
                <w:sz w:val="21"/>
                <w:szCs w:val="21"/>
              </w:rPr>
              <w:t>临时措施</w:t>
            </w:r>
          </w:p>
        </w:tc>
        <w:tc>
          <w:tcPr>
            <w:tcW w:w="5562" w:type="dxa"/>
            <w:vAlign w:val="center"/>
          </w:tcPr>
          <w:p>
            <w:pPr>
              <w:widowControl/>
              <w:tabs>
                <w:tab w:val="left" w:pos="3720"/>
              </w:tabs>
              <w:topLinePunct w:val="0"/>
              <w:autoSpaceDE w:val="0"/>
              <w:autoSpaceDN w:val="0"/>
              <w:snapToGrid w:val="0"/>
              <w:spacing w:before="40" w:line="240" w:lineRule="auto"/>
              <w:ind w:firstLine="0" w:firstLineChars="0"/>
              <w:jc w:val="left"/>
              <w:textAlignment w:val="bottom"/>
              <w:rPr>
                <w:rFonts w:hAnsi="宋体" w:cs="Times New Roman"/>
                <w:sz w:val="21"/>
                <w:szCs w:val="21"/>
              </w:rPr>
            </w:pPr>
            <w:r>
              <w:rPr>
                <w:rFonts w:hAnsi="宋体" w:cs="Times New Roman"/>
                <w:sz w:val="21"/>
                <w:szCs w:val="21"/>
              </w:rPr>
              <w:t>彩条布苫盖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26" w:type="dxa"/>
            <w:vMerge w:val="restart"/>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hAnsi="宋体" w:cs="Times New Roman"/>
                <w:sz w:val="21"/>
                <w:szCs w:val="21"/>
              </w:rPr>
            </w:pPr>
            <w:r>
              <w:rPr>
                <w:rFonts w:hAnsi="宋体" w:cs="Times New Roman"/>
                <w:snapToGrid w:val="0"/>
                <w:sz w:val="21"/>
              </w:rPr>
              <w:t>临时堆土区</w:t>
            </w:r>
          </w:p>
        </w:tc>
        <w:tc>
          <w:tcPr>
            <w:tcW w:w="1134" w:type="dxa"/>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hAnsi="宋体" w:cs="Times New Roman"/>
                <w:sz w:val="21"/>
                <w:szCs w:val="21"/>
              </w:rPr>
            </w:pPr>
            <w:r>
              <w:rPr>
                <w:rFonts w:hAnsi="宋体" w:cs="Times New Roman"/>
                <w:sz w:val="21"/>
                <w:szCs w:val="21"/>
              </w:rPr>
              <w:t>工程措施</w:t>
            </w:r>
          </w:p>
        </w:tc>
        <w:tc>
          <w:tcPr>
            <w:tcW w:w="5562" w:type="dxa"/>
            <w:vAlign w:val="center"/>
          </w:tcPr>
          <w:p>
            <w:pPr>
              <w:widowControl/>
              <w:tabs>
                <w:tab w:val="left" w:pos="3720"/>
              </w:tabs>
              <w:topLinePunct w:val="0"/>
              <w:autoSpaceDE w:val="0"/>
              <w:autoSpaceDN w:val="0"/>
              <w:snapToGrid w:val="0"/>
              <w:spacing w:before="40" w:line="240" w:lineRule="auto"/>
              <w:ind w:firstLine="0" w:firstLineChars="0"/>
              <w:jc w:val="left"/>
              <w:textAlignment w:val="bottom"/>
              <w:rPr>
                <w:rFonts w:hAnsi="宋体" w:cs="Times New Roman"/>
                <w:sz w:val="21"/>
                <w:szCs w:val="21"/>
              </w:rPr>
            </w:pPr>
            <w:r>
              <w:rPr>
                <w:rFonts w:hAnsi="宋体" w:cs="Times New Roman"/>
                <w:sz w:val="21"/>
                <w:szCs w:val="21"/>
              </w:rPr>
              <w:t>土地整治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26" w:type="dxa"/>
            <w:vMerge w:val="continue"/>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hAnsi="宋体" w:cs="Times New Roman"/>
                <w:snapToGrid w:val="0"/>
                <w:sz w:val="21"/>
              </w:rPr>
            </w:pPr>
          </w:p>
        </w:tc>
        <w:tc>
          <w:tcPr>
            <w:tcW w:w="1134" w:type="dxa"/>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hAnsi="宋体" w:cs="Times New Roman"/>
                <w:sz w:val="21"/>
                <w:szCs w:val="21"/>
              </w:rPr>
            </w:pPr>
            <w:r>
              <w:rPr>
                <w:rFonts w:hAnsi="宋体" w:cs="Times New Roman"/>
                <w:sz w:val="21"/>
                <w:szCs w:val="21"/>
              </w:rPr>
              <w:t>植物措施</w:t>
            </w:r>
          </w:p>
        </w:tc>
        <w:tc>
          <w:tcPr>
            <w:tcW w:w="5562" w:type="dxa"/>
            <w:vAlign w:val="center"/>
          </w:tcPr>
          <w:p>
            <w:pPr>
              <w:widowControl/>
              <w:tabs>
                <w:tab w:val="left" w:pos="3720"/>
              </w:tabs>
              <w:topLinePunct w:val="0"/>
              <w:autoSpaceDE w:val="0"/>
              <w:autoSpaceDN w:val="0"/>
              <w:snapToGrid w:val="0"/>
              <w:spacing w:before="40" w:line="240" w:lineRule="auto"/>
              <w:ind w:firstLine="0" w:firstLineChars="0"/>
              <w:jc w:val="left"/>
              <w:textAlignment w:val="bottom"/>
              <w:rPr>
                <w:rFonts w:hAnsi="宋体" w:cs="Times New Roman"/>
                <w:sz w:val="21"/>
                <w:szCs w:val="21"/>
              </w:rPr>
            </w:pPr>
            <w:r>
              <w:rPr>
                <w:rFonts w:hAnsi="宋体" w:cs="Times New Roman"/>
                <w:sz w:val="21"/>
                <w:szCs w:val="21"/>
              </w:rPr>
              <w:t>撒播种草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526" w:type="dxa"/>
            <w:vMerge w:val="continue"/>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hAnsi="宋体" w:cs="Times New Roman"/>
                <w:snapToGrid w:val="0"/>
                <w:sz w:val="21"/>
              </w:rPr>
            </w:pPr>
          </w:p>
        </w:tc>
        <w:tc>
          <w:tcPr>
            <w:tcW w:w="1134" w:type="dxa"/>
            <w:vAlign w:val="center"/>
          </w:tcPr>
          <w:p>
            <w:pPr>
              <w:widowControl/>
              <w:tabs>
                <w:tab w:val="left" w:pos="3720"/>
              </w:tabs>
              <w:topLinePunct w:val="0"/>
              <w:autoSpaceDE w:val="0"/>
              <w:autoSpaceDN w:val="0"/>
              <w:snapToGrid w:val="0"/>
              <w:spacing w:before="40" w:line="240" w:lineRule="auto"/>
              <w:ind w:firstLine="0" w:firstLineChars="0"/>
              <w:jc w:val="center"/>
              <w:textAlignment w:val="bottom"/>
              <w:rPr>
                <w:rFonts w:hAnsi="宋体" w:cs="Times New Roman"/>
                <w:sz w:val="21"/>
                <w:szCs w:val="21"/>
              </w:rPr>
            </w:pPr>
            <w:r>
              <w:rPr>
                <w:rFonts w:hAnsi="宋体" w:cs="Times New Roman"/>
                <w:sz w:val="21"/>
                <w:szCs w:val="21"/>
              </w:rPr>
              <w:t>临时措施</w:t>
            </w:r>
          </w:p>
        </w:tc>
        <w:tc>
          <w:tcPr>
            <w:tcW w:w="5562" w:type="dxa"/>
            <w:vAlign w:val="center"/>
          </w:tcPr>
          <w:p>
            <w:pPr>
              <w:widowControl/>
              <w:tabs>
                <w:tab w:val="left" w:pos="3720"/>
              </w:tabs>
              <w:topLinePunct w:val="0"/>
              <w:autoSpaceDE w:val="0"/>
              <w:autoSpaceDN w:val="0"/>
              <w:snapToGrid w:val="0"/>
              <w:spacing w:before="40" w:line="240" w:lineRule="auto"/>
              <w:ind w:firstLine="0" w:firstLineChars="0"/>
              <w:jc w:val="left"/>
              <w:textAlignment w:val="bottom"/>
              <w:rPr>
                <w:rFonts w:hAnsi="宋体" w:cs="Times New Roman"/>
                <w:sz w:val="21"/>
                <w:szCs w:val="21"/>
              </w:rPr>
            </w:pPr>
            <w:r>
              <w:rPr>
                <w:rFonts w:hAnsi="宋体" w:cs="Times New Roman"/>
                <w:sz w:val="21"/>
                <w:szCs w:val="21"/>
              </w:rPr>
              <w:t>临时排水沟、临时土袋挡墙、彩条布苫盖</w:t>
            </w:r>
          </w:p>
        </w:tc>
      </w:tr>
    </w:tbl>
    <w:p>
      <w:pPr>
        <w:pStyle w:val="6"/>
        <w:ind w:firstLine="482"/>
        <w:rPr>
          <w:rFonts w:ascii="Times New Roman" w:cs="Times New Roman"/>
          <w:b/>
        </w:rPr>
      </w:pPr>
      <w:r>
        <w:rPr>
          <w:rFonts w:hint="eastAsia" w:ascii="Times New Roman" w:cs="Times New Roman"/>
          <w:b/>
        </w:rPr>
        <w:t>7.3</w:t>
      </w:r>
      <w:r>
        <w:rPr>
          <w:rFonts w:ascii="Times New Roman" w:cs="Times New Roman"/>
          <w:b/>
        </w:rPr>
        <w:t>水土流失防治措施</w:t>
      </w:r>
      <w:r>
        <w:rPr>
          <w:rFonts w:hint="eastAsia" w:ascii="Times New Roman" w:cs="Times New Roman"/>
          <w:b/>
        </w:rPr>
        <w:t>分区布设</w:t>
      </w:r>
    </w:p>
    <w:p>
      <w:pPr>
        <w:pStyle w:val="6"/>
        <w:ind w:firstLine="482"/>
        <w:rPr>
          <w:rFonts w:ascii="Times New Roman" w:cs="Times New Roman"/>
          <w:b/>
        </w:rPr>
      </w:pPr>
      <w:r>
        <w:rPr>
          <w:rFonts w:hint="eastAsia" w:ascii="Times New Roman" w:cs="Times New Roman"/>
          <w:b/>
        </w:rPr>
        <w:t>3.1井场</w:t>
      </w:r>
    </w:p>
    <w:p>
      <w:pPr>
        <w:pStyle w:val="6"/>
        <w:ind w:firstLine="480"/>
        <w:rPr>
          <w:rFonts w:ascii="Times New Roman" w:cs="Times New Roman"/>
        </w:rPr>
      </w:pPr>
      <w:r>
        <w:rPr>
          <w:rFonts w:ascii="Times New Roman" w:cs="Times New Roman"/>
        </w:rPr>
        <w:t>本</w:t>
      </w:r>
      <w:r>
        <w:rPr>
          <w:rFonts w:hint="eastAsia" w:ascii="Times New Roman" w:cs="Times New Roman"/>
        </w:rPr>
        <w:t>项目井场水土流水防治措施主要为</w:t>
      </w:r>
      <w:r>
        <w:rPr>
          <w:rFonts w:ascii="Times New Roman" w:cs="Times New Roman"/>
        </w:rPr>
        <w:t>表土剥离、截排水沟、排污沟、井场边沟、植草等措施，覆土、土地整治及临时措施。</w:t>
      </w:r>
    </w:p>
    <w:p>
      <w:pPr>
        <w:pStyle w:val="6"/>
        <w:ind w:firstLine="482"/>
        <w:rPr>
          <w:rFonts w:ascii="Times New Roman" w:cs="Times New Roman"/>
          <w:b/>
        </w:rPr>
      </w:pPr>
      <w:r>
        <w:rPr>
          <w:rFonts w:ascii="Times New Roman" w:cs="Times New Roman"/>
          <w:b/>
        </w:rPr>
        <w:t>1、工程措施</w:t>
      </w:r>
    </w:p>
    <w:p>
      <w:pPr>
        <w:pStyle w:val="6"/>
        <w:ind w:firstLine="480"/>
        <w:rPr>
          <w:rFonts w:ascii="Times New Roman" w:cs="Times New Roman"/>
        </w:rPr>
      </w:pPr>
      <w:r>
        <w:rPr>
          <w:rFonts w:ascii="Times New Roman" w:cs="Times New Roman"/>
        </w:rPr>
        <w:t>（1）表土剥离</w:t>
      </w:r>
    </w:p>
    <w:p>
      <w:pPr>
        <w:pStyle w:val="6"/>
        <w:ind w:firstLine="480"/>
        <w:rPr>
          <w:rFonts w:ascii="Times New Roman" w:cs="Times New Roman"/>
        </w:rPr>
      </w:pPr>
      <w:r>
        <w:rPr>
          <w:rFonts w:ascii="Times New Roman" w:cs="Times New Roman"/>
        </w:rPr>
        <w:t>施工期对井场区</w:t>
      </w:r>
      <w:r>
        <w:rPr>
          <w:rFonts w:hint="eastAsia" w:ascii="Times New Roman" w:cs="Times New Roman"/>
        </w:rPr>
        <w:t>不涉及</w:t>
      </w:r>
      <w:r>
        <w:rPr>
          <w:rFonts w:ascii="Times New Roman" w:cs="Times New Roman"/>
        </w:rPr>
        <w:t>表土剥离。</w:t>
      </w:r>
    </w:p>
    <w:p>
      <w:pPr>
        <w:pStyle w:val="6"/>
        <w:ind w:firstLine="480"/>
        <w:rPr>
          <w:rFonts w:ascii="Times New Roman" w:cs="Times New Roman"/>
        </w:rPr>
      </w:pPr>
      <w:r>
        <w:rPr>
          <w:rFonts w:ascii="Times New Roman" w:cs="Times New Roman"/>
        </w:rPr>
        <w:t>（2）井场内排污沟及井场边沟</w:t>
      </w:r>
    </w:p>
    <w:p>
      <w:pPr>
        <w:pStyle w:val="6"/>
        <w:ind w:firstLine="480"/>
        <w:rPr>
          <w:rFonts w:ascii="Times New Roman" w:cs="Times New Roman"/>
        </w:rPr>
      </w:pPr>
      <w:r>
        <w:rPr>
          <w:rFonts w:ascii="Times New Roman" w:cs="Times New Roman"/>
        </w:rPr>
        <w:t>为了防止坡面和场内的地表水对钻井生产造成影响，在场内四周设排水边沟，站内雨水排向井场周围排水沟，再沿排水沟排向低洼处或新建截水沟。新建井场边沟</w:t>
      </w:r>
      <w:r>
        <w:rPr>
          <w:rFonts w:hint="eastAsia" w:ascii="Times New Roman" w:cs="Times New Roman"/>
        </w:rPr>
        <w:t>150</w:t>
      </w:r>
      <w:r>
        <w:rPr>
          <w:rFonts w:ascii="Times New Roman" w:cs="Times New Roman"/>
        </w:rPr>
        <w:t>m，底宽0.5m，深0.5m，沟壁坡度1：0.2，纵坡i=0.2%；新建井场内排污沟</w:t>
      </w:r>
      <w:r>
        <w:rPr>
          <w:rFonts w:hint="eastAsia" w:ascii="Times New Roman" w:cs="Times New Roman"/>
        </w:rPr>
        <w:t>355</w:t>
      </w:r>
      <w:r>
        <w:rPr>
          <w:rFonts w:ascii="Times New Roman" w:cs="Times New Roman"/>
        </w:rPr>
        <w:t>m，底宽0.2m，深0.</w:t>
      </w:r>
      <w:r>
        <w:rPr>
          <w:rFonts w:hint="eastAsia" w:ascii="Times New Roman" w:cs="Times New Roman"/>
        </w:rPr>
        <w:t>2</w:t>
      </w:r>
      <w:r>
        <w:rPr>
          <w:rFonts w:ascii="Times New Roman" w:cs="Times New Roman"/>
        </w:rPr>
        <w:t>m，纵坡i=0.2%；排污沟放坡坡率可根据现场做适当调整，但必须满足正常放坡和无倒流。</w:t>
      </w:r>
    </w:p>
    <w:p>
      <w:pPr>
        <w:pStyle w:val="6"/>
        <w:ind w:firstLine="480"/>
        <w:rPr>
          <w:rFonts w:ascii="Times New Roman" w:cs="Times New Roman"/>
        </w:rPr>
      </w:pPr>
      <w:r>
        <w:rPr>
          <w:rFonts w:ascii="Times New Roman" w:cs="Times New Roman"/>
        </w:rPr>
        <w:t>场地清理：清理并收集该区域的垃圾，集中堆放，对开挖动土区域进行坑凹回填，场地平整改造，恢复利用。</w:t>
      </w:r>
    </w:p>
    <w:p>
      <w:pPr>
        <w:pStyle w:val="6"/>
        <w:ind w:firstLine="480"/>
        <w:rPr>
          <w:rFonts w:ascii="Times New Roman" w:cs="Times New Roman"/>
        </w:rPr>
      </w:pPr>
      <w:r>
        <w:rPr>
          <w:rFonts w:ascii="Times New Roman" w:cs="Times New Roman"/>
        </w:rPr>
        <w:t>整地：包括平整土地、翻地改善土壤理化性状，给植物及农作物生长尤其是根的发育创造了适宜的土壤条件。其方法和要求：先将表土翻松，再进行细平工作，局部高差较大处，进行回填，做到挖填同时进行。平整时应采取就近原则，开挖及回填时应保证表土回填前土块有足够的保水层，防止表土层底部漏水，并配合平整进行表土覆土。</w:t>
      </w:r>
    </w:p>
    <w:p>
      <w:pPr>
        <w:pStyle w:val="6"/>
        <w:ind w:firstLine="482"/>
        <w:rPr>
          <w:rFonts w:ascii="Times New Roman" w:cs="Times New Roman"/>
          <w:b/>
        </w:rPr>
      </w:pPr>
      <w:r>
        <w:rPr>
          <w:rFonts w:ascii="Times New Roman" w:cs="Times New Roman"/>
          <w:b/>
        </w:rPr>
        <w:t>2、植物措施</w:t>
      </w:r>
    </w:p>
    <w:p>
      <w:pPr>
        <w:pStyle w:val="6"/>
        <w:ind w:firstLine="480"/>
        <w:rPr>
          <w:rFonts w:ascii="Times New Roman" w:cs="Times New Roman"/>
        </w:rPr>
      </w:pPr>
      <w:r>
        <w:rPr>
          <w:rFonts w:hint="eastAsia" w:ascii="Times New Roman" w:cs="Times New Roman"/>
        </w:rPr>
        <w:t>施工期不新增占地，不涉及植被措施</w:t>
      </w:r>
      <w:r>
        <w:rPr>
          <w:rFonts w:ascii="Times New Roman" w:cs="Times New Roman"/>
        </w:rPr>
        <w:t>。</w:t>
      </w:r>
    </w:p>
    <w:p>
      <w:pPr>
        <w:pStyle w:val="6"/>
        <w:ind w:firstLine="482"/>
        <w:rPr>
          <w:rFonts w:ascii="Times New Roman" w:cs="Times New Roman"/>
          <w:b/>
        </w:rPr>
      </w:pPr>
      <w:r>
        <w:rPr>
          <w:rFonts w:ascii="Times New Roman" w:cs="Times New Roman"/>
          <w:b/>
        </w:rPr>
        <w:t>3、临时措施</w:t>
      </w:r>
    </w:p>
    <w:p>
      <w:pPr>
        <w:pStyle w:val="6"/>
        <w:ind w:firstLine="480"/>
        <w:rPr>
          <w:rFonts w:ascii="Times New Roman" w:cs="Times New Roman"/>
        </w:rPr>
      </w:pPr>
      <w:r>
        <w:rPr>
          <w:rFonts w:ascii="Times New Roman" w:cs="Times New Roman"/>
        </w:rPr>
        <w:t>施工</w:t>
      </w:r>
      <w:r>
        <w:rPr>
          <w:rFonts w:hint="eastAsia" w:ascii="Times New Roman" w:cs="Times New Roman"/>
        </w:rPr>
        <w:t>期不涉及临时措施</w:t>
      </w:r>
      <w:r>
        <w:rPr>
          <w:rFonts w:ascii="Times New Roman" w:cs="Times New Roman"/>
        </w:rPr>
        <w:t>。</w:t>
      </w:r>
    </w:p>
    <w:p>
      <w:pPr>
        <w:pStyle w:val="6"/>
        <w:ind w:firstLine="482"/>
        <w:rPr>
          <w:rFonts w:ascii="Times New Roman" w:cs="Times New Roman"/>
          <w:b/>
        </w:rPr>
      </w:pPr>
      <w:r>
        <w:rPr>
          <w:rFonts w:hint="eastAsia" w:ascii="Times New Roman" w:cs="Times New Roman"/>
          <w:b/>
        </w:rPr>
        <w:t>3.2进场道路</w:t>
      </w:r>
    </w:p>
    <w:p>
      <w:pPr>
        <w:pStyle w:val="6"/>
        <w:ind w:firstLine="480"/>
        <w:rPr>
          <w:rFonts w:ascii="Times New Roman" w:cs="Times New Roman"/>
        </w:rPr>
      </w:pPr>
      <w:r>
        <w:rPr>
          <w:rFonts w:ascii="Times New Roman" w:cs="Times New Roman"/>
        </w:rPr>
        <w:t>本</w:t>
      </w:r>
      <w:r>
        <w:rPr>
          <w:rFonts w:hint="eastAsia" w:ascii="Times New Roman" w:cs="Times New Roman"/>
        </w:rPr>
        <w:t>项目进场道路水土流水防治措施主要为</w:t>
      </w:r>
      <w:r>
        <w:rPr>
          <w:rFonts w:ascii="Times New Roman" w:cs="Times New Roman"/>
        </w:rPr>
        <w:t>表土剥离、截排水沟、植草等措施</w:t>
      </w:r>
      <w:r>
        <w:rPr>
          <w:rFonts w:hint="eastAsia" w:ascii="Times New Roman" w:cs="Times New Roman"/>
        </w:rPr>
        <w:t>、</w:t>
      </w:r>
      <w:r>
        <w:rPr>
          <w:rFonts w:ascii="Times New Roman" w:cs="Times New Roman"/>
        </w:rPr>
        <w:t>覆土、土地整治及临时措施。</w:t>
      </w:r>
    </w:p>
    <w:p>
      <w:pPr>
        <w:pStyle w:val="6"/>
        <w:ind w:firstLine="482"/>
        <w:rPr>
          <w:rFonts w:ascii="Times New Roman" w:cs="Times New Roman"/>
          <w:b/>
        </w:rPr>
      </w:pPr>
      <w:r>
        <w:rPr>
          <w:rFonts w:ascii="Times New Roman" w:cs="Times New Roman"/>
          <w:b/>
        </w:rPr>
        <w:t>1、工程措施</w:t>
      </w:r>
    </w:p>
    <w:p>
      <w:pPr>
        <w:pStyle w:val="6"/>
        <w:ind w:firstLine="480"/>
        <w:rPr>
          <w:rFonts w:ascii="Times New Roman" w:cs="Times New Roman"/>
        </w:rPr>
      </w:pPr>
      <w:r>
        <w:rPr>
          <w:rFonts w:ascii="Times New Roman" w:cs="Times New Roman"/>
        </w:rPr>
        <w:t>（1）表土剥离</w:t>
      </w:r>
    </w:p>
    <w:p>
      <w:pPr>
        <w:pStyle w:val="6"/>
        <w:ind w:firstLine="480"/>
        <w:rPr>
          <w:rFonts w:ascii="Times New Roman" w:cs="Times New Roman"/>
        </w:rPr>
      </w:pPr>
      <w:r>
        <w:rPr>
          <w:rFonts w:ascii="Times New Roman" w:cs="Times New Roman"/>
        </w:rPr>
        <w:t>施工期对</w:t>
      </w:r>
      <w:r>
        <w:rPr>
          <w:rFonts w:hint="eastAsia" w:ascii="Times New Roman" w:cs="Times New Roman"/>
        </w:rPr>
        <w:t>进场道路</w:t>
      </w:r>
      <w:r>
        <w:rPr>
          <w:rFonts w:ascii="Times New Roman" w:cs="Times New Roman"/>
        </w:rPr>
        <w:t>占用耕地区域进行表土剥离，平均剥离厚度约30cm，表土剥离总量约</w:t>
      </w:r>
      <w:r>
        <w:rPr>
          <w:rFonts w:hint="eastAsia" w:ascii="Times New Roman" w:cs="Times New Roman"/>
        </w:rPr>
        <w:t>450</w:t>
      </w:r>
      <w:r>
        <w:rPr>
          <w:rFonts w:ascii="Times New Roman" w:cs="Times New Roman"/>
        </w:rPr>
        <w:t>m</w:t>
      </w:r>
      <w:r>
        <w:rPr>
          <w:rFonts w:ascii="Times New Roman" w:cs="Times New Roman"/>
          <w:vertAlign w:val="superscript"/>
        </w:rPr>
        <w:t>3</w:t>
      </w:r>
      <w:r>
        <w:rPr>
          <w:rFonts w:ascii="Times New Roman" w:cs="Times New Roman"/>
        </w:rPr>
        <w:t>，剥离的表土全部堆存于临时堆土区，后期用于复垦覆土复绿。</w:t>
      </w:r>
    </w:p>
    <w:p>
      <w:pPr>
        <w:pStyle w:val="6"/>
        <w:ind w:firstLine="480"/>
        <w:rPr>
          <w:rFonts w:ascii="Times New Roman" w:cs="Times New Roman"/>
        </w:rPr>
      </w:pPr>
      <w:r>
        <w:rPr>
          <w:rFonts w:ascii="Times New Roman" w:cs="Times New Roman"/>
        </w:rPr>
        <w:t>（2）排水沟</w:t>
      </w:r>
    </w:p>
    <w:p>
      <w:pPr>
        <w:pStyle w:val="6"/>
        <w:ind w:firstLine="480"/>
        <w:rPr>
          <w:rFonts w:ascii="Times New Roman" w:cs="Times New Roman"/>
        </w:rPr>
      </w:pPr>
      <w:r>
        <w:rPr>
          <w:rFonts w:ascii="Times New Roman" w:cs="Times New Roman"/>
        </w:rPr>
        <w:t>为了防止道路地表水对路基的冲刷，在道路</w:t>
      </w:r>
      <w:r>
        <w:rPr>
          <w:rFonts w:hint="eastAsia" w:ascii="Times New Roman" w:cs="Times New Roman"/>
        </w:rPr>
        <w:t>两侧</w:t>
      </w:r>
      <w:r>
        <w:rPr>
          <w:rFonts w:ascii="Times New Roman" w:cs="Times New Roman"/>
        </w:rPr>
        <w:t>侧设置排水沟，出口接入东侧乡道已有水沟，拟总建排水沟共计</w:t>
      </w:r>
      <w:r>
        <w:rPr>
          <w:rFonts w:hint="eastAsia" w:ascii="Times New Roman" w:cs="Times New Roman"/>
        </w:rPr>
        <w:t>200</w:t>
      </w:r>
      <w:r>
        <w:rPr>
          <w:rFonts w:ascii="Times New Roman" w:cs="Times New Roman"/>
        </w:rPr>
        <w:t>m。截排水沟底宽0.5m，深0.5m，沟壁坡度1：0.2，纵坡i=0.2%。</w:t>
      </w:r>
    </w:p>
    <w:p>
      <w:pPr>
        <w:pStyle w:val="6"/>
        <w:ind w:firstLine="480"/>
        <w:rPr>
          <w:rFonts w:ascii="Times New Roman" w:cs="Times New Roman"/>
        </w:rPr>
      </w:pPr>
      <w:r>
        <w:rPr>
          <w:rFonts w:ascii="Times New Roman" w:cs="Times New Roman"/>
        </w:rPr>
        <w:t>（3）表土回填工程施工结束后将剥离的表土回填覆盖在井场复垦区域内，共覆土约</w:t>
      </w:r>
      <w:r>
        <w:rPr>
          <w:rFonts w:hint="eastAsia" w:ascii="Times New Roman" w:cs="Times New Roman"/>
        </w:rPr>
        <w:t>120</w:t>
      </w:r>
      <w:r>
        <w:rPr>
          <w:rFonts w:ascii="Times New Roman" w:cs="Times New Roman"/>
        </w:rPr>
        <w:t>m</w:t>
      </w:r>
      <w:r>
        <w:rPr>
          <w:rFonts w:ascii="Times New Roman" w:cs="Times New Roman"/>
          <w:vertAlign w:val="superscript"/>
        </w:rPr>
        <w:t>3</w:t>
      </w:r>
      <w:r>
        <w:rPr>
          <w:rFonts w:ascii="Times New Roman" w:cs="Times New Roman"/>
        </w:rPr>
        <w:t>。</w:t>
      </w:r>
    </w:p>
    <w:p>
      <w:pPr>
        <w:pStyle w:val="6"/>
        <w:ind w:firstLine="480"/>
        <w:rPr>
          <w:rFonts w:ascii="Times New Roman" w:cs="Times New Roman"/>
        </w:rPr>
      </w:pPr>
      <w:r>
        <w:rPr>
          <w:rFonts w:ascii="Times New Roman" w:cs="Times New Roman"/>
        </w:rPr>
        <w:t>（4）土地整治</w:t>
      </w:r>
    </w:p>
    <w:p>
      <w:pPr>
        <w:pStyle w:val="6"/>
        <w:ind w:firstLine="480"/>
        <w:rPr>
          <w:rFonts w:ascii="Times New Roman" w:cs="Times New Roman"/>
        </w:rPr>
      </w:pPr>
      <w:r>
        <w:rPr>
          <w:rFonts w:ascii="Times New Roman" w:cs="Times New Roman"/>
        </w:rPr>
        <w:t>施工结束后，对裸露或扰动区域进行土地整治，整治面积</w:t>
      </w:r>
      <w:r>
        <w:rPr>
          <w:rFonts w:hint="eastAsia" w:ascii="Times New Roman" w:cs="Times New Roman"/>
        </w:rPr>
        <w:t>约300</w:t>
      </w:r>
      <w:r>
        <w:rPr>
          <w:rFonts w:ascii="Times New Roman" w:cs="Times New Roman"/>
        </w:rPr>
        <w:t>m</w:t>
      </w:r>
      <w:r>
        <w:rPr>
          <w:rFonts w:ascii="Times New Roman" w:cs="Times New Roman"/>
          <w:vertAlign w:val="superscript"/>
        </w:rPr>
        <w:t>2</w:t>
      </w:r>
      <w:r>
        <w:rPr>
          <w:rFonts w:ascii="Times New Roman" w:cs="Times New Roman"/>
        </w:rPr>
        <w:t>，土地整治后进行复耕。土地整治包括场地清理和整地。</w:t>
      </w:r>
    </w:p>
    <w:p>
      <w:pPr>
        <w:pStyle w:val="6"/>
        <w:ind w:firstLine="480"/>
        <w:rPr>
          <w:rFonts w:ascii="Times New Roman" w:cs="Times New Roman"/>
        </w:rPr>
      </w:pPr>
      <w:r>
        <w:rPr>
          <w:rFonts w:ascii="Times New Roman" w:cs="Times New Roman"/>
        </w:rPr>
        <w:t>场地清理：清理并收集该区域的垃圾，集中堆放，对开挖动土区域进行坑凹回填，场地平整改造，恢复利用。</w:t>
      </w:r>
    </w:p>
    <w:p>
      <w:pPr>
        <w:pStyle w:val="6"/>
        <w:ind w:firstLine="480"/>
        <w:rPr>
          <w:rFonts w:ascii="Times New Roman" w:cs="Times New Roman"/>
        </w:rPr>
      </w:pPr>
      <w:r>
        <w:rPr>
          <w:rFonts w:ascii="Times New Roman" w:cs="Times New Roman"/>
        </w:rPr>
        <w:t>整地：包括平整土地、翻地改善土壤理化性状，给植物及农作物生长尤其是根的发育创造了适宜的土壤条件。其方法和要求：先将表土翻松，再进行细平工作，局部高差较大处，进行回填，做到挖填同时进行。平整时应采取就近原则，开挖及回填时应保证表土回填前土块有足够的保水层，防止表土层底部漏水，并配合平整进行表土覆土。</w:t>
      </w:r>
    </w:p>
    <w:p>
      <w:pPr>
        <w:pStyle w:val="6"/>
        <w:ind w:firstLine="482"/>
        <w:rPr>
          <w:rFonts w:ascii="Times New Roman" w:cs="Times New Roman"/>
          <w:b/>
        </w:rPr>
      </w:pPr>
      <w:r>
        <w:rPr>
          <w:rFonts w:ascii="Times New Roman" w:cs="Times New Roman"/>
          <w:b/>
        </w:rPr>
        <w:t>2、临时措施</w:t>
      </w:r>
    </w:p>
    <w:p>
      <w:pPr>
        <w:pStyle w:val="6"/>
        <w:ind w:firstLine="480"/>
        <w:rPr>
          <w:rFonts w:ascii="Times New Roman" w:cs="Times New Roman"/>
        </w:rPr>
      </w:pPr>
      <w:r>
        <w:rPr>
          <w:rFonts w:ascii="Times New Roman" w:cs="Times New Roman"/>
        </w:rPr>
        <w:t>（1）临时彩条布苫盖</w:t>
      </w:r>
    </w:p>
    <w:p>
      <w:pPr>
        <w:pStyle w:val="6"/>
        <w:ind w:firstLine="480"/>
        <w:rPr>
          <w:rFonts w:ascii="Times New Roman" w:cs="Times New Roman"/>
        </w:rPr>
      </w:pPr>
      <w:r>
        <w:rPr>
          <w:rFonts w:ascii="Times New Roman" w:cs="Times New Roman"/>
        </w:rPr>
        <w:t>施工中对井场进场道路裸露边坡进行临时彩条布苫盖，需彩条布面积为</w:t>
      </w:r>
      <w:r>
        <w:rPr>
          <w:rFonts w:hint="eastAsia" w:ascii="Times New Roman" w:cs="Times New Roman"/>
        </w:rPr>
        <w:t>300</w:t>
      </w:r>
      <w:r>
        <w:rPr>
          <w:rFonts w:ascii="Times New Roman" w:cs="Times New Roman"/>
        </w:rPr>
        <w:t>m</w:t>
      </w:r>
      <w:r>
        <w:rPr>
          <w:rFonts w:ascii="Times New Roman" w:cs="Times New Roman"/>
          <w:vertAlign w:val="superscript"/>
        </w:rPr>
        <w:t>2</w:t>
      </w:r>
      <w:r>
        <w:rPr>
          <w:rFonts w:ascii="Times New Roman" w:cs="Times New Roman"/>
        </w:rPr>
        <w:t>。</w:t>
      </w:r>
    </w:p>
    <w:p>
      <w:pPr>
        <w:pStyle w:val="6"/>
        <w:ind w:firstLine="482"/>
        <w:rPr>
          <w:rFonts w:ascii="Times New Roman" w:cs="Times New Roman"/>
          <w:b/>
        </w:rPr>
      </w:pPr>
      <w:r>
        <w:rPr>
          <w:rFonts w:hint="eastAsia" w:ascii="Times New Roman" w:cs="Times New Roman"/>
          <w:b/>
        </w:rPr>
        <w:t>3.3临时堆土区</w:t>
      </w:r>
    </w:p>
    <w:p>
      <w:pPr>
        <w:pStyle w:val="6"/>
        <w:ind w:firstLine="480"/>
        <w:rPr>
          <w:rFonts w:ascii="Times New Roman" w:cs="Times New Roman"/>
        </w:rPr>
      </w:pPr>
      <w:r>
        <w:rPr>
          <w:rFonts w:ascii="Times New Roman" w:cs="Times New Roman"/>
        </w:rPr>
        <w:t>本</w:t>
      </w:r>
      <w:r>
        <w:rPr>
          <w:rFonts w:hint="eastAsia" w:ascii="Times New Roman" w:cs="Times New Roman"/>
        </w:rPr>
        <w:t>项目临时堆土区水土流水防治措施主要为</w:t>
      </w:r>
      <w:r>
        <w:rPr>
          <w:rFonts w:ascii="Times New Roman" w:cs="Times New Roman"/>
        </w:rPr>
        <w:t>覆土、土地整治、植物及临时措施。</w:t>
      </w:r>
    </w:p>
    <w:p>
      <w:pPr>
        <w:pStyle w:val="6"/>
        <w:ind w:firstLine="482"/>
        <w:rPr>
          <w:rFonts w:ascii="Times New Roman" w:cs="Times New Roman"/>
          <w:b/>
        </w:rPr>
      </w:pPr>
      <w:r>
        <w:rPr>
          <w:rFonts w:ascii="Times New Roman" w:cs="Times New Roman"/>
          <w:b/>
        </w:rPr>
        <w:t>1、工程措施</w:t>
      </w:r>
    </w:p>
    <w:p>
      <w:pPr>
        <w:pStyle w:val="6"/>
        <w:ind w:firstLine="480"/>
        <w:rPr>
          <w:rFonts w:ascii="Times New Roman" w:cs="Times New Roman"/>
        </w:rPr>
      </w:pPr>
      <w:r>
        <w:rPr>
          <w:rFonts w:ascii="Times New Roman" w:cs="Times New Roman"/>
        </w:rPr>
        <w:t>（1）土地整治</w:t>
      </w:r>
    </w:p>
    <w:p>
      <w:pPr>
        <w:pStyle w:val="6"/>
        <w:ind w:firstLine="480"/>
        <w:rPr>
          <w:rFonts w:ascii="Times New Roman" w:cs="Times New Roman"/>
        </w:rPr>
      </w:pPr>
      <w:r>
        <w:rPr>
          <w:rFonts w:ascii="Times New Roman" w:cs="Times New Roman"/>
        </w:rPr>
        <w:t>施工结束后，对裸露或扰动区域进行土地整治，整治面积共计</w:t>
      </w:r>
      <w:r>
        <w:rPr>
          <w:rFonts w:hint="eastAsia" w:ascii="Times New Roman" w:cs="Times New Roman"/>
        </w:rPr>
        <w:t>1000</w:t>
      </w:r>
      <w:r>
        <w:rPr>
          <w:rFonts w:ascii="Times New Roman" w:cs="Times New Roman"/>
        </w:rPr>
        <w:t>m</w:t>
      </w:r>
      <w:r>
        <w:rPr>
          <w:rFonts w:ascii="Times New Roman" w:cs="Times New Roman"/>
          <w:vertAlign w:val="superscript"/>
        </w:rPr>
        <w:t>2</w:t>
      </w:r>
      <w:r>
        <w:rPr>
          <w:rFonts w:ascii="Times New Roman" w:cs="Times New Roman"/>
        </w:rPr>
        <w:t>，土地整治后进行复耕。土地整治包括场地清理和整地。</w:t>
      </w:r>
    </w:p>
    <w:p>
      <w:pPr>
        <w:pStyle w:val="6"/>
        <w:ind w:firstLine="480"/>
        <w:rPr>
          <w:rFonts w:ascii="Times New Roman" w:cs="Times New Roman"/>
        </w:rPr>
      </w:pPr>
      <w:r>
        <w:rPr>
          <w:rFonts w:ascii="Times New Roman" w:cs="Times New Roman"/>
        </w:rPr>
        <w:t>场地清理：清理并收集该区域的垃圾，集中堆放，对开挖动土区域进行坑凹回填，场地平整改造，恢复利用。</w:t>
      </w:r>
    </w:p>
    <w:p>
      <w:pPr>
        <w:pStyle w:val="6"/>
        <w:ind w:firstLine="480"/>
        <w:rPr>
          <w:rFonts w:ascii="Times New Roman" w:cs="Times New Roman"/>
        </w:rPr>
      </w:pPr>
      <w:r>
        <w:rPr>
          <w:rFonts w:ascii="Times New Roman" w:cs="Times New Roman"/>
        </w:rPr>
        <w:t>整地：包括平整土地、翻地改善土壤理化性状，给植物及农作物生长尤其是根的发育创造了适宜的土壤条件。其方法和要求：先将表土翻松，再进行细平工作，局部高差较大处，进行回填，做到挖填同时进行。平整时应采取就近原则，开挖及回填时应保证表土回填前土块有足够的保水层，防止表土层底部漏水，并配合平整进行表土覆土。</w:t>
      </w:r>
    </w:p>
    <w:p>
      <w:pPr>
        <w:pStyle w:val="6"/>
        <w:ind w:firstLine="482"/>
        <w:rPr>
          <w:rFonts w:ascii="Times New Roman" w:cs="Times New Roman"/>
          <w:b/>
        </w:rPr>
      </w:pPr>
      <w:r>
        <w:rPr>
          <w:rFonts w:ascii="Times New Roman" w:cs="Times New Roman"/>
          <w:b/>
        </w:rPr>
        <w:t>2、植物措施</w:t>
      </w:r>
    </w:p>
    <w:p>
      <w:pPr>
        <w:pStyle w:val="6"/>
        <w:ind w:firstLine="480"/>
        <w:rPr>
          <w:rFonts w:ascii="Times New Roman" w:cs="Times New Roman"/>
        </w:rPr>
      </w:pPr>
      <w:r>
        <w:rPr>
          <w:rFonts w:hint="eastAsia" w:ascii="Times New Roman" w:cs="Times New Roman"/>
        </w:rPr>
        <w:t>①</w:t>
      </w:r>
      <w:r>
        <w:rPr>
          <w:rFonts w:ascii="Times New Roman" w:cs="Times New Roman"/>
        </w:rPr>
        <w:t>撒播草籽</w:t>
      </w:r>
    </w:p>
    <w:p>
      <w:pPr>
        <w:pStyle w:val="6"/>
        <w:ind w:firstLine="480"/>
        <w:rPr>
          <w:rFonts w:ascii="Times New Roman" w:cs="Times New Roman"/>
        </w:rPr>
      </w:pPr>
      <w:r>
        <w:rPr>
          <w:rFonts w:ascii="Times New Roman" w:cs="Times New Roman"/>
        </w:rPr>
        <w:t>表土堆放过程中，对表土堆放放场堆土表面播撒草种进行临时植被恢复，播撒草种面积为约</w:t>
      </w:r>
      <w:r>
        <w:rPr>
          <w:rFonts w:hint="eastAsia" w:ascii="Times New Roman" w:cs="Times New Roman"/>
        </w:rPr>
        <w:t>1000</w:t>
      </w:r>
      <w:r>
        <w:rPr>
          <w:rFonts w:ascii="Times New Roman" w:cs="Times New Roman"/>
        </w:rPr>
        <w:t>m</w:t>
      </w:r>
      <w:r>
        <w:rPr>
          <w:rFonts w:ascii="Times New Roman" w:cs="Times New Roman"/>
          <w:vertAlign w:val="superscript"/>
        </w:rPr>
        <w:t>2</w:t>
      </w:r>
      <w:r>
        <w:rPr>
          <w:rFonts w:ascii="Times New Roman" w:cs="Times New Roman"/>
        </w:rPr>
        <w:t>，草种选用三叶草或狗牙根。</w:t>
      </w:r>
    </w:p>
    <w:p>
      <w:pPr>
        <w:pStyle w:val="6"/>
        <w:ind w:firstLine="482"/>
        <w:rPr>
          <w:rFonts w:ascii="Times New Roman" w:cs="Times New Roman"/>
          <w:b/>
        </w:rPr>
      </w:pPr>
      <w:r>
        <w:rPr>
          <w:rFonts w:ascii="Times New Roman" w:cs="Times New Roman"/>
          <w:b/>
        </w:rPr>
        <w:t>3、临时措施</w:t>
      </w:r>
    </w:p>
    <w:p>
      <w:pPr>
        <w:pStyle w:val="6"/>
        <w:ind w:firstLine="480"/>
        <w:rPr>
          <w:rFonts w:ascii="Times New Roman" w:cs="Times New Roman"/>
        </w:rPr>
      </w:pPr>
      <w:r>
        <w:rPr>
          <w:rFonts w:ascii="Times New Roman" w:cs="Times New Roman"/>
        </w:rPr>
        <w:t>对临时堆土区</w:t>
      </w:r>
      <w:r>
        <w:rPr>
          <w:rFonts w:hint="eastAsia" w:ascii="Times New Roman" w:cs="Times New Roman"/>
          <w:lang w:val="en-GB"/>
        </w:rPr>
        <w:t>东</w:t>
      </w:r>
      <w:r>
        <w:rPr>
          <w:rFonts w:ascii="Times New Roman" w:cs="Times New Roman"/>
          <w:lang w:val="en-GB"/>
        </w:rPr>
        <w:t>侧</w:t>
      </w:r>
      <w:r>
        <w:rPr>
          <w:rFonts w:hint="eastAsia" w:ascii="Times New Roman" w:cs="Times New Roman"/>
          <w:lang w:val="en-GB"/>
        </w:rPr>
        <w:t>设置挡墙，高度2~4.5m</w:t>
      </w:r>
      <w:r>
        <w:rPr>
          <w:rFonts w:ascii="Times New Roman" w:cs="Times New Roman"/>
          <w:lang w:val="en-GB"/>
        </w:rPr>
        <w:t>，</w:t>
      </w:r>
      <w:r>
        <w:rPr>
          <w:rFonts w:hint="eastAsia" w:ascii="Times New Roman" w:cs="Times New Roman"/>
        </w:rPr>
        <w:t>长度20m</w:t>
      </w:r>
      <w:r>
        <w:rPr>
          <w:rFonts w:ascii="Times New Roman" w:cs="Times New Roman"/>
          <w:lang w:val="en-GB"/>
        </w:rPr>
        <w:t>，堆放的表土全部用于后期覆土。</w:t>
      </w:r>
    </w:p>
    <w:p>
      <w:pPr>
        <w:pStyle w:val="6"/>
        <w:ind w:firstLine="482"/>
        <w:rPr>
          <w:rFonts w:ascii="Times New Roman" w:cs="Times New Roman"/>
        </w:rPr>
      </w:pPr>
      <w:r>
        <w:rPr>
          <w:rFonts w:hint="eastAsia" w:ascii="Times New Roman" w:cs="Times New Roman"/>
          <w:b/>
        </w:rPr>
        <w:t>7.4</w:t>
      </w:r>
      <w:r>
        <w:rPr>
          <w:rFonts w:ascii="Times New Roman" w:cs="Times New Roman"/>
          <w:b/>
        </w:rPr>
        <w:t>水土流失防治措施</w:t>
      </w:r>
      <w:r>
        <w:rPr>
          <w:rFonts w:hint="eastAsia" w:ascii="Times New Roman" w:cs="Times New Roman"/>
          <w:b/>
        </w:rPr>
        <w:t>施工要求</w:t>
      </w:r>
    </w:p>
    <w:p>
      <w:pPr>
        <w:pStyle w:val="6"/>
        <w:ind w:firstLine="480"/>
        <w:rPr>
          <w:rFonts w:ascii="Times New Roman" w:cs="Times New Roman"/>
        </w:rPr>
      </w:pPr>
      <w:r>
        <w:rPr>
          <w:rFonts w:ascii="Times New Roman" w:cs="Times New Roman"/>
        </w:rPr>
        <w:t>水土保持工程措施和植物措施施工方法采用常规施工方法，交通不便和施工场地较狭窄区域以人工作业为主，其他施工作业时尽可能选择机械作业并辅以人工相结合。</w:t>
      </w:r>
    </w:p>
    <w:p>
      <w:pPr>
        <w:pStyle w:val="6"/>
        <w:ind w:firstLine="482"/>
        <w:rPr>
          <w:rFonts w:ascii="Times New Roman" w:cs="Times New Roman"/>
          <w:b/>
        </w:rPr>
      </w:pPr>
      <w:r>
        <w:rPr>
          <w:rFonts w:ascii="Times New Roman" w:cs="Times New Roman"/>
          <w:b/>
        </w:rPr>
        <w:t>1、土地整治工程</w:t>
      </w:r>
    </w:p>
    <w:p>
      <w:pPr>
        <w:pStyle w:val="6"/>
        <w:ind w:firstLine="480"/>
        <w:rPr>
          <w:rFonts w:ascii="Times New Roman" w:cs="Times New Roman"/>
        </w:rPr>
      </w:pPr>
      <w:r>
        <w:rPr>
          <w:rFonts w:ascii="Times New Roman" w:cs="Times New Roman"/>
        </w:rPr>
        <w:t>本项目土地整治工程主要是对临时占地施工完成后，需要回填表土并恢复原地貌土地类型，而进行的地貌平整、表层土翻松等一系列小型整治工程措施。在实施以上工程措施的同时，结合土地使用的立地条件及项目区生产建设需要，尽量采取深耕深松、增施有机肥等土壤改良措施，对防治责任范围内的耕作用地及林业用地进行改造整治，恢复原土地类型的生产力。</w:t>
      </w:r>
    </w:p>
    <w:p>
      <w:pPr>
        <w:pStyle w:val="6"/>
        <w:ind w:firstLine="482"/>
        <w:rPr>
          <w:rFonts w:ascii="Times New Roman" w:cs="Times New Roman"/>
          <w:b/>
        </w:rPr>
      </w:pPr>
      <w:r>
        <w:rPr>
          <w:rFonts w:ascii="Times New Roman" w:cs="Times New Roman"/>
          <w:b/>
        </w:rPr>
        <w:t>2、土石方开挖及回填</w:t>
      </w:r>
    </w:p>
    <w:p>
      <w:pPr>
        <w:pStyle w:val="6"/>
        <w:ind w:firstLine="480"/>
        <w:rPr>
          <w:rFonts w:ascii="Times New Roman" w:cs="Times New Roman"/>
        </w:rPr>
      </w:pPr>
      <w:r>
        <w:rPr>
          <w:rFonts w:ascii="Times New Roman" w:cs="Times New Roman"/>
        </w:rPr>
        <w:t>石方开挖采用手风钻浅孔，小范围爆破，人工开挖，开挖弃渣综合利用，土夹石开挖采用人工或机械进行。</w:t>
      </w:r>
    </w:p>
    <w:p>
      <w:pPr>
        <w:pStyle w:val="6"/>
        <w:ind w:firstLine="482"/>
        <w:rPr>
          <w:rFonts w:ascii="Times New Roman" w:cs="Times New Roman"/>
          <w:b/>
        </w:rPr>
      </w:pPr>
      <w:r>
        <w:rPr>
          <w:rFonts w:ascii="Times New Roman" w:cs="Times New Roman"/>
          <w:b/>
        </w:rPr>
        <w:t>3、林草措施布设</w:t>
      </w:r>
    </w:p>
    <w:p>
      <w:pPr>
        <w:pStyle w:val="6"/>
        <w:ind w:firstLine="480"/>
        <w:rPr>
          <w:rFonts w:ascii="Times New Roman" w:cs="Times New Roman"/>
        </w:rPr>
      </w:pPr>
      <w:r>
        <w:rPr>
          <w:rFonts w:ascii="Times New Roman" w:cs="Times New Roman"/>
        </w:rPr>
        <w:t>（1）植物种类选择</w:t>
      </w:r>
    </w:p>
    <w:p>
      <w:pPr>
        <w:pStyle w:val="6"/>
        <w:ind w:firstLine="480"/>
        <w:rPr>
          <w:rFonts w:ascii="Times New Roman" w:cs="Times New Roman"/>
        </w:rPr>
      </w:pPr>
      <w:r>
        <w:rPr>
          <w:rFonts w:ascii="Times New Roman" w:cs="Times New Roman"/>
        </w:rPr>
        <w:t>项目区地处亚热带湿润季风气候区，应选择喜湿、喜温、根系发达、固土作用强、生长迅速的植物种类。根据项目区植被分布及植被类型，尽量选用当地乡土树草种或适生树草种作为本方案的绿化树草种。</w:t>
      </w:r>
    </w:p>
    <w:p>
      <w:pPr>
        <w:pStyle w:val="6"/>
        <w:ind w:firstLine="480"/>
        <w:rPr>
          <w:rFonts w:ascii="Times New Roman" w:cs="Times New Roman"/>
        </w:rPr>
      </w:pPr>
      <w:r>
        <w:rPr>
          <w:rFonts w:ascii="Times New Roman" w:cs="Times New Roman"/>
        </w:rPr>
        <w:t>（2）种草</w:t>
      </w:r>
    </w:p>
    <w:p>
      <w:pPr>
        <w:pStyle w:val="6"/>
        <w:ind w:firstLine="480"/>
        <w:rPr>
          <w:rFonts w:ascii="Times New Roman" w:cs="Times New Roman"/>
        </w:rPr>
      </w:pPr>
      <w:r>
        <w:rPr>
          <w:rFonts w:ascii="Times New Roman" w:cs="Times New Roman"/>
        </w:rPr>
        <w:t>草本植物种植一般采用如下方式进行：</w:t>
      </w:r>
    </w:p>
    <w:p>
      <w:pPr>
        <w:pStyle w:val="6"/>
        <w:ind w:firstLine="480"/>
        <w:rPr>
          <w:rFonts w:ascii="Times New Roman" w:cs="Times New Roman"/>
        </w:rPr>
      </w:pPr>
      <w:r>
        <w:rPr>
          <w:rFonts w:ascii="Times New Roman" w:cs="Times New Roman"/>
        </w:rPr>
        <w:t>鉴于项目区水热条件较好，本项目主要采用撒播方式进行种草，草种应选用适应性强的耐热、耐湿、耐贫瘠；繁殖容易、管理方便的当地适生草种。</w:t>
      </w:r>
    </w:p>
    <w:p>
      <w:pPr>
        <w:pStyle w:val="6"/>
        <w:ind w:firstLine="480"/>
        <w:rPr>
          <w:rFonts w:ascii="Times New Roman" w:cs="Times New Roman"/>
        </w:rPr>
      </w:pPr>
      <w:r>
        <w:rPr>
          <w:rFonts w:ascii="Times New Roman" w:cs="Times New Roman"/>
        </w:rPr>
        <w:t>草籽撒播首先进行整地，耕翻土层20cm左右，清除土层中的碎石等杂物，以形成一个疏松、透气、透水等适宜草种生长的苗床。种子处理去杂、精选，保证种子质量，播种前将精选的草种浸泡24小时以利于出芽，宜在春末夏初或夏季播种，适当施有机肥或N、P、K复合肥，及时浇水、施肥。</w:t>
      </w:r>
    </w:p>
    <w:p>
      <w:pPr>
        <w:pStyle w:val="6"/>
        <w:ind w:firstLine="480"/>
        <w:rPr>
          <w:rFonts w:ascii="Times New Roman" w:cs="Times New Roman"/>
        </w:rPr>
      </w:pPr>
      <w:r>
        <w:rPr>
          <w:rFonts w:ascii="Times New Roman" w:cs="Times New Roman"/>
        </w:rPr>
        <w:t>植物措施抚育期6个月，播撒草种后植被在6个月内发挥植物措施效果。</w:t>
      </w:r>
    </w:p>
    <w:p>
      <w:pPr>
        <w:pStyle w:val="6"/>
        <w:ind w:firstLine="482"/>
        <w:rPr>
          <w:rFonts w:ascii="Times New Roman" w:cs="Times New Roman"/>
          <w:b/>
        </w:rPr>
      </w:pPr>
      <w:r>
        <w:rPr>
          <w:rFonts w:ascii="Times New Roman" w:cs="Times New Roman"/>
          <w:b/>
        </w:rPr>
        <w:t>4、临时措施实施</w:t>
      </w:r>
    </w:p>
    <w:p>
      <w:pPr>
        <w:pStyle w:val="6"/>
        <w:ind w:firstLine="480"/>
        <w:rPr>
          <w:rFonts w:ascii="Times New Roman" w:cs="Times New Roman"/>
        </w:rPr>
      </w:pPr>
      <w:r>
        <w:rPr>
          <w:rFonts w:ascii="Times New Roman" w:cs="Times New Roman"/>
        </w:rPr>
        <w:t>（1）挡墙：主要用于临时堆存表土的拦挡，具体做法为：利用挖除的土方装入编织袋中，扎紧袋口，将沙袋码放在规划堆土场地周围，上下交错码放。</w:t>
      </w:r>
    </w:p>
    <w:p>
      <w:pPr>
        <w:pStyle w:val="6"/>
        <w:ind w:firstLine="480"/>
        <w:rPr>
          <w:rFonts w:ascii="Times New Roman" w:cs="Times New Roman"/>
        </w:rPr>
      </w:pPr>
      <w:r>
        <w:rPr>
          <w:rFonts w:ascii="Times New Roman" w:cs="Times New Roman"/>
        </w:rPr>
        <w:t>（2）防雨布覆盖：将防雨布铺在堆土（或堆料）表面，并用砖石压护。</w:t>
      </w:r>
    </w:p>
    <w:p>
      <w:pPr>
        <w:pStyle w:val="6"/>
        <w:ind w:firstLine="482"/>
        <w:rPr>
          <w:rFonts w:ascii="Times New Roman" w:cs="Times New Roman"/>
        </w:rPr>
      </w:pPr>
      <w:r>
        <w:rPr>
          <w:rFonts w:hint="eastAsia" w:ascii="Times New Roman" w:cs="Times New Roman"/>
          <w:b/>
        </w:rPr>
        <w:t>7.4管线施工</w:t>
      </w:r>
      <w:r>
        <w:rPr>
          <w:rFonts w:ascii="Times New Roman" w:cs="Times New Roman"/>
          <w:b/>
        </w:rPr>
        <w:t>水土流失防治措施</w:t>
      </w:r>
    </w:p>
    <w:p>
      <w:pPr>
        <w:pStyle w:val="6"/>
        <w:ind w:firstLine="480"/>
        <w:rPr>
          <w:rFonts w:ascii="Times New Roman" w:cs="Times New Roman"/>
        </w:rPr>
      </w:pPr>
      <w:r>
        <w:rPr>
          <w:rFonts w:ascii="Times New Roman" w:cs="Times New Roman"/>
        </w:rPr>
        <w:t>（1）尽量避开雨季施工；分段施工，做到随挖、随运、随铺、随压，尽量不留疏松地面，减少风蚀导致的水土流失。</w:t>
      </w:r>
    </w:p>
    <w:p>
      <w:pPr>
        <w:pStyle w:val="6"/>
        <w:ind w:firstLine="480"/>
        <w:rPr>
          <w:rFonts w:ascii="Times New Roman" w:cs="Times New Roman"/>
        </w:rPr>
      </w:pPr>
      <w:r>
        <w:rPr>
          <w:rFonts w:ascii="Times New Roman" w:cs="Times New Roman"/>
        </w:rPr>
        <w:t>（2）划定施工作业带范围和路线，不随意扩大。并严格控制机械和车辆的作业范围，尽可能减少对土壤和农作物的破坏以及由此引发的水土流失。</w:t>
      </w:r>
    </w:p>
    <w:p>
      <w:pPr>
        <w:pStyle w:val="6"/>
        <w:ind w:firstLine="480"/>
        <w:rPr>
          <w:rFonts w:ascii="Times New Roman" w:cs="Times New Roman"/>
        </w:rPr>
      </w:pPr>
      <w:r>
        <w:rPr>
          <w:rFonts w:ascii="Times New Roman" w:cs="Times New Roman"/>
        </w:rPr>
        <w:t>（3）提高工程施工效率，缩短施工工期。</w:t>
      </w:r>
    </w:p>
    <w:p>
      <w:pPr>
        <w:pStyle w:val="6"/>
        <w:ind w:firstLine="480"/>
        <w:rPr>
          <w:rFonts w:ascii="Times New Roman" w:cs="Times New Roman"/>
        </w:rPr>
      </w:pPr>
      <w:r>
        <w:rPr>
          <w:rFonts w:ascii="Times New Roman" w:cs="Times New Roman"/>
        </w:rPr>
        <w:t>（4）施工时将禁止材料的随意堆放，划定统一的堆料场，防止对植物破坏范围扩大。</w:t>
      </w:r>
    </w:p>
    <w:p>
      <w:pPr>
        <w:pStyle w:val="6"/>
        <w:ind w:firstLine="480"/>
        <w:rPr>
          <w:rFonts w:ascii="Times New Roman" w:cs="Times New Roman"/>
        </w:rPr>
      </w:pPr>
      <w:r>
        <w:rPr>
          <w:rFonts w:ascii="Times New Roman" w:cs="Times New Roman"/>
        </w:rPr>
        <w:t>（</w:t>
      </w:r>
      <w:r>
        <w:rPr>
          <w:rFonts w:hint="eastAsia" w:ascii="Times New Roman" w:cs="Times New Roman"/>
        </w:rPr>
        <w:t>5</w:t>
      </w:r>
      <w:r>
        <w:rPr>
          <w:rFonts w:ascii="Times New Roman" w:cs="Times New Roman"/>
        </w:rPr>
        <w:t>）施工破坏的植被地带，施工结束后，及时恢复植被，减少水土流失。对于穿越的</w:t>
      </w:r>
      <w:r>
        <w:rPr>
          <w:rFonts w:hint="eastAsia" w:ascii="Times New Roman" w:cs="Times New Roman"/>
        </w:rPr>
        <w:t>一般</w:t>
      </w:r>
      <w:r>
        <w:rPr>
          <w:rFonts w:ascii="Times New Roman" w:cs="Times New Roman"/>
        </w:rPr>
        <w:t>林地，管线敷设后，土方回填不仅遵循设计规范要求，还将遵循下石上土、下粗上细、肥沃的在上贫瘠的在下的原则。回填后管线两侧5m范围内栽种根系不发达、生长性强的植被。对于耕地，施工结束后，遵循上述相同的原则，进行复耕。</w:t>
      </w:r>
    </w:p>
    <w:p>
      <w:pPr>
        <w:pStyle w:val="6"/>
        <w:ind w:firstLine="480"/>
        <w:rPr>
          <w:rFonts w:ascii="Times New Roman" w:cs="Times New Roman"/>
        </w:rPr>
      </w:pPr>
      <w:r>
        <w:rPr>
          <w:rFonts w:ascii="Times New Roman" w:cs="Times New Roman"/>
        </w:rPr>
        <w:t>（</w:t>
      </w:r>
      <w:r>
        <w:rPr>
          <w:rFonts w:hint="eastAsia" w:ascii="Times New Roman" w:cs="Times New Roman"/>
        </w:rPr>
        <w:t>6</w:t>
      </w:r>
      <w:r>
        <w:rPr>
          <w:rFonts w:ascii="Times New Roman" w:cs="Times New Roman"/>
        </w:rPr>
        <w:t>）水土保持和水工保护措施相结合，工程措施和生物措施相互结合，分区进行布局。</w:t>
      </w:r>
    </w:p>
    <w:p>
      <w:pPr>
        <w:pStyle w:val="4"/>
        <w:rPr>
          <w:rFonts w:eastAsia="宋体"/>
        </w:rPr>
      </w:pPr>
      <w:bookmarkStart w:id="605" w:name="_Toc19816127"/>
      <w:bookmarkStart w:id="606" w:name="_Toc12288790"/>
      <w:r>
        <w:rPr>
          <w:rFonts w:eastAsia="宋体"/>
        </w:rPr>
        <w:t>8.1.3 施工期污染防治措施</w:t>
      </w:r>
      <w:bookmarkEnd w:id="605"/>
      <w:bookmarkEnd w:id="606"/>
    </w:p>
    <w:p>
      <w:pPr>
        <w:ind w:firstLine="482"/>
        <w:rPr>
          <w:rFonts w:ascii="Times New Roman" w:cs="Times New Roman"/>
          <w:b/>
        </w:rPr>
      </w:pPr>
      <w:r>
        <w:rPr>
          <w:rFonts w:ascii="Times New Roman" w:cs="Times New Roman"/>
          <w:b/>
        </w:rPr>
        <w:t>1、废气染防治措施</w:t>
      </w:r>
    </w:p>
    <w:p>
      <w:pPr>
        <w:pStyle w:val="6"/>
        <w:ind w:firstLine="480"/>
        <w:rPr>
          <w:rFonts w:ascii="Times New Roman" w:cs="Times New Roman"/>
        </w:rPr>
      </w:pPr>
      <w:r>
        <w:rPr>
          <w:rFonts w:ascii="Times New Roman" w:cs="Times New Roman"/>
        </w:rPr>
        <w:t>施工废气主要来自地面开挖和运输车辆行驶产生的扬尘、施工机械（柴油机）排放的尾气</w:t>
      </w:r>
      <w:r>
        <w:rPr>
          <w:rFonts w:hint="eastAsia" w:ascii="Times New Roman" w:cs="Times New Roman"/>
        </w:rPr>
        <w:t>、</w:t>
      </w:r>
      <w:r>
        <w:rPr>
          <w:rFonts w:ascii="Times New Roman"/>
        </w:rPr>
        <w:t>气体钻粉尘</w:t>
      </w:r>
      <w:r>
        <w:rPr>
          <w:rFonts w:hint="eastAsia" w:ascii="Times New Roman"/>
        </w:rPr>
        <w:t>、测试放喷废气</w:t>
      </w:r>
      <w:r>
        <w:rPr>
          <w:rFonts w:ascii="Times New Roman" w:cs="Times New Roman"/>
        </w:rPr>
        <w:t>。</w:t>
      </w:r>
    </w:p>
    <w:p>
      <w:pPr>
        <w:pStyle w:val="6"/>
        <w:ind w:firstLine="482"/>
        <w:rPr>
          <w:rFonts w:ascii="Times New Roman" w:cs="Times New Roman"/>
          <w:b/>
        </w:rPr>
      </w:pPr>
      <w:bookmarkStart w:id="607" w:name="_Toc12288791"/>
      <w:r>
        <w:rPr>
          <w:rFonts w:ascii="Times New Roman" w:cs="Times New Roman"/>
          <w:b/>
        </w:rPr>
        <w:t>（1）施工扬尘</w:t>
      </w:r>
      <w:bookmarkEnd w:id="607"/>
    </w:p>
    <w:p>
      <w:pPr>
        <w:pStyle w:val="6"/>
        <w:ind w:firstLine="480"/>
        <w:rPr>
          <w:rFonts w:ascii="Times New Roman" w:cs="Times New Roman"/>
        </w:rPr>
      </w:pPr>
      <w:r>
        <w:rPr>
          <w:rFonts w:ascii="Times New Roman" w:cs="Times New Roman"/>
        </w:rPr>
        <w:t>相比其它施工废气而言，施工扬尘是造成周围大气环境污染最严重的，根据设计资料，为减少施工工程中扬尘的产生量，拟采取如下措施：</w:t>
      </w:r>
    </w:p>
    <w:p>
      <w:pPr>
        <w:pStyle w:val="6"/>
        <w:ind w:firstLine="480"/>
        <w:rPr>
          <w:rFonts w:ascii="Times New Roman" w:cs="Times New Roman"/>
        </w:rPr>
      </w:pPr>
      <w:r>
        <w:rPr>
          <w:rFonts w:hint="eastAsia" w:hAnsi="宋体"/>
        </w:rPr>
        <w:t>①</w:t>
      </w:r>
      <w:r>
        <w:rPr>
          <w:rFonts w:ascii="Times New Roman" w:cs="Times New Roman"/>
        </w:rPr>
        <w:t>开挖施工过程中产生的扬尘，采用洒水车定期对作业面和土堆洒水，使其保持一定湿度，降低施工期的粉尘散发量。</w:t>
      </w:r>
    </w:p>
    <w:p>
      <w:pPr>
        <w:pStyle w:val="6"/>
        <w:ind w:firstLine="480"/>
        <w:rPr>
          <w:rFonts w:ascii="Times New Roman" w:cs="Times New Roman"/>
        </w:rPr>
      </w:pPr>
      <w:r>
        <w:rPr>
          <w:rFonts w:hint="eastAsia" w:hAnsi="宋体"/>
        </w:rPr>
        <w:t>②</w:t>
      </w:r>
      <w:r>
        <w:rPr>
          <w:rFonts w:ascii="Times New Roman" w:cs="Times New Roman"/>
        </w:rPr>
        <w:t>在施工现场进行合理化管理，统一堆放材料，设置专门库房堆放水泥，尽量减少搬运环节，搬运时轻举轻放，防止包装袋破裂，施工散料运输车辆应采用加盖</w:t>
      </w:r>
      <w:r>
        <w:rPr>
          <w:rFonts w:hint="eastAsia" w:ascii="Times New Roman" w:cs="Times New Roman"/>
          <w:lang w:eastAsia="zh-CN"/>
        </w:rPr>
        <w:t>篷布</w:t>
      </w:r>
      <w:r>
        <w:rPr>
          <w:rFonts w:ascii="Times New Roman" w:cs="Times New Roman"/>
        </w:rPr>
        <w:t>和湿法相结合的方式，减少扬尘对大气的污染，物料堆放时加盖</w:t>
      </w:r>
      <w:r>
        <w:rPr>
          <w:rFonts w:hint="eastAsia" w:ascii="Times New Roman" w:cs="Times New Roman"/>
          <w:lang w:eastAsia="zh-CN"/>
        </w:rPr>
        <w:t>篷布</w:t>
      </w:r>
      <w:r>
        <w:rPr>
          <w:rFonts w:ascii="Times New Roman" w:cs="Times New Roman"/>
        </w:rPr>
        <w:t>。</w:t>
      </w:r>
    </w:p>
    <w:p>
      <w:pPr>
        <w:pStyle w:val="6"/>
        <w:ind w:firstLine="480"/>
        <w:rPr>
          <w:rFonts w:ascii="Times New Roman" w:cs="Times New Roman"/>
        </w:rPr>
      </w:pPr>
      <w:r>
        <w:rPr>
          <w:rFonts w:hint="eastAsia" w:hAnsi="宋体"/>
        </w:rPr>
        <w:t>③</w:t>
      </w:r>
      <w:r>
        <w:rPr>
          <w:rFonts w:ascii="Times New Roman" w:cs="Times New Roman"/>
        </w:rPr>
        <w:t>当风速过大时，应停止施工作业，并对堆存的沙粉等建筑材料采取遮盖措施。</w:t>
      </w:r>
    </w:p>
    <w:p>
      <w:pPr>
        <w:pStyle w:val="6"/>
        <w:ind w:firstLine="480"/>
        <w:rPr>
          <w:rFonts w:ascii="Times New Roman" w:cs="Times New Roman"/>
        </w:rPr>
      </w:pPr>
      <w:r>
        <w:rPr>
          <w:rFonts w:hint="eastAsia" w:hAnsi="宋体"/>
        </w:rPr>
        <w:t>④</w:t>
      </w:r>
      <w:r>
        <w:rPr>
          <w:rFonts w:ascii="Times New Roman" w:cs="Times New Roman"/>
        </w:rPr>
        <w:t>保持运输车辆完好，不过满装载，尽量采取遮盖、密闭措施，减少沿程抛洒，及时清扫散落在路面上的泥土和建筑材料，冲洗轮胎，定时洒水压尘，减少运输过程中的扬尘。同时，在经过住户、学校附近时，应减速慢行，尽量减少粉尘对敏感点的影响。</w:t>
      </w:r>
    </w:p>
    <w:p>
      <w:pPr>
        <w:pStyle w:val="6"/>
        <w:ind w:firstLine="480"/>
        <w:rPr>
          <w:rFonts w:ascii="Times New Roman" w:cs="Times New Roman"/>
        </w:rPr>
      </w:pPr>
      <w:r>
        <w:rPr>
          <w:rFonts w:hint="eastAsia" w:hAnsi="宋体"/>
        </w:rPr>
        <w:t>⑤</w:t>
      </w:r>
      <w:r>
        <w:rPr>
          <w:rFonts w:ascii="Times New Roman" w:cs="Times New Roman"/>
        </w:rPr>
        <w:t>堆积于管沟两侧的临时堆土表面应覆盖毡土，防止尘土飞扬；同时在风力大于4级时停止土方开挖和回填等作业。</w:t>
      </w:r>
    </w:p>
    <w:p>
      <w:pPr>
        <w:pStyle w:val="6"/>
        <w:ind w:firstLine="480"/>
        <w:rPr>
          <w:rFonts w:ascii="Times New Roman" w:cs="Times New Roman"/>
        </w:rPr>
      </w:pPr>
      <w:r>
        <w:rPr>
          <w:rFonts w:hint="eastAsia" w:hAnsi="宋体"/>
        </w:rPr>
        <w:t>⑥</w:t>
      </w:r>
      <w:r>
        <w:rPr>
          <w:rFonts w:ascii="Times New Roman" w:cs="Times New Roman"/>
        </w:rPr>
        <w:t>施工单位应严格遵守各级人民政府制定的建设施工管理制度，全面推行现场标准化管理，工地做到六必须（必须围挡作业、必须硬化道路、必须设置冲洗设施、必须及时洒水作业、必须落实保洁人员、必须定时清扫施工现场）；六不准（不准车辆带泥出门、不准运渣车辆冒顶装载、不准高空抛撒建筑垃圾、不准现场搅拌混凝土、不准场地积水、不准现场焚烧废弃物）。并且施工单位应严格落实本环评提出各项降尘措施。</w:t>
      </w:r>
    </w:p>
    <w:p>
      <w:pPr>
        <w:pStyle w:val="6"/>
        <w:ind w:firstLine="480"/>
        <w:rPr>
          <w:rFonts w:ascii="Times New Roman" w:cs="Times New Roman"/>
        </w:rPr>
      </w:pPr>
      <w:r>
        <w:rPr>
          <w:rFonts w:ascii="Times New Roman" w:cs="Times New Roman"/>
        </w:rPr>
        <w:t>根据达州市住房和城乡建设局《关于印发〈施工扬尘污染防治管理办法（试行）〉的通知》（达市住建发〔2018〕331号）的规定：招标文件中应明确扬尘污染防治目标要求，建设工程施工合同中应明确施工单位扬尘防治职责，并与施工单位签订扬尘防治责任书；应将建设工程施工现场扬尘污染防治费用列入工程概预算、招标文件工程量清单和施工合同，实行专款专用。</w:t>
      </w:r>
    </w:p>
    <w:p>
      <w:pPr>
        <w:pStyle w:val="6"/>
        <w:ind w:firstLine="480"/>
        <w:rPr>
          <w:rFonts w:ascii="Times New Roman" w:cs="Times New Roman"/>
        </w:rPr>
      </w:pPr>
      <w:r>
        <w:rPr>
          <w:rFonts w:ascii="Times New Roman" w:cs="Times New Roman"/>
        </w:rPr>
        <w:t>施工扬尘量随管理手段的提高而降低，如果管理措施得当，扬尘量将降低70～80%，大大减少对环境的影响。本项目在施工过程中，在落实以上措施的同时，应注意加强对施工队伍的管理，如建立施工规章制度，由通过IS014000认证的单位施工等。</w:t>
      </w:r>
    </w:p>
    <w:p>
      <w:pPr>
        <w:pStyle w:val="6"/>
        <w:ind w:firstLine="482"/>
        <w:rPr>
          <w:rFonts w:ascii="Times New Roman" w:cs="Times New Roman"/>
          <w:b/>
        </w:rPr>
      </w:pPr>
      <w:bookmarkStart w:id="608" w:name="_Toc12288793"/>
      <w:r>
        <w:rPr>
          <w:rFonts w:ascii="Times New Roman" w:cs="Times New Roman"/>
          <w:b/>
        </w:rPr>
        <w:t>（2）施工机械（柴油机）排放尾气</w:t>
      </w:r>
      <w:bookmarkEnd w:id="608"/>
    </w:p>
    <w:p>
      <w:pPr>
        <w:pStyle w:val="6"/>
        <w:ind w:firstLine="480"/>
        <w:rPr>
          <w:rFonts w:ascii="Times New Roman" w:cs="Times New Roman"/>
        </w:rPr>
      </w:pPr>
      <w:bookmarkStart w:id="609" w:name="_Hlk41407154"/>
      <w:r>
        <w:rPr>
          <w:rFonts w:ascii="Times New Roman" w:cs="Times New Roman"/>
        </w:rPr>
        <w:t>对于施工机械（柴油机）排放的尾气，污染源本身排放量较小，并具有间歇性和短期性，</w:t>
      </w:r>
      <w:bookmarkStart w:id="610" w:name="_Hlk41462172"/>
      <w:r>
        <w:rPr>
          <w:rFonts w:ascii="Times New Roman" w:cs="Times New Roman"/>
        </w:rPr>
        <w:t>施工过程中应加强大型施工机械和车辆管理，工程承包商的机械设备应配备相应的消烟除尘设备</w:t>
      </w:r>
      <w:bookmarkEnd w:id="610"/>
      <w:r>
        <w:rPr>
          <w:rFonts w:ascii="Times New Roman" w:cs="Times New Roman"/>
        </w:rPr>
        <w:t>；定期检查、维修，确保施工机械和车辆各项环保指标符合尾气排放要求；应采用优质、污染小的燃油，因此不会对周围环境造成很大的污染。</w:t>
      </w:r>
    </w:p>
    <w:p>
      <w:pPr>
        <w:pStyle w:val="6"/>
        <w:ind w:firstLine="482"/>
        <w:rPr>
          <w:rFonts w:ascii="Times New Roman" w:cs="Times New Roman"/>
          <w:b/>
        </w:rPr>
      </w:pPr>
      <w:r>
        <w:rPr>
          <w:rFonts w:ascii="Times New Roman" w:cs="Times New Roman"/>
          <w:b/>
        </w:rPr>
        <w:t>（</w:t>
      </w:r>
      <w:r>
        <w:rPr>
          <w:rFonts w:hint="eastAsia" w:ascii="Times New Roman" w:cs="Times New Roman"/>
          <w:b/>
        </w:rPr>
        <w:t>3</w:t>
      </w:r>
      <w:r>
        <w:rPr>
          <w:rFonts w:ascii="Times New Roman" w:cs="Times New Roman"/>
          <w:b/>
        </w:rPr>
        <w:t>）</w:t>
      </w:r>
      <w:r>
        <w:rPr>
          <w:rFonts w:hint="eastAsia" w:ascii="Times New Roman" w:cs="Times New Roman"/>
          <w:b/>
        </w:rPr>
        <w:t>气体钻粉尘</w:t>
      </w:r>
    </w:p>
    <w:p>
      <w:pPr>
        <w:pStyle w:val="6"/>
        <w:ind w:firstLine="480"/>
        <w:rPr>
          <w:bCs/>
        </w:rPr>
      </w:pPr>
      <w:r>
        <w:rPr>
          <w:rFonts w:ascii="Times New Roman" w:cs="Times New Roman"/>
        </w:rPr>
        <w:t>对于</w:t>
      </w:r>
      <w:r>
        <w:t>本工程</w:t>
      </w:r>
      <w:r>
        <w:rPr>
          <w:bCs/>
        </w:rPr>
        <w:t>使用气体钻时会返出一定量的粉尘，从而导致周围空气粉尘</w:t>
      </w:r>
      <w:r>
        <w:rPr>
          <w:rFonts w:hint="eastAsia"/>
          <w:bCs/>
        </w:rPr>
        <w:t>量</w:t>
      </w:r>
      <w:r>
        <w:rPr>
          <w:bCs/>
        </w:rPr>
        <w:t>增加。本项目在气体钻的排</w:t>
      </w:r>
      <w:r>
        <w:rPr>
          <w:rFonts w:hint="eastAsia"/>
          <w:bCs/>
        </w:rPr>
        <w:t>屑</w:t>
      </w:r>
      <w:r>
        <w:rPr>
          <w:bCs/>
        </w:rPr>
        <w:t>管</w:t>
      </w:r>
      <w:r>
        <w:rPr>
          <w:rFonts w:hint="eastAsia"/>
          <w:bCs/>
        </w:rPr>
        <w:t>处</w:t>
      </w:r>
      <w:r>
        <w:rPr>
          <w:bCs/>
        </w:rPr>
        <w:t>喷淋降尘</w:t>
      </w:r>
      <w:r>
        <w:rPr>
          <w:rFonts w:hint="eastAsia"/>
          <w:bCs/>
        </w:rPr>
        <w:t>，</w:t>
      </w:r>
      <w:r>
        <w:rPr>
          <w:bCs/>
        </w:rPr>
        <w:t>同时产生的污水及泥</w:t>
      </w:r>
      <w:r>
        <w:rPr>
          <w:rFonts w:hint="eastAsia"/>
          <w:bCs/>
        </w:rPr>
        <w:t>砂</w:t>
      </w:r>
      <w:r>
        <w:rPr>
          <w:bCs/>
        </w:rPr>
        <w:t>进入</w:t>
      </w:r>
      <w:r>
        <w:rPr>
          <w:rFonts w:hint="eastAsia"/>
          <w:bCs/>
        </w:rPr>
        <w:t>清洁化操作平台处理</w:t>
      </w:r>
      <w:r>
        <w:rPr>
          <w:bCs/>
        </w:rPr>
        <w:t>。</w:t>
      </w:r>
      <w:r>
        <w:rPr>
          <w:rFonts w:hint="eastAsia"/>
          <w:bCs/>
        </w:rPr>
        <w:t>由于</w:t>
      </w:r>
      <w:r>
        <w:rPr>
          <w:bCs/>
        </w:rPr>
        <w:t>产生的粉尘量小，</w:t>
      </w:r>
      <w:r>
        <w:rPr>
          <w:rFonts w:hint="eastAsia"/>
          <w:bCs/>
        </w:rPr>
        <w:t>因此</w:t>
      </w:r>
      <w:r>
        <w:rPr>
          <w:bCs/>
        </w:rPr>
        <w:t>对周围环境影响较小</w:t>
      </w:r>
      <w:r>
        <w:rPr>
          <w:rFonts w:hint="eastAsia"/>
          <w:bCs/>
        </w:rPr>
        <w:t>。</w:t>
      </w:r>
    </w:p>
    <w:p>
      <w:pPr>
        <w:pStyle w:val="6"/>
        <w:ind w:firstLine="482"/>
        <w:rPr>
          <w:rFonts w:ascii="Times New Roman" w:cs="Times New Roman"/>
          <w:b/>
          <w:bCs/>
        </w:rPr>
      </w:pPr>
      <w:r>
        <w:rPr>
          <w:rFonts w:hint="eastAsia" w:ascii="Times New Roman" w:cs="Times New Roman"/>
          <w:b/>
          <w:bCs/>
        </w:rPr>
        <w:t>（4）测试放喷废气</w:t>
      </w:r>
    </w:p>
    <w:p>
      <w:pPr>
        <w:pStyle w:val="6"/>
        <w:ind w:firstLine="480"/>
        <w:rPr>
          <w:rFonts w:ascii="Times New Roman" w:cs="Times New Roman"/>
          <w:bCs/>
        </w:rPr>
      </w:pPr>
      <w:r>
        <w:rPr>
          <w:rFonts w:hint="eastAsia" w:ascii="Times New Roman" w:cs="Times New Roman"/>
          <w:bCs/>
        </w:rPr>
        <w:t>本项目测试放喷通过专用的放喷管线将天然气引至放喷池进行点火燃烧，放喷池周围设置</w:t>
      </w:r>
      <w:r>
        <w:rPr>
          <w:rFonts w:ascii="Times New Roman" w:cs="Times New Roman"/>
          <w:bCs/>
        </w:rPr>
        <w:t>3面挡墙，高度3.5m</w:t>
      </w:r>
      <w:r>
        <w:rPr>
          <w:rFonts w:hint="eastAsia" w:ascii="Times New Roman" w:cs="Times New Roman"/>
          <w:bCs/>
        </w:rPr>
        <w:t>，可有效减小热辐射对测试区周围植被的灼伤。放喷池周边植被主要为农作物及少量的杂草，均为常见植被，周围地势空旷便于燃烧热值扩散，一般</w:t>
      </w:r>
      <w:r>
        <w:rPr>
          <w:rFonts w:ascii="Times New Roman" w:cs="Times New Roman"/>
          <w:bCs/>
        </w:rPr>
        <w:t>情况下，放喷对植被的影响可自行恢复</w:t>
      </w:r>
      <w:r>
        <w:rPr>
          <w:rFonts w:hint="eastAsia" w:ascii="Times New Roman" w:cs="Times New Roman"/>
          <w:bCs/>
        </w:rPr>
        <w:t>。测试放喷对放喷口周围植被产生的灼烧影响是暂时的，可逆的，测试完后一定时间内可恢复。并且在放喷测试前已对放喷池周围植被进行清理，因此测试放喷热污染不会影响到清理范围外的植被。</w:t>
      </w:r>
    </w:p>
    <w:p>
      <w:pPr>
        <w:pStyle w:val="6"/>
        <w:ind w:firstLine="480"/>
        <w:rPr>
          <w:rFonts w:ascii="Times New Roman" w:cs="Times New Roman"/>
        </w:rPr>
      </w:pPr>
      <w:r>
        <w:rPr>
          <w:rFonts w:ascii="Times New Roman" w:cs="Times New Roman"/>
          <w:bCs/>
        </w:rPr>
        <w:t>本项目测试放喷</w:t>
      </w:r>
      <w:r>
        <w:rPr>
          <w:rFonts w:hint="eastAsia" w:ascii="Times New Roman" w:cs="Times New Roman"/>
          <w:bCs/>
        </w:rPr>
        <w:t>在昼间进行，且</w:t>
      </w:r>
      <w:r>
        <w:rPr>
          <w:rFonts w:ascii="Times New Roman" w:cs="Times New Roman"/>
          <w:bCs/>
        </w:rPr>
        <w:t>时间较短（类比同类钻井，一般测试时间为1d</w:t>
      </w:r>
      <w:r>
        <w:rPr>
          <w:rFonts w:hint="eastAsia" w:ascii="Times New Roman" w:cs="Times New Roman"/>
          <w:bCs/>
        </w:rPr>
        <w:t>～</w:t>
      </w:r>
      <w:r>
        <w:rPr>
          <w:rFonts w:ascii="Times New Roman" w:cs="Times New Roman"/>
          <w:bCs/>
        </w:rPr>
        <w:t>2d，每次4h</w:t>
      </w:r>
      <w:r>
        <w:rPr>
          <w:rFonts w:hint="eastAsia" w:ascii="Times New Roman" w:cs="Times New Roman"/>
          <w:bCs/>
        </w:rPr>
        <w:t>～</w:t>
      </w:r>
      <w:r>
        <w:rPr>
          <w:rFonts w:ascii="Times New Roman" w:cs="Times New Roman"/>
          <w:bCs/>
        </w:rPr>
        <w:t>6</w:t>
      </w:r>
      <w:r>
        <w:rPr>
          <w:rFonts w:hint="eastAsia" w:ascii="Times New Roman" w:cs="Times New Roman"/>
          <w:bCs/>
        </w:rPr>
        <w:t>h</w:t>
      </w:r>
      <w:r>
        <w:rPr>
          <w:rFonts w:ascii="Times New Roman" w:cs="Times New Roman"/>
          <w:bCs/>
        </w:rPr>
        <w:t>），燃烧后主要污染物为</w:t>
      </w:r>
      <w:r>
        <w:rPr>
          <w:rFonts w:hint="eastAsia" w:ascii="Times New Roman" w:cs="Times New Roman"/>
          <w:bCs/>
        </w:rPr>
        <w:t>C</w:t>
      </w:r>
      <w:r>
        <w:rPr>
          <w:rFonts w:ascii="Times New Roman" w:cs="Times New Roman"/>
          <w:bCs/>
        </w:rPr>
        <w:t>O</w:t>
      </w:r>
      <w:r>
        <w:rPr>
          <w:rFonts w:ascii="Times New Roman" w:cs="Times New Roman"/>
          <w:bCs/>
          <w:vertAlign w:val="subscript"/>
        </w:rPr>
        <w:t>2</w:t>
      </w:r>
      <w:r>
        <w:rPr>
          <w:rFonts w:ascii="Times New Roman" w:cs="Times New Roman"/>
          <w:bCs/>
        </w:rPr>
        <w:t>。</w:t>
      </w:r>
      <w:r>
        <w:rPr>
          <w:rFonts w:hint="eastAsia" w:ascii="Times New Roman" w:cs="Times New Roman"/>
          <w:bCs/>
        </w:rPr>
        <w:t>测试放喷</w:t>
      </w:r>
      <w:r>
        <w:rPr>
          <w:rFonts w:ascii="Times New Roman" w:cs="Times New Roman"/>
          <w:bCs/>
        </w:rPr>
        <w:t>所产生的污染物产生量较小，并将随测试放喷的结束而消除，故对环境空气影响较小。</w:t>
      </w:r>
    </w:p>
    <w:bookmarkEnd w:id="609"/>
    <w:p>
      <w:pPr>
        <w:pStyle w:val="112"/>
        <w:ind w:firstLine="482"/>
        <w:rPr>
          <w:b/>
        </w:rPr>
      </w:pPr>
      <w:bookmarkStart w:id="611" w:name="_Toc12288794"/>
      <w:r>
        <w:rPr>
          <w:b/>
        </w:rPr>
        <w:t>2、废水染防治措施</w:t>
      </w:r>
      <w:bookmarkEnd w:id="611"/>
    </w:p>
    <w:p>
      <w:pPr>
        <w:pStyle w:val="6"/>
        <w:ind w:firstLine="480"/>
        <w:rPr>
          <w:rFonts w:ascii="Times New Roman" w:cs="Times New Roman"/>
        </w:rPr>
      </w:pPr>
      <w:r>
        <w:rPr>
          <w:rFonts w:ascii="Times New Roman" w:cs="Times New Roman"/>
        </w:rPr>
        <w:t>施工期废水主要来自施工人员在施工作业中产生的生活污水、管道安装完后试压中排放的废水及施工废水</w:t>
      </w:r>
      <w:r>
        <w:rPr>
          <w:rFonts w:hint="eastAsia"/>
        </w:rPr>
        <w:t>、井场施工废水、初期雨水、钻井废水、压裂、洗井废水</w:t>
      </w:r>
      <w:r>
        <w:rPr>
          <w:rFonts w:ascii="Times New Roman" w:cs="Times New Roman"/>
        </w:rPr>
        <w:t>。</w:t>
      </w:r>
    </w:p>
    <w:p>
      <w:pPr>
        <w:pStyle w:val="6"/>
        <w:ind w:firstLine="482"/>
        <w:rPr>
          <w:rFonts w:ascii="Times New Roman" w:cs="Times New Roman"/>
          <w:b/>
        </w:rPr>
      </w:pPr>
      <w:bookmarkStart w:id="612" w:name="_Toc12288795"/>
      <w:r>
        <w:rPr>
          <w:rFonts w:ascii="Times New Roman" w:cs="Times New Roman"/>
          <w:b/>
        </w:rPr>
        <w:t>（1）生活污水</w:t>
      </w:r>
      <w:bookmarkEnd w:id="612"/>
    </w:p>
    <w:p>
      <w:pPr>
        <w:pStyle w:val="6"/>
        <w:ind w:firstLine="480"/>
        <w:rPr>
          <w:rFonts w:ascii="Times New Roman" w:cs="Times New Roman"/>
        </w:rPr>
      </w:pPr>
      <w:r>
        <w:rPr>
          <w:rFonts w:hint="eastAsia" w:ascii="Times New Roman" w:cs="Times New Roman"/>
        </w:rPr>
        <w:t>本</w:t>
      </w:r>
      <w:r>
        <w:rPr>
          <w:rFonts w:ascii="Times New Roman" w:cs="Times New Roman"/>
        </w:rPr>
        <w:t>项目施工期不单独设置施工营地，</w:t>
      </w:r>
      <w:r>
        <w:rPr>
          <w:spacing w:val="-8"/>
          <w:szCs w:val="21"/>
        </w:rPr>
        <w:t>施工期管线施工人员生活污水依托租用附近居民房收集处理</w:t>
      </w:r>
      <w:r>
        <w:rPr>
          <w:rFonts w:hint="eastAsia"/>
          <w:spacing w:val="-8"/>
          <w:szCs w:val="21"/>
        </w:rPr>
        <w:t>，井</w:t>
      </w:r>
      <w:r>
        <w:rPr>
          <w:spacing w:val="-8"/>
          <w:szCs w:val="21"/>
        </w:rPr>
        <w:t>场施工</w:t>
      </w:r>
      <w:r>
        <w:rPr>
          <w:rFonts w:hint="eastAsia"/>
          <w:spacing w:val="-8"/>
          <w:szCs w:val="21"/>
          <w:lang w:eastAsia="zh-CN"/>
        </w:rPr>
        <w:t>如厕</w:t>
      </w:r>
      <w:r>
        <w:rPr>
          <w:spacing w:val="-8"/>
          <w:szCs w:val="21"/>
        </w:rPr>
        <w:t>生活污水</w:t>
      </w:r>
      <w:r>
        <w:rPr>
          <w:rFonts w:hint="eastAsia"/>
          <w:spacing w:val="-8"/>
          <w:szCs w:val="21"/>
        </w:rPr>
        <w:t>依托</w:t>
      </w:r>
      <w:r>
        <w:rPr>
          <w:spacing w:val="-8"/>
          <w:szCs w:val="21"/>
        </w:rPr>
        <w:t>经</w:t>
      </w:r>
      <w:r>
        <w:rPr>
          <w:bCs/>
          <w:spacing w:val="-8"/>
          <w:szCs w:val="21"/>
        </w:rPr>
        <w:t>生态环保厕所收集处理</w:t>
      </w:r>
      <w:r>
        <w:rPr>
          <w:spacing w:val="-8"/>
          <w:szCs w:val="21"/>
        </w:rPr>
        <w:t>后，用作周边农肥，不外排</w:t>
      </w:r>
      <w:r>
        <w:rPr>
          <w:rFonts w:hint="eastAsia"/>
          <w:spacing w:val="-8"/>
          <w:szCs w:val="21"/>
        </w:rPr>
        <w:t>，员工洗澡、食堂废水经单独收集后拉运至黄金镇场镇污水处理厂处理</w:t>
      </w:r>
      <w:r>
        <w:rPr>
          <w:rFonts w:ascii="Times New Roman" w:cs="Times New Roman"/>
        </w:rPr>
        <w:t>。</w:t>
      </w:r>
    </w:p>
    <w:p>
      <w:pPr>
        <w:pStyle w:val="6"/>
        <w:ind w:firstLine="480"/>
        <w:rPr>
          <w:rFonts w:ascii="Times New Roman" w:cs="Times New Roman"/>
        </w:rPr>
      </w:pPr>
      <w:r>
        <w:rPr>
          <w:rFonts w:ascii="Times New Roman" w:cs="Times New Roman"/>
        </w:rPr>
        <w:t>项目施工分段进行，具有较大分散性，局部</w:t>
      </w:r>
      <w:r>
        <w:rPr>
          <w:rFonts w:hint="eastAsia" w:ascii="Times New Roman" w:cs="Times New Roman"/>
        </w:rPr>
        <w:t>产生</w:t>
      </w:r>
      <w:r>
        <w:rPr>
          <w:rFonts w:ascii="Times New Roman" w:cs="Times New Roman"/>
        </w:rPr>
        <w:t>量小，生活污水经上述措施处理完全可行、有效。</w:t>
      </w:r>
    </w:p>
    <w:p>
      <w:pPr>
        <w:pStyle w:val="6"/>
        <w:ind w:firstLine="482"/>
        <w:rPr>
          <w:rFonts w:ascii="Times New Roman" w:cs="Times New Roman"/>
          <w:b/>
        </w:rPr>
      </w:pPr>
      <w:bookmarkStart w:id="613" w:name="_Toc12288796"/>
      <w:r>
        <w:rPr>
          <w:rFonts w:ascii="Times New Roman" w:cs="Times New Roman"/>
          <w:b/>
        </w:rPr>
        <w:t>（2）试压废水</w:t>
      </w:r>
      <w:bookmarkEnd w:id="613"/>
    </w:p>
    <w:p>
      <w:pPr>
        <w:pStyle w:val="112"/>
        <w:ind w:firstLine="480"/>
      </w:pPr>
      <w:r>
        <w:t>清管试压废水主要含铁锈和泥沙等杂质，排放量相对较少，同时废水中主要含少量铁锈、焊渣和泥砂，因此，根据国内其它管线建设经验，试压废水根据周围地形和环境条件，设置沉淀池沉淀后</w:t>
      </w:r>
      <w:r>
        <w:rPr>
          <w:rFonts w:hint="eastAsia"/>
        </w:rPr>
        <w:t>回用，不外排</w:t>
      </w:r>
      <w:r>
        <w:t>，排放时尽量避免排水造成局部土壤流失和污染。为减少对水资源的浪费，在清管试压过程中尽量收集好此股废水，</w:t>
      </w:r>
      <w:r>
        <w:rPr>
          <w:rFonts w:hint="eastAsia"/>
        </w:rPr>
        <w:t>全部</w:t>
      </w:r>
      <w:r>
        <w:t>重复使用，同时杜绝废水排放，避免造成局部土壤流失。</w:t>
      </w:r>
    </w:p>
    <w:p>
      <w:pPr>
        <w:pStyle w:val="6"/>
        <w:ind w:firstLine="482"/>
        <w:rPr>
          <w:rFonts w:ascii="Times New Roman" w:cs="Times New Roman"/>
          <w:b/>
        </w:rPr>
      </w:pPr>
      <w:r>
        <w:rPr>
          <w:rFonts w:ascii="Times New Roman" w:cs="Times New Roman"/>
          <w:b/>
        </w:rPr>
        <w:t>（3）</w:t>
      </w:r>
      <w:r>
        <w:rPr>
          <w:rFonts w:hint="eastAsia" w:ascii="Times New Roman" w:cs="Times New Roman"/>
          <w:b/>
        </w:rPr>
        <w:t>井场</w:t>
      </w:r>
      <w:r>
        <w:rPr>
          <w:rFonts w:ascii="Times New Roman" w:cs="Times New Roman"/>
          <w:b/>
        </w:rPr>
        <w:t>施工废水</w:t>
      </w:r>
    </w:p>
    <w:p>
      <w:pPr>
        <w:pStyle w:val="6"/>
        <w:ind w:firstLine="480"/>
        <w:rPr>
          <w:rFonts w:ascii="Times New Roman" w:cs="Times New Roman"/>
        </w:rPr>
      </w:pPr>
      <w:r>
        <w:rPr>
          <w:rFonts w:hint="eastAsia" w:ascii="Times New Roman" w:cs="Times New Roman"/>
        </w:rPr>
        <w:t>井场</w:t>
      </w:r>
      <w:r>
        <w:rPr>
          <w:rFonts w:ascii="Times New Roman" w:cs="Times New Roman"/>
        </w:rPr>
        <w:t>施工废水</w:t>
      </w:r>
      <w:r>
        <w:rPr>
          <w:rFonts w:hint="eastAsia" w:ascii="Times New Roman" w:cs="Times New Roman"/>
        </w:rPr>
        <w:t>经</w:t>
      </w:r>
      <w:r>
        <w:rPr>
          <w:rFonts w:ascii="Times New Roman" w:cs="Times New Roman"/>
        </w:rPr>
        <w:t>沉淀后回用洒水，禁止未经处理直接外排。</w:t>
      </w:r>
    </w:p>
    <w:p>
      <w:pPr>
        <w:pStyle w:val="6"/>
        <w:ind w:firstLine="482"/>
        <w:rPr>
          <w:rFonts w:ascii="Times New Roman" w:cs="Times New Roman"/>
          <w:b/>
        </w:rPr>
      </w:pPr>
      <w:r>
        <w:rPr>
          <w:rFonts w:ascii="Times New Roman" w:cs="Times New Roman"/>
          <w:b/>
        </w:rPr>
        <w:t>（</w:t>
      </w:r>
      <w:r>
        <w:rPr>
          <w:rFonts w:hint="eastAsia" w:ascii="Times New Roman" w:cs="Times New Roman"/>
          <w:b/>
        </w:rPr>
        <w:t>4</w:t>
      </w:r>
      <w:r>
        <w:rPr>
          <w:rFonts w:ascii="Times New Roman" w:cs="Times New Roman"/>
          <w:b/>
        </w:rPr>
        <w:t>）</w:t>
      </w:r>
      <w:r>
        <w:rPr>
          <w:rFonts w:hint="eastAsia" w:ascii="Times New Roman" w:cs="Times New Roman"/>
          <w:b/>
        </w:rPr>
        <w:t>初期雨水</w:t>
      </w:r>
    </w:p>
    <w:p>
      <w:pPr>
        <w:pStyle w:val="6"/>
        <w:ind w:firstLine="480"/>
        <w:rPr>
          <w:rFonts w:ascii="Times New Roman"/>
        </w:rPr>
      </w:pPr>
      <w:r>
        <w:rPr>
          <w:rFonts w:ascii="Times New Roman"/>
        </w:rPr>
        <w:t>井场内四周设排水边沟，井场雨水随四周排水边沟汇至排放口，排放口设监控池，初期雨水收集进入</w:t>
      </w:r>
      <w:r>
        <w:rPr>
          <w:rFonts w:hint="eastAsia" w:ascii="Times New Roman"/>
        </w:rPr>
        <w:t>清洁化操作平台，与</w:t>
      </w:r>
      <w:r>
        <w:rPr>
          <w:rFonts w:ascii="Times New Roman"/>
        </w:rPr>
        <w:t>钻井废水一同</w:t>
      </w:r>
      <w:r>
        <w:rPr>
          <w:rFonts w:hint="eastAsia" w:ascii="Times New Roman"/>
        </w:rPr>
        <w:t>经清洁化操作平台处理后</w:t>
      </w:r>
      <w:r>
        <w:rPr>
          <w:rFonts w:ascii="Times New Roman"/>
        </w:rPr>
        <w:t>由罐车拉运至毛开1井回注标准后回注，不外排。</w:t>
      </w:r>
    </w:p>
    <w:p>
      <w:pPr>
        <w:pStyle w:val="6"/>
        <w:ind w:firstLine="482"/>
        <w:rPr>
          <w:rFonts w:ascii="Times New Roman" w:cs="Times New Roman"/>
          <w:b/>
        </w:rPr>
      </w:pPr>
      <w:r>
        <w:rPr>
          <w:rFonts w:ascii="Times New Roman" w:cs="Times New Roman"/>
          <w:b/>
        </w:rPr>
        <w:t>（</w:t>
      </w:r>
      <w:r>
        <w:rPr>
          <w:rFonts w:hint="eastAsia" w:ascii="Times New Roman" w:cs="Times New Roman"/>
          <w:b/>
        </w:rPr>
        <w:t>5</w:t>
      </w:r>
      <w:r>
        <w:rPr>
          <w:rFonts w:ascii="Times New Roman" w:cs="Times New Roman"/>
          <w:b/>
        </w:rPr>
        <w:t>）</w:t>
      </w:r>
      <w:r>
        <w:rPr>
          <w:rFonts w:hint="eastAsia" w:ascii="Times New Roman" w:cs="Times New Roman"/>
          <w:b/>
        </w:rPr>
        <w:t>钻井废水</w:t>
      </w:r>
    </w:p>
    <w:p>
      <w:pPr>
        <w:pStyle w:val="6"/>
        <w:ind w:firstLine="480"/>
        <w:rPr>
          <w:rFonts w:ascii="Times New Roman"/>
        </w:rPr>
      </w:pPr>
      <w:r>
        <w:rPr>
          <w:rFonts w:ascii="Times New Roman"/>
        </w:rPr>
        <w:t>钻井废水</w:t>
      </w:r>
      <w:r>
        <w:rPr>
          <w:rFonts w:hint="eastAsia" w:ascii="Times New Roman"/>
        </w:rPr>
        <w:t>经清洁化操作平台</w:t>
      </w:r>
      <w:r>
        <w:rPr>
          <w:rFonts w:ascii="Times New Roman"/>
        </w:rPr>
        <w:t>预处理后达到毛开1井回注标准后，拉运至毛开1井回注</w:t>
      </w:r>
      <w:r>
        <w:rPr>
          <w:rFonts w:hint="eastAsia" w:ascii="Times New Roman"/>
        </w:rPr>
        <w:t>。</w:t>
      </w:r>
    </w:p>
    <w:p>
      <w:pPr>
        <w:pStyle w:val="6"/>
        <w:ind w:firstLine="482"/>
        <w:rPr>
          <w:rFonts w:ascii="Times New Roman" w:cs="Times New Roman"/>
          <w:b/>
        </w:rPr>
      </w:pPr>
      <w:r>
        <w:rPr>
          <w:rFonts w:ascii="Times New Roman" w:cs="Times New Roman"/>
          <w:b/>
        </w:rPr>
        <w:t>（</w:t>
      </w:r>
      <w:r>
        <w:rPr>
          <w:rFonts w:hint="eastAsia" w:ascii="Times New Roman" w:cs="Times New Roman"/>
          <w:b/>
        </w:rPr>
        <w:t>6</w:t>
      </w:r>
      <w:r>
        <w:rPr>
          <w:rFonts w:ascii="Times New Roman" w:cs="Times New Roman"/>
          <w:b/>
        </w:rPr>
        <w:t>）</w:t>
      </w:r>
      <w:r>
        <w:rPr>
          <w:rFonts w:hint="eastAsia" w:ascii="Times New Roman" w:cs="Times New Roman"/>
          <w:b/>
        </w:rPr>
        <w:t>压裂、洗井废水</w:t>
      </w:r>
    </w:p>
    <w:p>
      <w:pPr>
        <w:pStyle w:val="6"/>
        <w:ind w:firstLine="480"/>
        <w:rPr>
          <w:rFonts w:ascii="Times New Roman" w:cs="Times New Roman"/>
        </w:rPr>
      </w:pPr>
      <w:r>
        <w:rPr>
          <w:rFonts w:ascii="Times New Roman"/>
        </w:rPr>
        <w:t>压裂废水和洗井废水暂存于现有污水池，并及时装车拉运至大湾403污水站处理达标后管输至毛开1井回注站回注</w:t>
      </w:r>
      <w:r>
        <w:rPr>
          <w:rFonts w:hint="eastAsia" w:ascii="Times New Roman"/>
        </w:rPr>
        <w:t>。</w:t>
      </w:r>
    </w:p>
    <w:p>
      <w:pPr>
        <w:pStyle w:val="6"/>
        <w:ind w:firstLine="482"/>
        <w:rPr>
          <w:rFonts w:ascii="Times New Roman" w:cs="Times New Roman"/>
          <w:b/>
        </w:rPr>
      </w:pPr>
      <w:bookmarkStart w:id="614" w:name="_Toc12288797"/>
      <w:r>
        <w:rPr>
          <w:rFonts w:ascii="Times New Roman" w:cs="Times New Roman"/>
          <w:b/>
        </w:rPr>
        <w:t>3、固体废物</w:t>
      </w:r>
      <w:r>
        <w:rPr>
          <w:rFonts w:hint="eastAsia" w:ascii="Times New Roman" w:cs="Times New Roman"/>
          <w:b/>
          <w:lang w:eastAsia="zh-CN"/>
        </w:rPr>
        <w:t>污</w:t>
      </w:r>
      <w:r>
        <w:rPr>
          <w:rFonts w:ascii="Times New Roman" w:cs="Times New Roman"/>
          <w:b/>
        </w:rPr>
        <w:t>染防治措施</w:t>
      </w:r>
      <w:bookmarkEnd w:id="614"/>
    </w:p>
    <w:p>
      <w:pPr>
        <w:pStyle w:val="6"/>
        <w:ind w:firstLine="480"/>
        <w:rPr>
          <w:rFonts w:ascii="Times New Roman" w:cs="Times New Roman"/>
        </w:rPr>
      </w:pPr>
      <w:r>
        <w:rPr>
          <w:rFonts w:ascii="Times New Roman" w:cs="Times New Roman"/>
        </w:rPr>
        <w:t>施工期产生的固体废物主要为生活垃圾、施工废料、</w:t>
      </w:r>
      <w:r>
        <w:rPr>
          <w:rFonts w:hint="eastAsia"/>
        </w:rPr>
        <w:t>土石方、</w:t>
      </w:r>
      <w:r>
        <w:t>钻井岩屑</w:t>
      </w:r>
      <w:r>
        <w:rPr>
          <w:rFonts w:hint="eastAsia"/>
        </w:rPr>
        <w:t>、</w:t>
      </w:r>
      <w:r>
        <w:t>废泥浆</w:t>
      </w:r>
      <w:r>
        <w:rPr>
          <w:rFonts w:hint="eastAsia"/>
        </w:rPr>
        <w:t>、废油</w:t>
      </w:r>
      <w:r>
        <w:t>等</w:t>
      </w:r>
      <w:r>
        <w:rPr>
          <w:rFonts w:ascii="Times New Roman" w:cs="Times New Roman"/>
        </w:rPr>
        <w:t>。</w:t>
      </w:r>
    </w:p>
    <w:p>
      <w:pPr>
        <w:pStyle w:val="6"/>
        <w:ind w:firstLine="482"/>
        <w:rPr>
          <w:rFonts w:ascii="Times New Roman" w:cs="Times New Roman"/>
          <w:b/>
          <w:bCs/>
        </w:rPr>
      </w:pPr>
      <w:bookmarkStart w:id="615" w:name="_Toc12288798"/>
      <w:r>
        <w:rPr>
          <w:rFonts w:ascii="Times New Roman" w:cs="Times New Roman"/>
          <w:b/>
          <w:bCs/>
        </w:rPr>
        <w:t>（1）生活垃圾</w:t>
      </w:r>
      <w:bookmarkEnd w:id="615"/>
    </w:p>
    <w:p>
      <w:pPr>
        <w:pStyle w:val="6"/>
        <w:ind w:firstLine="480"/>
        <w:rPr>
          <w:rFonts w:ascii="Times New Roman" w:cs="Times New Roman"/>
        </w:rPr>
      </w:pPr>
      <w:r>
        <w:rPr>
          <w:rFonts w:ascii="Times New Roman" w:cs="Times New Roman"/>
        </w:rPr>
        <w:t>施工期产生的生活垃圾具有较大的分散性，且持续时间短。施工人员生活垃圾</w:t>
      </w:r>
      <w:r>
        <w:rPr>
          <w:rFonts w:hint="eastAsia" w:ascii="Times New Roman" w:cs="Times New Roman"/>
        </w:rPr>
        <w:t>经垃圾收集</w:t>
      </w:r>
      <w:r>
        <w:rPr>
          <w:rFonts w:ascii="Times New Roman" w:cs="Times New Roman"/>
        </w:rPr>
        <w:t>设施收集，统一按当地环卫部门要求处置。本次环评要求：在河流周围200m范围内不得随意向河流倾倒生活垃圾等固体废物。</w:t>
      </w:r>
    </w:p>
    <w:p>
      <w:pPr>
        <w:pStyle w:val="6"/>
        <w:ind w:firstLine="482"/>
        <w:rPr>
          <w:rFonts w:ascii="Times New Roman" w:cs="Times New Roman"/>
          <w:b/>
          <w:bCs/>
        </w:rPr>
      </w:pPr>
      <w:bookmarkStart w:id="616" w:name="_Toc12288799"/>
      <w:r>
        <w:rPr>
          <w:rFonts w:ascii="Times New Roman" w:cs="Times New Roman"/>
          <w:b/>
          <w:bCs/>
        </w:rPr>
        <w:t>（2）</w:t>
      </w:r>
      <w:bookmarkEnd w:id="616"/>
      <w:r>
        <w:rPr>
          <w:rFonts w:hint="eastAsia" w:ascii="Times New Roman" w:cs="Times New Roman"/>
          <w:b/>
          <w:bCs/>
        </w:rPr>
        <w:t>土石方</w:t>
      </w:r>
    </w:p>
    <w:p>
      <w:pPr>
        <w:pStyle w:val="6"/>
        <w:ind w:firstLine="480"/>
        <w:rPr>
          <w:rFonts w:ascii="Times New Roman" w:cs="Times New Roman"/>
        </w:rPr>
      </w:pPr>
      <w:r>
        <w:rPr>
          <w:rFonts w:ascii="Times New Roman" w:cs="Times New Roman"/>
        </w:rPr>
        <w:t>施工过程中产生的弃土主要为管道在陆地开挖敷设时会产生泥土和碎石。项目管沟开挖施工土石方挖填平衡，无外运弃渣，不设置弃渣场。</w:t>
      </w:r>
      <w:r>
        <w:rPr>
          <w:rFonts w:hint="eastAsia" w:ascii="Times New Roman" w:cs="Times New Roman"/>
        </w:rPr>
        <w:t xml:space="preserve"> </w:t>
      </w:r>
    </w:p>
    <w:p>
      <w:pPr>
        <w:pStyle w:val="6"/>
        <w:ind w:firstLine="480"/>
        <w:rPr>
          <w:rFonts w:ascii="Times New Roman" w:cs="Times New Roman"/>
        </w:rPr>
      </w:pPr>
      <w:r>
        <w:rPr>
          <w:rFonts w:ascii="Times New Roman" w:cs="Times New Roman"/>
        </w:rPr>
        <w:t>在耕作区开挖时，熟土（表层耕作土）和生土（下层土）分开堆放，管沟回填按生、熟土顺序填放，保护耕作层。回填后，管沟上方留有自然沉降余量（高出地面0.3～0.5m），多余土方就近平整。</w:t>
      </w:r>
    </w:p>
    <w:p>
      <w:pPr>
        <w:pStyle w:val="6"/>
        <w:ind w:firstLine="482"/>
        <w:rPr>
          <w:rFonts w:ascii="Times New Roman" w:cs="Times New Roman"/>
          <w:b/>
        </w:rPr>
      </w:pPr>
      <w:bookmarkStart w:id="617" w:name="_Toc12288800"/>
      <w:r>
        <w:rPr>
          <w:rFonts w:ascii="Times New Roman" w:cs="Times New Roman"/>
          <w:b/>
        </w:rPr>
        <w:t>（3）施工废料</w:t>
      </w:r>
      <w:bookmarkEnd w:id="617"/>
    </w:p>
    <w:p>
      <w:pPr>
        <w:pStyle w:val="6"/>
        <w:ind w:firstLine="480"/>
        <w:rPr>
          <w:rFonts w:ascii="Times New Roman" w:cs="Times New Roman"/>
        </w:rPr>
      </w:pPr>
      <w:r>
        <w:rPr>
          <w:rFonts w:ascii="Times New Roman" w:cs="Times New Roman"/>
        </w:rPr>
        <w:t>施工废料主要包括焊接作业中产生的废焊条及施工过程中产生的废混凝土等。施工结束后应及时清理施工材料和施工垃圾，并做好河岸的护坡防护，减少对水环境的污染。施工废料部分回收利用，剩余废料依托当地环卫部门处置。</w:t>
      </w:r>
    </w:p>
    <w:p>
      <w:pPr>
        <w:pStyle w:val="6"/>
        <w:ind w:firstLine="482"/>
        <w:rPr>
          <w:rFonts w:ascii="Times New Roman" w:cs="Times New Roman"/>
          <w:b/>
        </w:rPr>
      </w:pPr>
      <w:r>
        <w:rPr>
          <w:rFonts w:ascii="Times New Roman" w:cs="Times New Roman"/>
          <w:b/>
        </w:rPr>
        <w:t>（</w:t>
      </w:r>
      <w:r>
        <w:rPr>
          <w:rFonts w:hint="eastAsia" w:ascii="Times New Roman" w:cs="Times New Roman"/>
          <w:b/>
        </w:rPr>
        <w:t>4</w:t>
      </w:r>
      <w:r>
        <w:rPr>
          <w:rFonts w:ascii="Times New Roman" w:cs="Times New Roman"/>
          <w:b/>
        </w:rPr>
        <w:t>）钻井岩屑</w:t>
      </w:r>
    </w:p>
    <w:p>
      <w:pPr>
        <w:pStyle w:val="551"/>
        <w:ind w:firstLine="480"/>
        <w:rPr>
          <w:rFonts w:ascii="Times New Roman" w:hAnsi="Times New Roman"/>
        </w:rPr>
      </w:pPr>
      <w:r>
        <w:rPr>
          <w:rFonts w:ascii="Times New Roman"/>
        </w:rPr>
        <w:t>本项目采取清洁化操作平台</w:t>
      </w:r>
      <w:r>
        <w:rPr>
          <w:bCs/>
          <w:spacing w:val="10"/>
        </w:rPr>
        <w:t>，并采取泥浆不落地措施</w:t>
      </w:r>
      <w:r>
        <w:rPr>
          <w:rFonts w:ascii="Times New Roman"/>
        </w:rPr>
        <w:t>，</w:t>
      </w:r>
      <w:r>
        <w:rPr>
          <w:rFonts w:hint="eastAsia" w:ascii="Times New Roman"/>
        </w:rPr>
        <w:t>水基</w:t>
      </w:r>
      <w:r>
        <w:rPr>
          <w:rFonts w:ascii="Times New Roman"/>
        </w:rPr>
        <w:t>岩屑按照《达州市生态环境局办公室关于</w:t>
      </w:r>
      <w:r>
        <w:rPr>
          <w:rFonts w:hint="eastAsia" w:ascii="Times New Roman"/>
        </w:rPr>
        <w:t>进一步</w:t>
      </w:r>
      <w:r>
        <w:rPr>
          <w:rFonts w:ascii="Times New Roman"/>
        </w:rPr>
        <w:t>加强固体废物污染防治工作的通知》（达市环办发〔</w:t>
      </w:r>
      <w:r>
        <w:rPr>
          <w:rFonts w:ascii="Times New Roman" w:hAnsi="Times New Roman"/>
        </w:rPr>
        <w:t>20</w:t>
      </w:r>
      <w:r>
        <w:rPr>
          <w:rFonts w:hint="eastAsia" w:ascii="Times New Roman" w:hAnsi="Times New Roman"/>
        </w:rPr>
        <w:t>21</w:t>
      </w:r>
      <w:r>
        <w:rPr>
          <w:rFonts w:ascii="Times New Roman"/>
        </w:rPr>
        <w:t>〕</w:t>
      </w:r>
      <w:r>
        <w:rPr>
          <w:rFonts w:hint="eastAsia" w:ascii="Times New Roman" w:hAnsi="Times New Roman"/>
        </w:rPr>
        <w:t>24</w:t>
      </w:r>
      <w:r>
        <w:rPr>
          <w:rFonts w:ascii="Times New Roman"/>
        </w:rPr>
        <w:t>号）要求，就近交给依法取得生态环境部门关于利用和处置相关工业固体废物项目环评批复、具有处理处置相应固体废物能力并配套建设有废气、废水、固废等污染物治理设施的单位</w:t>
      </w:r>
      <w:r>
        <w:rPr>
          <w:rFonts w:hint="eastAsia" w:ascii="Times New Roman"/>
        </w:rPr>
        <w:t>进行资源化利用，</w:t>
      </w:r>
      <w:r>
        <w:rPr>
          <w:rFonts w:hint="eastAsia" w:ascii="Times New Roman"/>
          <w:color w:val="FF0000"/>
        </w:rPr>
        <w:t>评价要求本项目实施前需提前签订处理协议</w:t>
      </w:r>
      <w:r>
        <w:rPr>
          <w:rFonts w:hint="eastAsia" w:ascii="Times New Roman"/>
        </w:rPr>
        <w:t>；油基岩屑</w:t>
      </w:r>
      <w:r>
        <w:t>属危险废物（</w:t>
      </w:r>
      <w:r>
        <w:rPr>
          <w:rFonts w:ascii="Times New Roman" w:hAnsi="Times New Roman"/>
        </w:rPr>
        <w:t>HW08</w:t>
      </w:r>
      <w:r>
        <w:rPr>
          <w:rFonts w:ascii="Times New Roman"/>
        </w:rPr>
        <w:t>废矿物油与含矿物油废物</w:t>
      </w:r>
      <w:r>
        <w:t>）</w:t>
      </w:r>
      <w:r>
        <w:rPr>
          <w:rFonts w:hint="eastAsia"/>
        </w:rPr>
        <w:t>，</w:t>
      </w:r>
      <w:r>
        <w:rPr>
          <w:rFonts w:hint="eastAsia" w:ascii="Times New Roman"/>
        </w:rPr>
        <w:t>存于危废暂存间，</w:t>
      </w:r>
      <w:r>
        <w:rPr>
          <w:rFonts w:hint="eastAsia" w:ascii="Times New Roman"/>
          <w:color w:val="FF0000"/>
        </w:rPr>
        <w:t>定期交由资质单位转移和处置</w:t>
      </w:r>
      <w:r>
        <w:rPr>
          <w:rFonts w:ascii="Times New Roman"/>
        </w:rPr>
        <w:t>。</w:t>
      </w:r>
    </w:p>
    <w:p>
      <w:pPr>
        <w:pStyle w:val="112"/>
        <w:ind w:firstLine="482"/>
        <w:rPr>
          <w:b/>
          <w:bCs/>
        </w:rPr>
      </w:pPr>
      <w:r>
        <w:rPr>
          <w:rFonts w:hint="eastAsia"/>
          <w:b/>
          <w:bCs/>
        </w:rPr>
        <w:t>（5）废泥浆</w:t>
      </w:r>
    </w:p>
    <w:p>
      <w:pPr>
        <w:pStyle w:val="551"/>
        <w:ind w:firstLine="480"/>
        <w:rPr>
          <w:rFonts w:ascii="Times New Roman" w:hAnsi="Times New Roman"/>
        </w:rPr>
      </w:pPr>
      <w:r>
        <w:rPr>
          <w:rFonts w:ascii="Times New Roman"/>
        </w:rPr>
        <w:t>废弃泥浆采用清洁化操作平台，并采取泥浆不落地措施</w:t>
      </w:r>
      <w:r>
        <w:rPr>
          <w:rFonts w:hint="eastAsia" w:ascii="Times New Roman"/>
        </w:rPr>
        <w:t>，废水基</w:t>
      </w:r>
      <w:r>
        <w:rPr>
          <w:rFonts w:ascii="Times New Roman"/>
        </w:rPr>
        <w:t>泥浆按照《达州市生态环境局办公室关于</w:t>
      </w:r>
      <w:r>
        <w:rPr>
          <w:rFonts w:hint="eastAsia" w:ascii="Times New Roman"/>
        </w:rPr>
        <w:t>进一步</w:t>
      </w:r>
      <w:r>
        <w:rPr>
          <w:rFonts w:ascii="Times New Roman"/>
        </w:rPr>
        <w:t>加强固体废物污染防治工作的通知》（达市环办发〔</w:t>
      </w:r>
      <w:r>
        <w:rPr>
          <w:rFonts w:ascii="Times New Roman" w:hAnsi="Times New Roman"/>
        </w:rPr>
        <w:t>20</w:t>
      </w:r>
      <w:r>
        <w:rPr>
          <w:rFonts w:hint="eastAsia" w:ascii="Times New Roman" w:hAnsi="Times New Roman"/>
        </w:rPr>
        <w:t>21</w:t>
      </w:r>
      <w:r>
        <w:rPr>
          <w:rFonts w:ascii="Times New Roman"/>
        </w:rPr>
        <w:t>〕</w:t>
      </w:r>
      <w:r>
        <w:rPr>
          <w:rFonts w:hint="eastAsia" w:ascii="Times New Roman" w:hAnsi="Times New Roman"/>
        </w:rPr>
        <w:t>24</w:t>
      </w:r>
      <w:r>
        <w:rPr>
          <w:rFonts w:ascii="Times New Roman"/>
        </w:rPr>
        <w:t>号）要求，就近交给依法取得生态环境部门关于利用和处置相关工业固体废物项目环评批复、具有处理处置相应固体废物能力并配套建设有废气、废水、固废等污染物治理设施的单位</w:t>
      </w:r>
      <w:r>
        <w:rPr>
          <w:rFonts w:hint="eastAsia" w:ascii="Times New Roman"/>
        </w:rPr>
        <w:t>进行资源化利用，</w:t>
      </w:r>
      <w:r>
        <w:rPr>
          <w:rFonts w:hint="eastAsia" w:ascii="Times New Roman"/>
          <w:color w:val="FF0000"/>
        </w:rPr>
        <w:t>评价要求本项目实施前需提前签订处理协议</w:t>
      </w:r>
      <w:r>
        <w:rPr>
          <w:rFonts w:hint="eastAsia" w:ascii="Times New Roman"/>
        </w:rPr>
        <w:t>；废油基泥浆</w:t>
      </w:r>
      <w:r>
        <w:t>属危险废物（</w:t>
      </w:r>
      <w:r>
        <w:rPr>
          <w:rFonts w:ascii="Times New Roman" w:hAnsi="Times New Roman"/>
        </w:rPr>
        <w:t>HW08</w:t>
      </w:r>
      <w:r>
        <w:rPr>
          <w:rFonts w:ascii="Times New Roman"/>
        </w:rPr>
        <w:t>废矿物油与含矿物油废物</w:t>
      </w:r>
      <w:r>
        <w:t>）</w:t>
      </w:r>
      <w:r>
        <w:rPr>
          <w:rFonts w:hint="eastAsia"/>
        </w:rPr>
        <w:t>，</w:t>
      </w:r>
      <w:r>
        <w:rPr>
          <w:rFonts w:hint="eastAsia" w:ascii="Times New Roman"/>
        </w:rPr>
        <w:t>存于危废暂存间，</w:t>
      </w:r>
      <w:r>
        <w:rPr>
          <w:rFonts w:hint="eastAsia" w:ascii="Times New Roman"/>
          <w:color w:val="FF0000"/>
        </w:rPr>
        <w:t>定期交由资质单位转移和处置</w:t>
      </w:r>
      <w:r>
        <w:rPr>
          <w:rFonts w:ascii="Times New Roman"/>
        </w:rPr>
        <w:t>。</w:t>
      </w:r>
    </w:p>
    <w:p>
      <w:pPr>
        <w:pStyle w:val="112"/>
        <w:ind w:firstLine="482"/>
        <w:rPr>
          <w:b/>
          <w:bCs/>
        </w:rPr>
      </w:pPr>
      <w:r>
        <w:rPr>
          <w:rFonts w:hint="eastAsia"/>
          <w:b/>
          <w:bCs/>
        </w:rPr>
        <w:t>（6）</w:t>
      </w:r>
      <w:r>
        <w:rPr>
          <w:rFonts w:hint="eastAsia"/>
          <w:b/>
        </w:rPr>
        <w:t>废油</w:t>
      </w:r>
    </w:p>
    <w:p>
      <w:pPr>
        <w:pStyle w:val="6"/>
        <w:ind w:firstLine="480"/>
        <w:rPr>
          <w:rFonts w:ascii="Times New Roman" w:cs="Times New Roman"/>
        </w:rPr>
      </w:pPr>
      <w:r>
        <w:rPr>
          <w:rFonts w:ascii="Times New Roman" w:cs="Times New Roman"/>
        </w:rPr>
        <w:t>钻井过程中废油暂存于危废暂存间，面积约</w:t>
      </w:r>
      <w:r>
        <w:rPr>
          <w:rFonts w:hint="eastAsia" w:ascii="Times New Roman" w:cs="Times New Roman"/>
        </w:rPr>
        <w:t>10</w:t>
      </w:r>
      <w:r>
        <w:rPr>
          <w:rFonts w:ascii="Times New Roman" w:cs="Times New Roman"/>
        </w:rPr>
        <w:t>m</w:t>
      </w:r>
      <w:r>
        <w:rPr>
          <w:rFonts w:ascii="Times New Roman" w:cs="Times New Roman"/>
          <w:vertAlign w:val="superscript"/>
        </w:rPr>
        <w:t>2</w:t>
      </w:r>
      <w:r>
        <w:rPr>
          <w:rFonts w:ascii="Times New Roman" w:cs="Times New Roman"/>
        </w:rPr>
        <w:t>，暂存间地面采取</w:t>
      </w:r>
      <w:r>
        <w:rPr>
          <w:rFonts w:hint="eastAsia" w:ascii="Times New Roman" w:cs="Times New Roman"/>
          <w:color w:val="0000FF"/>
        </w:rPr>
        <w:t>六防措施（防风、防雨、防晒、防渗、防漏、防腐）</w:t>
      </w:r>
      <w:r>
        <w:rPr>
          <w:rFonts w:ascii="Times New Roman" w:cs="Times New Roman"/>
        </w:rPr>
        <w:t>，并及时清运至企业净化厂危险废物贮存仓库（运距约20km），定期送有资质单位处理。废油属危险废物（《国家危险废物名录》（2021年1月1日）中HW08废矿物油与含矿物油废物），由有危险废物处置资质的单位代为处置。本项目对废油的收集、贮存和运输应满足《危险废物收集 贮存 运输技术规范》（HJ 2025-2012）的相关规定，建设单位做好钻井固废转移记录。</w:t>
      </w:r>
    </w:p>
    <w:p>
      <w:pPr>
        <w:pStyle w:val="6"/>
        <w:ind w:firstLine="482"/>
        <w:rPr>
          <w:rFonts w:ascii="Times New Roman" w:cs="Times New Roman"/>
          <w:b/>
        </w:rPr>
      </w:pPr>
      <w:bookmarkStart w:id="618" w:name="_Toc12288801"/>
      <w:r>
        <w:rPr>
          <w:rFonts w:ascii="Times New Roman" w:cs="Times New Roman"/>
          <w:b/>
        </w:rPr>
        <w:t>4、噪声防治措施</w:t>
      </w:r>
      <w:bookmarkEnd w:id="618"/>
    </w:p>
    <w:p>
      <w:pPr>
        <w:pStyle w:val="6"/>
        <w:ind w:firstLine="482"/>
        <w:rPr>
          <w:rFonts w:ascii="Times New Roman" w:cs="Times New Roman"/>
          <w:b/>
        </w:rPr>
      </w:pPr>
      <w:r>
        <w:rPr>
          <w:rFonts w:hint="eastAsia" w:ascii="Times New Roman" w:cs="Times New Roman"/>
          <w:b/>
        </w:rPr>
        <w:t>4.1站场、管道施工</w:t>
      </w:r>
    </w:p>
    <w:p>
      <w:pPr>
        <w:pStyle w:val="6"/>
        <w:ind w:firstLine="480"/>
        <w:rPr>
          <w:rFonts w:ascii="Times New Roman" w:cs="Times New Roman"/>
        </w:rPr>
      </w:pPr>
      <w:r>
        <w:rPr>
          <w:rFonts w:ascii="Times New Roman" w:cs="Times New Roman"/>
        </w:rPr>
        <w:t>施工期噪声源主要来自施工作业机械，如挖掘机、电焊机、推土机等，其强度在85～105dB</w:t>
      </w:r>
      <w:r>
        <w:rPr>
          <w:rFonts w:hint="eastAsia" w:ascii="Times New Roman" w:cs="Times New Roman"/>
        </w:rPr>
        <w:t>（</w:t>
      </w:r>
      <w:r>
        <w:rPr>
          <w:rFonts w:ascii="Times New Roman" w:cs="Times New Roman"/>
        </w:rPr>
        <w:t>A</w:t>
      </w:r>
      <w:r>
        <w:rPr>
          <w:rFonts w:hint="eastAsia" w:ascii="Times New Roman" w:cs="Times New Roman"/>
        </w:rPr>
        <w:t>）</w:t>
      </w:r>
      <w:r>
        <w:rPr>
          <w:rFonts w:ascii="Times New Roman" w:cs="Times New Roman"/>
        </w:rPr>
        <w:t>。施工期拟采取如下噪声防治措施：</w:t>
      </w:r>
    </w:p>
    <w:p>
      <w:pPr>
        <w:pStyle w:val="6"/>
        <w:ind w:firstLine="480"/>
        <w:rPr>
          <w:rFonts w:ascii="Times New Roman" w:cs="Times New Roman"/>
        </w:rPr>
      </w:pPr>
      <w:r>
        <w:rPr>
          <w:rFonts w:ascii="Times New Roman" w:cs="Times New Roman"/>
        </w:rPr>
        <w:t>（1）施工单位必须选用符合国家有关标准的施工机具和运输车辆，尽量选用低噪声的施工机械和工艺，振动较大的固定机械设备应加装减振机座，同时加强各类施工设备的维护和保养，保持其良好的工况，以便从根本上降低噪声源强。</w:t>
      </w:r>
    </w:p>
    <w:p>
      <w:pPr>
        <w:pStyle w:val="6"/>
        <w:ind w:firstLine="480"/>
        <w:rPr>
          <w:rFonts w:ascii="Times New Roman" w:cs="Times New Roman"/>
        </w:rPr>
      </w:pPr>
      <w:r>
        <w:rPr>
          <w:rFonts w:ascii="Times New Roman" w:cs="Times New Roman"/>
        </w:rPr>
        <w:t>（2）在离居民区较近的地方施工，应严格执行当地政府控制规定，严禁在晚上10时至次日6时进行高噪声施工，夜间施工应向有关部门申请，批准后才能根据规定施工。</w:t>
      </w:r>
    </w:p>
    <w:p>
      <w:pPr>
        <w:pStyle w:val="6"/>
        <w:ind w:firstLine="480"/>
        <w:rPr>
          <w:rFonts w:ascii="Times New Roman" w:cs="Times New Roman"/>
        </w:rPr>
      </w:pPr>
      <w:r>
        <w:rPr>
          <w:rFonts w:ascii="Times New Roman" w:cs="Times New Roman"/>
        </w:rPr>
        <w:t>（3）在施工中严格控制作业时间，根据具体情况，合理安排施工时间，提高操作水平，与周围居民做好沟通工作，减少对敏感地点的影响，防止发生噪声扰民现象。</w:t>
      </w:r>
    </w:p>
    <w:p>
      <w:pPr>
        <w:pStyle w:val="6"/>
        <w:ind w:firstLine="480"/>
        <w:rPr>
          <w:rFonts w:ascii="Times New Roman" w:cs="Times New Roman"/>
        </w:rPr>
      </w:pPr>
      <w:r>
        <w:rPr>
          <w:rFonts w:ascii="Times New Roman" w:cs="Times New Roman"/>
        </w:rPr>
        <w:t>（4）运输车辆应尽可能减少鸣号，尤其是在晚间和午休时间。</w:t>
      </w:r>
    </w:p>
    <w:p>
      <w:pPr>
        <w:pStyle w:val="6"/>
        <w:ind w:firstLine="480"/>
        <w:rPr>
          <w:rFonts w:ascii="Times New Roman" w:cs="Times New Roman"/>
        </w:rPr>
      </w:pPr>
      <w:r>
        <w:rPr>
          <w:rFonts w:ascii="Times New Roman" w:cs="Times New Roman"/>
        </w:rPr>
        <w:t>（5）合理布局施工现场，避免在同一地点安排大量动力机械设备，以免局部声级过高。</w:t>
      </w:r>
    </w:p>
    <w:p>
      <w:pPr>
        <w:pStyle w:val="6"/>
        <w:ind w:firstLine="480"/>
        <w:rPr>
          <w:rFonts w:ascii="Times New Roman" w:cs="Times New Roman"/>
        </w:rPr>
      </w:pPr>
      <w:r>
        <w:rPr>
          <w:rFonts w:ascii="Times New Roman" w:cs="Times New Roman"/>
        </w:rPr>
        <w:t>（6）施工沿线居民集中点设挡声板。</w:t>
      </w:r>
    </w:p>
    <w:p>
      <w:pPr>
        <w:pStyle w:val="6"/>
        <w:ind w:firstLine="482"/>
        <w:rPr>
          <w:rFonts w:ascii="Times New Roman" w:cs="Times New Roman"/>
          <w:b/>
        </w:rPr>
      </w:pPr>
      <w:r>
        <w:rPr>
          <w:rFonts w:hint="eastAsia" w:ascii="Times New Roman" w:cs="Times New Roman"/>
          <w:b/>
        </w:rPr>
        <w:t>4.2钻井施工</w:t>
      </w:r>
    </w:p>
    <w:p>
      <w:pPr>
        <w:pStyle w:val="6"/>
        <w:ind w:firstLine="480"/>
        <w:rPr>
          <w:rFonts w:ascii="Times New Roman" w:cs="Times New Roman"/>
        </w:rPr>
      </w:pPr>
      <w:r>
        <w:rPr>
          <w:rFonts w:ascii="Times New Roman" w:cs="Times New Roman"/>
        </w:rPr>
        <w:t>合理布置高噪声设备；选用低噪声设备如网电钻井；泥浆泵安装弹性垫料；对周边500m范围内无关人员进行临时疏散</w:t>
      </w:r>
      <w:r>
        <w:rPr>
          <w:rFonts w:hint="eastAsia" w:ascii="Times New Roman" w:cs="Times New Roman"/>
        </w:rPr>
        <w:t>。</w:t>
      </w:r>
    </w:p>
    <w:p>
      <w:pPr>
        <w:widowControl/>
        <w:topLinePunct w:val="0"/>
        <w:adjustRightInd/>
        <w:ind w:firstLine="0" w:firstLineChars="0"/>
        <w:jc w:val="left"/>
        <w:rPr>
          <w:rFonts w:ascii="Times New Roman" w:cs="Times New Roman"/>
        </w:rPr>
        <w:sectPr>
          <w:headerReference r:id="rId40" w:type="first"/>
          <w:footerReference r:id="rId43" w:type="first"/>
          <w:headerReference r:id="rId38" w:type="default"/>
          <w:footerReference r:id="rId41" w:type="default"/>
          <w:headerReference r:id="rId39" w:type="even"/>
          <w:footerReference r:id="rId42" w:type="even"/>
          <w:pgSz w:w="11910" w:h="16840"/>
          <w:pgMar w:top="1440" w:right="1800" w:bottom="1440" w:left="1800" w:header="885" w:footer="1025" w:gutter="0"/>
          <w:cols w:space="720" w:num="1"/>
          <w:docGrid w:linePitch="326" w:charSpace="0"/>
        </w:sectPr>
      </w:pPr>
    </w:p>
    <w:p>
      <w:pPr>
        <w:pStyle w:val="3"/>
        <w:spacing w:before="120"/>
        <w:rPr>
          <w:rFonts w:cs="Times New Roman"/>
        </w:rPr>
      </w:pPr>
      <w:bookmarkStart w:id="619" w:name="bookmark73"/>
      <w:bookmarkEnd w:id="619"/>
      <w:bookmarkStart w:id="620" w:name="_Toc12288807"/>
      <w:bookmarkStart w:id="621" w:name="_Toc19816128"/>
      <w:bookmarkStart w:id="622" w:name="_Toc81515306"/>
      <w:r>
        <w:rPr>
          <w:rFonts w:cs="Times New Roman"/>
        </w:rPr>
        <w:t>8.2 营运期的环境保护措施</w:t>
      </w:r>
      <w:bookmarkEnd w:id="620"/>
      <w:bookmarkEnd w:id="621"/>
      <w:bookmarkEnd w:id="622"/>
    </w:p>
    <w:p>
      <w:pPr>
        <w:pStyle w:val="4"/>
        <w:rPr>
          <w:rFonts w:eastAsia="宋体"/>
        </w:rPr>
      </w:pPr>
      <w:bookmarkStart w:id="623" w:name="_Toc19816129"/>
      <w:bookmarkStart w:id="624" w:name="_Toc12288808"/>
      <w:r>
        <w:rPr>
          <w:rFonts w:eastAsia="宋体"/>
        </w:rPr>
        <w:t>8.2.1 废气防治措施</w:t>
      </w:r>
      <w:bookmarkEnd w:id="623"/>
      <w:bookmarkEnd w:id="624"/>
    </w:p>
    <w:p>
      <w:pPr>
        <w:pStyle w:val="112"/>
        <w:ind w:firstLine="482"/>
        <w:rPr>
          <w:b/>
          <w:bCs/>
        </w:rPr>
      </w:pPr>
      <w:bookmarkStart w:id="625" w:name="_Toc12288809"/>
      <w:r>
        <w:rPr>
          <w:b/>
          <w:bCs/>
        </w:rPr>
        <w:t>1、正常工况</w:t>
      </w:r>
    </w:p>
    <w:p>
      <w:pPr>
        <w:pStyle w:val="112"/>
        <w:ind w:firstLine="480"/>
      </w:pPr>
      <w:r>
        <w:t>根据本项目所提供的设计资料，本项目正常生产时，天然气处于完全密闭系统内，无废气产生和排放。主要废气为水套炉燃料燃烧产生的废气。</w:t>
      </w:r>
    </w:p>
    <w:p>
      <w:pPr>
        <w:pStyle w:val="112"/>
        <w:ind w:firstLine="480"/>
      </w:pPr>
      <w:r>
        <w:t>由于输气管道敷设在地下，进行密闭输送，管道进行了防腐处理，在正常情况下，不会有废气排放，不会对大气环境造成不利影响。</w:t>
      </w:r>
    </w:p>
    <w:p>
      <w:pPr>
        <w:pStyle w:val="112"/>
        <w:ind w:firstLine="480"/>
      </w:pPr>
      <w:r>
        <w:t>项目正常工况下排放废气主要为</w:t>
      </w:r>
      <w:r>
        <w:rPr>
          <w:rFonts w:hint="eastAsia"/>
        </w:rPr>
        <w:t>普陆4集气平台</w:t>
      </w:r>
      <w:r>
        <w:t>水套炉燃气废气，主要污染物为氮氧化物，经设备自带的8m高排气筒排放，不会对周边环境空气影响较小。</w:t>
      </w:r>
    </w:p>
    <w:p>
      <w:pPr>
        <w:pStyle w:val="112"/>
        <w:ind w:firstLine="482"/>
        <w:rPr>
          <w:b/>
          <w:bCs/>
        </w:rPr>
      </w:pPr>
      <w:r>
        <w:rPr>
          <w:b/>
          <w:bCs/>
        </w:rPr>
        <w:t>2、非正常工况</w:t>
      </w:r>
    </w:p>
    <w:p>
      <w:pPr>
        <w:pStyle w:val="112"/>
        <w:ind w:firstLine="480"/>
      </w:pPr>
      <w:r>
        <w:t>项目非正常工况下，</w:t>
      </w:r>
      <w:r>
        <w:rPr>
          <w:rFonts w:hint="eastAsia"/>
        </w:rPr>
        <w:t>在事故或检修放空期间会产生放空废气，事故或检修放空</w:t>
      </w:r>
      <w:r>
        <w:t>次数极少，发生的频率约为1次/年，每次持续时间约1h。排放的</w:t>
      </w:r>
      <w:r>
        <w:rPr>
          <w:rFonts w:hint="eastAsia"/>
        </w:rPr>
        <w:t>废气</w:t>
      </w:r>
      <w:r>
        <w:t>经新建放空火炬燃烧后排放。</w:t>
      </w:r>
      <w:r>
        <w:rPr>
          <w:rFonts w:hint="eastAsia"/>
        </w:rPr>
        <w:t>事故或检修放空</w:t>
      </w:r>
      <w:r>
        <w:t>时产生的污染物绝对量很低，加之各站外环境较为空旷、有利于废气扩散</w:t>
      </w:r>
      <w:r>
        <w:rPr>
          <w:rFonts w:hint="eastAsia"/>
        </w:rPr>
        <w:t>，放空时疏散</w:t>
      </w:r>
      <w:r>
        <w:t>附近的居民</w:t>
      </w:r>
      <w:r>
        <w:rPr>
          <w:rFonts w:hint="eastAsia"/>
        </w:rPr>
        <w:t>，对大气环境影响小</w:t>
      </w:r>
      <w:r>
        <w:t>。</w:t>
      </w:r>
    </w:p>
    <w:p>
      <w:pPr>
        <w:pStyle w:val="112"/>
        <w:ind w:firstLine="480"/>
      </w:pPr>
      <w:r>
        <w:t>当管线发生破裂事故，其泄漏的天然气进行大气环境中，会对大气环境造成一定的影响，但是泄漏事故发生概率较小，泄漏量较少，泄漏时间较短，若发生泄漏</w:t>
      </w:r>
      <w:r>
        <w:rPr>
          <w:rFonts w:hint="eastAsia"/>
        </w:rPr>
        <w:t>，</w:t>
      </w:r>
      <w:r>
        <w:t>及时</w:t>
      </w:r>
      <w:r>
        <w:rPr>
          <w:rFonts w:hint="eastAsia"/>
        </w:rPr>
        <w:t>疏散</w:t>
      </w:r>
      <w:r>
        <w:t>附近的居民</w:t>
      </w:r>
      <w:r>
        <w:rPr>
          <w:rFonts w:hint="eastAsia"/>
        </w:rPr>
        <w:t>，</w:t>
      </w:r>
      <w:r>
        <w:t>不会对大气环境造成严重不利影响。</w:t>
      </w:r>
    </w:p>
    <w:bookmarkEnd w:id="625"/>
    <w:p>
      <w:pPr>
        <w:pStyle w:val="4"/>
        <w:rPr>
          <w:rFonts w:eastAsia="宋体"/>
        </w:rPr>
      </w:pPr>
      <w:bookmarkStart w:id="626" w:name="_Toc19816130"/>
      <w:bookmarkStart w:id="627" w:name="_Toc12288811"/>
      <w:r>
        <w:rPr>
          <w:rFonts w:eastAsia="宋体"/>
        </w:rPr>
        <w:t>8.2.2 废水防治措施</w:t>
      </w:r>
      <w:bookmarkEnd w:id="626"/>
      <w:bookmarkEnd w:id="627"/>
    </w:p>
    <w:p>
      <w:pPr>
        <w:pStyle w:val="112"/>
        <w:ind w:firstLine="482"/>
        <w:rPr>
          <w:b/>
          <w:bCs/>
        </w:rPr>
      </w:pPr>
      <w:r>
        <w:rPr>
          <w:b/>
          <w:bCs/>
        </w:rPr>
        <w:t>1、管线对地表水的影响</w:t>
      </w:r>
    </w:p>
    <w:p>
      <w:pPr>
        <w:pStyle w:val="112"/>
        <w:ind w:firstLine="480"/>
      </w:pPr>
      <w:r>
        <w:t>正常工况下，由于输气管线是全封闭系统，输运的天然气不会与</w:t>
      </w:r>
      <w:r>
        <w:rPr>
          <w:rFonts w:hint="eastAsia"/>
        </w:rPr>
        <w:t>项目附近地表水</w:t>
      </w:r>
      <w:r>
        <w:t>水体之间发生联系，采用外防腐层和强制电流阴极保护联合方式，如</w:t>
      </w:r>
      <w:r>
        <w:rPr>
          <w:rFonts w:hint="eastAsia"/>
        </w:rPr>
        <w:t>不</w:t>
      </w:r>
      <w:r>
        <w:t>发生泄漏事故，正常运营期对</w:t>
      </w:r>
      <w:r>
        <w:rPr>
          <w:rFonts w:hint="eastAsia"/>
        </w:rPr>
        <w:t>地表水</w:t>
      </w:r>
      <w:r>
        <w:t>不会造成影响；在发生泄漏事故时，由于天然气中以CH</w:t>
      </w:r>
      <w:r>
        <w:rPr>
          <w:vertAlign w:val="subscript"/>
        </w:rPr>
        <w:t>4</w:t>
      </w:r>
      <w:r>
        <w:t>为主，在水中的溶解度极低，因此对水环境基本无影响。</w:t>
      </w:r>
    </w:p>
    <w:p>
      <w:pPr>
        <w:pStyle w:val="112"/>
        <w:ind w:firstLine="482"/>
        <w:rPr>
          <w:b/>
          <w:bCs/>
        </w:rPr>
      </w:pPr>
      <w:r>
        <w:rPr>
          <w:b/>
          <w:bCs/>
        </w:rPr>
        <w:t>2、水污染源及排放情况</w:t>
      </w:r>
    </w:p>
    <w:p>
      <w:pPr>
        <w:pStyle w:val="112"/>
        <w:ind w:firstLine="480"/>
      </w:pPr>
      <w:r>
        <w:rPr>
          <w:rFonts w:hint="eastAsia"/>
        </w:rPr>
        <w:t>普陆4集气平台</w:t>
      </w:r>
      <w:r>
        <w:t>为</w:t>
      </w:r>
      <w:r>
        <w:rPr>
          <w:rFonts w:hint="eastAsia"/>
        </w:rPr>
        <w:t>有</w:t>
      </w:r>
      <w:r>
        <w:t>人值守集气站</w:t>
      </w:r>
      <w:r>
        <w:rPr>
          <w:rFonts w:hint="eastAsia"/>
        </w:rPr>
        <w:t>，</w:t>
      </w:r>
      <w:r>
        <w:t>运营期</w:t>
      </w:r>
      <w:r>
        <w:rPr>
          <w:rFonts w:hint="eastAsia"/>
        </w:rPr>
        <w:t>主要有气田水和</w:t>
      </w:r>
      <w:r>
        <w:t>生活污水产生。</w:t>
      </w:r>
    </w:p>
    <w:p>
      <w:pPr>
        <w:pStyle w:val="112"/>
        <w:ind w:firstLine="480"/>
      </w:pPr>
      <w:r>
        <w:rPr>
          <w:szCs w:val="22"/>
        </w:rPr>
        <w:t>本项目运营期产生的气田水</w:t>
      </w:r>
      <w:r>
        <w:rPr>
          <w:rFonts w:hint="eastAsia"/>
          <w:szCs w:val="22"/>
        </w:rPr>
        <w:t>暂存于污水缓冲罐</w:t>
      </w:r>
      <w:r>
        <w:rPr>
          <w:szCs w:val="22"/>
        </w:rPr>
        <w:t>，然后通过密闭罐车拉运至大湾403污水站处理达到《气田水回注方法》（SY/T 6596</w:t>
      </w:r>
      <w:r>
        <w:rPr>
          <w:rFonts w:hint="eastAsia"/>
          <w:szCs w:val="22"/>
        </w:rPr>
        <w:t>-</w:t>
      </w:r>
      <w:r>
        <w:rPr>
          <w:szCs w:val="22"/>
        </w:rPr>
        <w:t>2016）中注入水基本要求后管输至毛开1井回注站回注处理，不外排</w:t>
      </w:r>
      <w:r>
        <w:rPr>
          <w:rFonts w:hint="eastAsia"/>
          <w:szCs w:val="22"/>
        </w:rPr>
        <w:t>；值守</w:t>
      </w:r>
      <w:r>
        <w:rPr>
          <w:szCs w:val="22"/>
        </w:rPr>
        <w:t>人员生活</w:t>
      </w:r>
      <w:r>
        <w:rPr>
          <w:rFonts w:hint="eastAsia"/>
          <w:szCs w:val="22"/>
        </w:rPr>
        <w:t>污水经</w:t>
      </w:r>
      <w:r>
        <w:rPr>
          <w:szCs w:val="22"/>
        </w:rPr>
        <w:t>生态环保厕所收集后，用作周边农肥，不外排</w:t>
      </w:r>
      <w:r>
        <w:t>。</w:t>
      </w:r>
    </w:p>
    <w:p>
      <w:pPr>
        <w:pStyle w:val="4"/>
        <w:rPr>
          <w:rFonts w:eastAsia="宋体"/>
        </w:rPr>
      </w:pPr>
      <w:bookmarkStart w:id="628" w:name="_Toc12288812"/>
      <w:bookmarkStart w:id="629" w:name="_Toc19816131"/>
      <w:r>
        <w:rPr>
          <w:rFonts w:eastAsia="宋体"/>
        </w:rPr>
        <w:t>8.2.3 声环境防治措施</w:t>
      </w:r>
      <w:bookmarkEnd w:id="628"/>
      <w:bookmarkEnd w:id="629"/>
    </w:p>
    <w:p>
      <w:pPr>
        <w:pStyle w:val="112"/>
        <w:ind w:firstLine="480"/>
      </w:pPr>
      <w:bookmarkStart w:id="630" w:name="_Toc12288813"/>
      <w:bookmarkStart w:id="631" w:name="_Toc19816132"/>
      <w:r>
        <w:t>本项目输气管道采用埋地敷设，在正常生产过程中不会产生噪声污染。本项目</w:t>
      </w:r>
      <w:r>
        <w:rPr>
          <w:rFonts w:hint="eastAsia"/>
        </w:rPr>
        <w:t>普陆4集气平台</w:t>
      </w:r>
      <w:r>
        <w:t>站场选址远离集中居民区，合理布局，控制气体流速，并在工艺设计中考虑减少站场工艺管线的弯头、三通等管件，降低输气站内的噪声</w:t>
      </w:r>
      <w:r>
        <w:rPr>
          <w:rFonts w:hint="eastAsia"/>
        </w:rPr>
        <w:t>，放空时及时疏散附近居民</w:t>
      </w:r>
      <w:r>
        <w:t>。采用上述措施后，站场场界能满足《工业企业厂界噪声排放标准》（GB12348-2008）2类标准限值，所采用措施具有经济技术可行性，对周边声环境影响较小。</w:t>
      </w:r>
    </w:p>
    <w:p>
      <w:pPr>
        <w:pStyle w:val="4"/>
        <w:rPr>
          <w:rFonts w:eastAsia="宋体"/>
        </w:rPr>
      </w:pPr>
      <w:r>
        <w:rPr>
          <w:rFonts w:eastAsia="宋体"/>
        </w:rPr>
        <w:t>8.2.4 固体废物治理措施</w:t>
      </w:r>
      <w:bookmarkEnd w:id="630"/>
      <w:bookmarkEnd w:id="631"/>
    </w:p>
    <w:p>
      <w:pPr>
        <w:pStyle w:val="112"/>
        <w:ind w:firstLine="480"/>
      </w:pPr>
      <w:bookmarkStart w:id="632" w:name="_Toc12288814"/>
      <w:bookmarkStart w:id="633" w:name="_Toc19816133"/>
      <w:r>
        <w:t>本项目运营期固体废物主要为凝析油</w:t>
      </w:r>
      <w:r>
        <w:rPr>
          <w:rFonts w:hint="eastAsia"/>
        </w:rPr>
        <w:t>、</w:t>
      </w:r>
      <w:r>
        <w:t>检修废渣、清管废渣及值班人员生活垃圾。</w:t>
      </w:r>
    </w:p>
    <w:p>
      <w:pPr>
        <w:pStyle w:val="112"/>
        <w:ind w:firstLine="480"/>
      </w:pPr>
      <w:r>
        <w:t>本项目集气管道采用埋地敷设方式，在正常运行过程中集气管道不会产生固体废物。</w:t>
      </w:r>
    </w:p>
    <w:p>
      <w:pPr>
        <w:pStyle w:val="112"/>
        <w:ind w:firstLine="480"/>
      </w:pPr>
      <w:r>
        <w:t>凝析油作为副产品外售</w:t>
      </w:r>
      <w:r>
        <w:rPr>
          <w:rFonts w:hint="eastAsia"/>
        </w:rPr>
        <w:t>；</w:t>
      </w:r>
      <w:r>
        <w:t>检修废渣、清管废渣主要为机械杂质等，</w:t>
      </w:r>
      <w:r>
        <w:rPr>
          <w:color w:val="FF0000"/>
        </w:rPr>
        <w:t>其主要成分为氧化铁粉末</w:t>
      </w:r>
      <w:r>
        <w:rPr>
          <w:rFonts w:hint="eastAsia"/>
          <w:color w:val="FF0000"/>
        </w:rPr>
        <w:t>（含凝析油）</w:t>
      </w:r>
      <w:r>
        <w:rPr>
          <w:color w:val="FF0000"/>
        </w:rPr>
        <w:t>，属</w:t>
      </w:r>
      <w:r>
        <w:rPr>
          <w:rFonts w:hint="eastAsia"/>
          <w:color w:val="FF0000"/>
        </w:rPr>
        <w:t>危险</w:t>
      </w:r>
      <w:r>
        <w:rPr>
          <w:color w:val="FF0000"/>
        </w:rPr>
        <w:t>废物，集中收集后交</w:t>
      </w:r>
      <w:r>
        <w:rPr>
          <w:rFonts w:hint="eastAsia"/>
          <w:color w:val="FF0000"/>
        </w:rPr>
        <w:t>有资质</w:t>
      </w:r>
      <w:r>
        <w:rPr>
          <w:color w:val="FF0000"/>
        </w:rPr>
        <w:t>单位集中处置</w:t>
      </w:r>
      <w:r>
        <w:rPr>
          <w:rFonts w:hint="eastAsia"/>
        </w:rPr>
        <w:t>；普陆4集气平台</w:t>
      </w:r>
      <w:r>
        <w:t>为</w:t>
      </w:r>
      <w:r>
        <w:rPr>
          <w:rFonts w:hint="eastAsia"/>
        </w:rPr>
        <w:t>有</w:t>
      </w:r>
      <w:r>
        <w:t>人值守站，年值班人员为</w:t>
      </w:r>
      <w:r>
        <w:rPr>
          <w:rFonts w:hint="eastAsia"/>
        </w:rPr>
        <w:t>4</w:t>
      </w:r>
      <w:r>
        <w:t>人，工作人员生活垃圾用垃圾桶收集，委托当地环卫部门清运处置。</w:t>
      </w:r>
    </w:p>
    <w:p>
      <w:pPr>
        <w:pStyle w:val="6"/>
        <w:ind w:firstLine="480"/>
        <w:rPr>
          <w:rFonts w:ascii="Times New Roman" w:cs="Times New Roman"/>
        </w:rPr>
      </w:pPr>
      <w:r>
        <w:rPr>
          <w:rFonts w:ascii="Times New Roman" w:cs="Times New Roman"/>
        </w:rPr>
        <w:t>综上所述，营运期</w:t>
      </w:r>
      <w:r>
        <w:rPr>
          <w:rFonts w:hint="eastAsia" w:ascii="Times New Roman" w:cs="Times New Roman"/>
        </w:rPr>
        <w:t>无</w:t>
      </w:r>
      <w:r>
        <w:rPr>
          <w:rFonts w:ascii="Times New Roman" w:cs="Times New Roman"/>
        </w:rPr>
        <w:t>固体废物</w:t>
      </w:r>
      <w:r>
        <w:rPr>
          <w:rFonts w:hint="eastAsia" w:ascii="Times New Roman" w:cs="Times New Roman"/>
        </w:rPr>
        <w:t>产生</w:t>
      </w:r>
      <w:r>
        <w:rPr>
          <w:rFonts w:ascii="Times New Roman" w:cs="Times New Roman"/>
        </w:rPr>
        <w:t>，对环境影响较小。</w:t>
      </w:r>
    </w:p>
    <w:p>
      <w:pPr>
        <w:pStyle w:val="4"/>
        <w:rPr>
          <w:rFonts w:eastAsia="宋体"/>
        </w:rPr>
      </w:pPr>
      <w:r>
        <w:rPr>
          <w:rFonts w:eastAsia="宋体"/>
        </w:rPr>
        <w:t>8.2.5 土壤和地下水污染防治措施</w:t>
      </w:r>
    </w:p>
    <w:p>
      <w:pPr>
        <w:pStyle w:val="112"/>
        <w:ind w:firstLine="480"/>
      </w:pPr>
      <w:r>
        <w:t>由于输气管道敷设在地下，进行密闭输送，且项目管道采用外防腐层和强制电流阴极保护联合方式，发生泄漏事故概率较小。当管线发生破裂事故，其泄漏的天然气绝大部分进行大气环境中，会对大气环境造成一定的影响，对地下水基本不会造成影响。</w:t>
      </w:r>
    </w:p>
    <w:p>
      <w:pPr>
        <w:pStyle w:val="112"/>
        <w:ind w:firstLine="480"/>
      </w:pPr>
      <w:r>
        <w:rPr>
          <w:rFonts w:hint="eastAsia"/>
        </w:rPr>
        <w:t>普陆4集气平台</w:t>
      </w:r>
      <w:r>
        <w:t>内</w:t>
      </w:r>
      <w:r>
        <w:rPr>
          <w:rFonts w:hint="eastAsia"/>
        </w:rPr>
        <w:t>压裂、洗井废水经现有污水池</w:t>
      </w:r>
      <w:r>
        <w:t>收集</w:t>
      </w:r>
      <w:r>
        <w:rPr>
          <w:rFonts w:hint="eastAsia"/>
        </w:rPr>
        <w:t>，</w:t>
      </w:r>
      <w:r>
        <w:t>污水池池底和池壁进行防渗处理</w:t>
      </w:r>
      <w:r>
        <w:rPr>
          <w:rFonts w:hint="eastAsia"/>
        </w:rPr>
        <w:t>，</w:t>
      </w:r>
      <w:r>
        <w:t>一般情况下不会发生废水泄漏</w:t>
      </w:r>
      <w:r>
        <w:rPr>
          <w:rFonts w:hint="eastAsia"/>
        </w:rPr>
        <w:t>；气田水</w:t>
      </w:r>
      <w:r>
        <w:t>经</w:t>
      </w:r>
      <w:r>
        <w:rPr>
          <w:kern w:val="2"/>
          <w:szCs w:val="22"/>
        </w:rPr>
        <w:t>污水缓冲罐</w:t>
      </w:r>
      <w:r>
        <w:t>收集</w:t>
      </w:r>
      <w:r>
        <w:rPr>
          <w:rFonts w:hint="eastAsia"/>
        </w:rPr>
        <w:t>，污水缓冲罐</w:t>
      </w:r>
      <w:r>
        <w:t>四周设置防渗围堰，一旦储罐发生破损泄漏，可将废水收集在围堰内，再统一清理，不会对地下水造成影响。</w:t>
      </w:r>
    </w:p>
    <w:p>
      <w:pPr>
        <w:pStyle w:val="4"/>
        <w:rPr>
          <w:rFonts w:eastAsia="宋体"/>
        </w:rPr>
      </w:pPr>
      <w:r>
        <w:rPr>
          <w:rFonts w:eastAsia="宋体"/>
        </w:rPr>
        <w:t>8.2.6 生态环境影响减缓措施</w:t>
      </w:r>
      <w:bookmarkEnd w:id="632"/>
      <w:bookmarkEnd w:id="633"/>
    </w:p>
    <w:p>
      <w:pPr>
        <w:pStyle w:val="6"/>
        <w:ind w:firstLine="480"/>
        <w:rPr>
          <w:rFonts w:ascii="Times New Roman" w:cs="Times New Roman"/>
        </w:rPr>
      </w:pPr>
      <w:r>
        <w:rPr>
          <w:rFonts w:ascii="Times New Roman" w:cs="Times New Roman"/>
        </w:rPr>
        <w:t>1、项目运行期，在管道沿线区域要加强对临时占地区域的植被恢复工程护，发现植被恢复受阻，如死亡的林木等，要进行植被的补植补种；森林的管护和抚育，提供森林植被的水源涵养能力，针对管线建设所形成的廊道，应制定严格的管理措施，严格限制人员进入廊道实施与管道管理和森林保护无关的活动。</w:t>
      </w:r>
    </w:p>
    <w:p>
      <w:pPr>
        <w:pStyle w:val="6"/>
        <w:ind w:firstLine="480"/>
        <w:rPr>
          <w:rFonts w:ascii="Times New Roman" w:cs="Times New Roman"/>
        </w:rPr>
      </w:pPr>
      <w:r>
        <w:rPr>
          <w:rFonts w:ascii="Times New Roman" w:cs="Times New Roman"/>
        </w:rPr>
        <w:t>2、在项目区内特别是在林地区域内设置告示牌和警告牌，宣传保护野生动物及其栖息地生态环境，加强公众的野生动物保护和生态环境的保护意识教育；</w:t>
      </w:r>
    </w:p>
    <w:p>
      <w:pPr>
        <w:pStyle w:val="6"/>
        <w:ind w:firstLine="480"/>
        <w:rPr>
          <w:rFonts w:ascii="Times New Roman" w:cs="Times New Roman"/>
        </w:rPr>
      </w:pPr>
      <w:r>
        <w:rPr>
          <w:rFonts w:ascii="Times New Roman" w:cs="Times New Roman"/>
        </w:rPr>
        <w:t>3、加强对项目区内的生态保护，严格按照相关的规章制度执行。</w:t>
      </w:r>
    </w:p>
    <w:p>
      <w:pPr>
        <w:pStyle w:val="3"/>
        <w:spacing w:before="120"/>
        <w:rPr>
          <w:rFonts w:cs="Times New Roman"/>
        </w:rPr>
      </w:pPr>
      <w:r>
        <w:rPr>
          <w:rFonts w:cs="Times New Roman"/>
        </w:rPr>
        <w:t>8.3</w:t>
      </w:r>
      <w:r>
        <w:rPr>
          <w:rFonts w:hint="eastAsia" w:cs="Times New Roman"/>
        </w:rPr>
        <w:t>退役</w:t>
      </w:r>
      <w:r>
        <w:rPr>
          <w:rFonts w:cs="Times New Roman"/>
        </w:rPr>
        <w:t>期的环境保护措施</w:t>
      </w:r>
    </w:p>
    <w:p>
      <w:pPr>
        <w:pStyle w:val="6"/>
        <w:ind w:firstLine="480"/>
        <w:rPr>
          <w:rFonts w:ascii="Times New Roman" w:cs="Times New Roman"/>
        </w:rPr>
      </w:pPr>
      <w:r>
        <w:rPr>
          <w:rFonts w:hint="eastAsia" w:ascii="Times New Roman" w:cs="Times New Roman"/>
        </w:rPr>
        <w:t>（1）对拆除地面设施和管线过程中产生的垃圾及时外运，送至指定的垃圾填埋场处理。</w:t>
      </w:r>
    </w:p>
    <w:p>
      <w:pPr>
        <w:pStyle w:val="6"/>
        <w:ind w:firstLine="480"/>
        <w:rPr>
          <w:rFonts w:ascii="Times New Roman" w:cs="Times New Roman"/>
        </w:rPr>
      </w:pPr>
      <w:r>
        <w:rPr>
          <w:rFonts w:hint="eastAsia" w:ascii="Times New Roman" w:cs="Times New Roman"/>
        </w:rPr>
        <w:t>（2）土地复垦、植被恢复</w:t>
      </w:r>
    </w:p>
    <w:p>
      <w:pPr>
        <w:pStyle w:val="6"/>
        <w:ind w:firstLine="480"/>
        <w:rPr>
          <w:rFonts w:ascii="Times New Roman" w:cs="Times New Roman"/>
        </w:rPr>
      </w:pPr>
      <w:r>
        <w:rPr>
          <w:rFonts w:hint="eastAsia" w:ascii="Times New Roman" w:cs="Times New Roman"/>
        </w:rPr>
        <w:t>对建筑设施进行拆除，对土地进行覆土及平整。覆土采用腐植土，可选择乡土乔木进行种植，如马尾松、杉木、柏木、青冈，也可选择种植灌草相结合进行种植，逐步形成与周边地貌的相协调的生态环境。</w:t>
      </w:r>
    </w:p>
    <w:p>
      <w:pPr>
        <w:pStyle w:val="6"/>
        <w:ind w:firstLine="480"/>
        <w:rPr>
          <w:rFonts w:ascii="Times New Roman" w:cs="Times New Roman"/>
        </w:rPr>
      </w:pPr>
      <w:r>
        <w:rPr>
          <w:rFonts w:hint="eastAsia" w:ascii="Times New Roman" w:cs="Times New Roman"/>
        </w:rPr>
        <w:t>（3）生态管理及监测</w:t>
      </w:r>
    </w:p>
    <w:p>
      <w:pPr>
        <w:pStyle w:val="6"/>
        <w:ind w:firstLine="480"/>
        <w:rPr>
          <w:rFonts w:ascii="Times New Roman" w:cs="Times New Roman"/>
        </w:rPr>
      </w:pPr>
      <w:r>
        <w:rPr>
          <w:rFonts w:hint="eastAsia" w:ascii="Times New Roman" w:cs="Times New Roman"/>
        </w:rPr>
        <w:t>生态环境管理和监控是政府环境保护机构依据国家和地方</w:t>
      </w:r>
      <w:r>
        <w:rPr>
          <w:rFonts w:hint="eastAsia" w:ascii="Times New Roman" w:cs="Times New Roman"/>
          <w:lang w:eastAsia="zh-CN"/>
        </w:rPr>
        <w:t>制定</w:t>
      </w:r>
      <w:r>
        <w:rPr>
          <w:rFonts w:hint="eastAsia" w:ascii="Times New Roman" w:cs="Times New Roman"/>
        </w:rPr>
        <w:t>的有关自然资源和生态保护的法律、法规、条例、技术规范、标准等所进行的行政工作。</w:t>
      </w:r>
    </w:p>
    <w:p>
      <w:pPr>
        <w:pStyle w:val="6"/>
        <w:ind w:firstLine="480"/>
        <w:rPr>
          <w:rFonts w:ascii="Times New Roman" w:cs="Times New Roman"/>
        </w:rPr>
      </w:pPr>
      <w:r>
        <w:rPr>
          <w:rFonts w:hint="eastAsia" w:ascii="Times New Roman" w:cs="Times New Roman"/>
        </w:rPr>
        <w:t>因此，接受环境管理和监管是建设单位日常工作的一个重要组成部分。本评</w:t>
      </w:r>
    </w:p>
    <w:p>
      <w:pPr>
        <w:pStyle w:val="6"/>
        <w:ind w:firstLine="480"/>
        <w:rPr>
          <w:rFonts w:ascii="Times New Roman" w:cs="Times New Roman"/>
        </w:rPr>
      </w:pPr>
      <w:r>
        <w:rPr>
          <w:rFonts w:hint="eastAsia" w:ascii="Times New Roman" w:cs="Times New Roman"/>
        </w:rPr>
        <w:t>根据项目建设的性质、规模、生态影响的程度和范围、项目所在地的自然、经济、社会等因素提出如下生态管理及监控内容：</w:t>
      </w:r>
    </w:p>
    <w:p>
      <w:pPr>
        <w:pStyle w:val="6"/>
        <w:ind w:firstLine="480"/>
        <w:rPr>
          <w:rFonts w:ascii="Times New Roman" w:cs="Times New Roman"/>
        </w:rPr>
      </w:pPr>
      <w:r>
        <w:rPr>
          <w:rFonts w:hint="eastAsia" w:ascii="Times New Roman" w:cs="Times New Roman"/>
        </w:rPr>
        <w:t>①防止区内自然体系生产能力进一步下降；</w:t>
      </w:r>
    </w:p>
    <w:p>
      <w:pPr>
        <w:pStyle w:val="6"/>
        <w:ind w:firstLine="480"/>
        <w:rPr>
          <w:rFonts w:ascii="Times New Roman" w:cs="Times New Roman"/>
        </w:rPr>
      </w:pPr>
      <w:r>
        <w:rPr>
          <w:rFonts w:hint="eastAsia" w:ascii="Times New Roman" w:cs="Times New Roman"/>
        </w:rPr>
        <w:t>②防止区内水资源进一步遭到破坏；</w:t>
      </w:r>
    </w:p>
    <w:p>
      <w:pPr>
        <w:pStyle w:val="6"/>
        <w:ind w:firstLine="480"/>
        <w:rPr>
          <w:rFonts w:ascii="Times New Roman" w:cs="Times New Roman"/>
        </w:rPr>
      </w:pPr>
      <w:r>
        <w:rPr>
          <w:rFonts w:hint="eastAsia" w:ascii="Times New Roman" w:cs="Times New Roman"/>
        </w:rPr>
        <w:t>③防止区内水土流失日趋严重；</w:t>
      </w:r>
    </w:p>
    <w:p>
      <w:pPr>
        <w:pStyle w:val="6"/>
        <w:ind w:firstLine="480"/>
        <w:rPr>
          <w:rFonts w:ascii="Times New Roman" w:cs="Times New Roman"/>
        </w:rPr>
      </w:pPr>
      <w:r>
        <w:rPr>
          <w:rFonts w:hint="eastAsia" w:ascii="Times New Roman" w:cs="Times New Roman"/>
        </w:rPr>
        <w:t>④防止区内人类活动给自然体系增加更大的压力。</w:t>
      </w:r>
    </w:p>
    <w:p>
      <w:pPr>
        <w:pStyle w:val="6"/>
        <w:ind w:firstLine="480"/>
        <w:rPr>
          <w:rFonts w:ascii="Times New Roman" w:cs="Times New Roman"/>
        </w:rPr>
      </w:pPr>
      <w:r>
        <w:rPr>
          <w:rFonts w:hint="eastAsia" w:ascii="Times New Roman" w:cs="Times New Roman"/>
        </w:rPr>
        <w:t>（4）生态修复中，避免物种入侵应采取对策</w:t>
      </w:r>
    </w:p>
    <w:p>
      <w:pPr>
        <w:pStyle w:val="6"/>
        <w:ind w:firstLine="480"/>
        <w:rPr>
          <w:rFonts w:ascii="Times New Roman" w:cs="Times New Roman"/>
        </w:rPr>
      </w:pPr>
      <w:r>
        <w:rPr>
          <w:rFonts w:hint="eastAsia" w:ascii="Times New Roman" w:cs="Times New Roman"/>
        </w:rPr>
        <w:t>物种入侵最根本的原因是人类活动把这些物种带到了它们不应该出现的地方，其往往对原有生态环境造成巨大的破坏。避免外来物种入侵应从法律、政策等高层方面建立制度，建立水生动植物外来物种监测与预警体系，建立引进外来物种风险评估制度，构建快速反应机制与体系，加强生物安全保护意识，简历引种许可制度，在生态修复具体工作实施中，应严格把关，严格按照相关规定审查、验，避免“无意引种”情况的发生，更不能“有意引种”，从源头避免外来物种的引进。</w:t>
      </w:r>
    </w:p>
    <w:p>
      <w:pPr>
        <w:pStyle w:val="6"/>
        <w:ind w:firstLine="480"/>
        <w:rPr>
          <w:rFonts w:ascii="Times New Roman" w:cs="Times New Roman"/>
        </w:rPr>
      </w:pPr>
      <w:r>
        <w:rPr>
          <w:rFonts w:hint="eastAsia" w:ascii="Times New Roman" w:cs="Times New Roman"/>
        </w:rPr>
        <w:t>（5）生态恢复与补偿措施投资保障</w:t>
      </w:r>
    </w:p>
    <w:p>
      <w:pPr>
        <w:pStyle w:val="6"/>
        <w:ind w:firstLine="480"/>
        <w:rPr>
          <w:rFonts w:ascii="Times New Roman" w:cs="Times New Roman"/>
        </w:rPr>
      </w:pPr>
      <w:r>
        <w:rPr>
          <w:rFonts w:hint="eastAsia" w:ascii="Times New Roman" w:cs="Times New Roman"/>
        </w:rPr>
        <w:t>设立生态补偿专项经费，森林植被及野生动植物的保护和监测费用、生态因子监测费用、工程植被恢复费用纳入生态补偿费。工程施工期补偿费用的额度和管理形式，由施工方与业主单位共同协商解决。确保生态恢复资金足额到位</w:t>
      </w:r>
      <w:r>
        <w:rPr>
          <w:rFonts w:ascii="Times New Roman" w:cs="Times New Roman"/>
        </w:rPr>
        <w:t>。</w:t>
      </w:r>
    </w:p>
    <w:p>
      <w:pPr>
        <w:pStyle w:val="3"/>
        <w:spacing w:before="120"/>
        <w:rPr>
          <w:rFonts w:cs="Times New Roman"/>
        </w:rPr>
      </w:pPr>
      <w:bookmarkStart w:id="634" w:name="bookmark76"/>
      <w:bookmarkEnd w:id="634"/>
      <w:bookmarkStart w:id="635" w:name="bookmark75"/>
      <w:bookmarkEnd w:id="635"/>
      <w:bookmarkStart w:id="636" w:name="bookmark74"/>
      <w:bookmarkEnd w:id="636"/>
      <w:bookmarkStart w:id="637" w:name="_Toc12288817"/>
      <w:bookmarkStart w:id="638" w:name="_Toc81515308"/>
      <w:bookmarkStart w:id="639" w:name="_Toc19816136"/>
      <w:r>
        <w:rPr>
          <w:rFonts w:cs="Times New Roman"/>
        </w:rPr>
        <w:t>8.</w:t>
      </w:r>
      <w:r>
        <w:rPr>
          <w:rFonts w:hint="eastAsia" w:cs="Times New Roman"/>
        </w:rPr>
        <w:t>4</w:t>
      </w:r>
      <w:r>
        <w:rPr>
          <w:rFonts w:cs="Times New Roman"/>
        </w:rPr>
        <w:t xml:space="preserve"> 环保投资估算</w:t>
      </w:r>
      <w:bookmarkEnd w:id="637"/>
      <w:bookmarkEnd w:id="638"/>
      <w:bookmarkEnd w:id="639"/>
    </w:p>
    <w:p>
      <w:pPr>
        <w:pStyle w:val="6"/>
        <w:ind w:firstLine="480"/>
        <w:rPr>
          <w:rFonts w:ascii="Times New Roman" w:cs="Times New Roman"/>
        </w:rPr>
      </w:pPr>
      <w:r>
        <w:rPr>
          <w:rFonts w:hint="eastAsia" w:ascii="Times New Roman" w:cs="Times New Roman"/>
        </w:rPr>
        <w:t>本</w:t>
      </w:r>
      <w:r>
        <w:rPr>
          <w:rFonts w:ascii="Times New Roman" w:cs="Times New Roman"/>
        </w:rPr>
        <w:t>项目总投资为</w:t>
      </w:r>
      <w:r>
        <w:rPr>
          <w:rFonts w:hint="eastAsia" w:ascii="Times New Roman" w:cs="Times New Roman"/>
        </w:rPr>
        <w:t>7765万</w:t>
      </w:r>
      <w:r>
        <w:rPr>
          <w:rFonts w:ascii="Times New Roman" w:cs="Times New Roman"/>
        </w:rPr>
        <w:t>元，其中环保投资</w:t>
      </w:r>
      <w:r>
        <w:rPr>
          <w:rFonts w:hint="eastAsia" w:ascii="Times New Roman" w:cs="Times New Roman"/>
        </w:rPr>
        <w:t>45</w:t>
      </w:r>
      <w:r>
        <w:rPr>
          <w:rFonts w:ascii="Times New Roman" w:cs="Times New Roman"/>
        </w:rPr>
        <w:t>0万元，占项目总投资的</w:t>
      </w:r>
      <w:r>
        <w:rPr>
          <w:rFonts w:hint="eastAsia" w:ascii="Times New Roman" w:cs="Times New Roman"/>
        </w:rPr>
        <w:t>5.8</w:t>
      </w:r>
      <w:r>
        <w:rPr>
          <w:rFonts w:ascii="Times New Roman" w:cs="Times New Roman"/>
        </w:rPr>
        <w:t>%。项目环保投资估算时，环保措施单价参照其他已有工程类比，环保措施数量依据初步设计确定，环保投资估算见下表。</w:t>
      </w:r>
    </w:p>
    <w:p>
      <w:pPr>
        <w:pStyle w:val="6"/>
        <w:ind w:firstLine="480"/>
        <w:rPr>
          <w:rFonts w:ascii="Times New Roman" w:cs="Times New Roman"/>
        </w:rPr>
      </w:pPr>
    </w:p>
    <w:p>
      <w:pPr>
        <w:pStyle w:val="6"/>
        <w:ind w:firstLine="480"/>
        <w:rPr>
          <w:rFonts w:ascii="Times New Roman" w:cs="Times New Roman"/>
        </w:rPr>
      </w:pPr>
    </w:p>
    <w:p>
      <w:pPr>
        <w:pStyle w:val="6"/>
        <w:ind w:firstLine="480"/>
        <w:rPr>
          <w:rFonts w:ascii="Times New Roman" w:cs="Times New Roman"/>
        </w:rPr>
        <w:sectPr>
          <w:pgSz w:w="11910" w:h="16840"/>
          <w:pgMar w:top="1440" w:right="1800" w:bottom="1440" w:left="1800" w:header="885" w:footer="1025" w:gutter="0"/>
          <w:cols w:space="720" w:num="1"/>
          <w:docGrid w:linePitch="326" w:charSpace="0"/>
        </w:sectPr>
      </w:pPr>
    </w:p>
    <w:p>
      <w:pPr>
        <w:pStyle w:val="125"/>
        <w:rPr>
          <w:rFonts w:eastAsia="宋体"/>
        </w:rPr>
      </w:pPr>
      <w:r>
        <w:rPr>
          <w:rFonts w:eastAsia="宋体"/>
        </w:rPr>
        <w:t>表8.4-1  工程环保投资估算表</w:t>
      </w:r>
      <w:r>
        <w:rPr>
          <w:rFonts w:eastAsia="宋体"/>
          <w:kern w:val="2"/>
        </w:rPr>
        <w:t xml:space="preserve">  单位：万元</w:t>
      </w:r>
    </w:p>
    <w:tbl>
      <w:tblPr>
        <w:tblStyle w:val="57"/>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33"/>
        <w:gridCol w:w="887"/>
        <w:gridCol w:w="6"/>
        <w:gridCol w:w="1561"/>
        <w:gridCol w:w="709"/>
        <w:gridCol w:w="9441"/>
        <w:gridCol w:w="70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0" w:hRule="atLeast"/>
          <w:tblHeader/>
        </w:trPr>
        <w:tc>
          <w:tcPr>
            <w:tcW w:w="424" w:type="pct"/>
            <w:vAlign w:val="center"/>
          </w:tcPr>
          <w:p>
            <w:pPr>
              <w:pStyle w:val="101"/>
              <w:spacing w:line="240" w:lineRule="auto"/>
              <w:ind w:firstLine="0" w:firstLineChars="0"/>
              <w:rPr>
                <w:rFonts w:ascii="Times New Roman" w:cs="Times New Roman"/>
                <w:b/>
                <w:kern w:val="2"/>
                <w:sz w:val="21"/>
                <w:szCs w:val="21"/>
              </w:rPr>
            </w:pPr>
            <w:r>
              <w:rPr>
                <w:rFonts w:ascii="Times New Roman" w:cs="Times New Roman"/>
                <w:b/>
                <w:kern w:val="2"/>
                <w:sz w:val="21"/>
                <w:szCs w:val="21"/>
              </w:rPr>
              <w:t>项目</w:t>
            </w:r>
          </w:p>
        </w:tc>
        <w:tc>
          <w:tcPr>
            <w:tcW w:w="844" w:type="pct"/>
            <w:gridSpan w:val="3"/>
            <w:vAlign w:val="center"/>
          </w:tcPr>
          <w:p>
            <w:pPr>
              <w:pStyle w:val="101"/>
              <w:spacing w:line="240" w:lineRule="auto"/>
              <w:ind w:firstLine="0" w:firstLineChars="0"/>
              <w:rPr>
                <w:rFonts w:ascii="Times New Roman" w:cs="Times New Roman"/>
                <w:b/>
                <w:kern w:val="2"/>
                <w:sz w:val="21"/>
                <w:szCs w:val="21"/>
              </w:rPr>
            </w:pPr>
            <w:r>
              <w:rPr>
                <w:rFonts w:ascii="Times New Roman" w:cs="Times New Roman"/>
                <w:b/>
                <w:kern w:val="2"/>
                <w:sz w:val="21"/>
                <w:szCs w:val="21"/>
              </w:rPr>
              <w:t>措施类型</w:t>
            </w:r>
          </w:p>
        </w:tc>
        <w:tc>
          <w:tcPr>
            <w:tcW w:w="244" w:type="pct"/>
            <w:vAlign w:val="center"/>
          </w:tcPr>
          <w:p>
            <w:pPr>
              <w:pStyle w:val="101"/>
              <w:spacing w:line="240" w:lineRule="auto"/>
              <w:ind w:firstLine="0" w:firstLineChars="0"/>
              <w:rPr>
                <w:rFonts w:ascii="Times New Roman" w:cs="Times New Roman"/>
                <w:b/>
                <w:kern w:val="2"/>
                <w:sz w:val="21"/>
                <w:szCs w:val="21"/>
              </w:rPr>
            </w:pPr>
            <w:r>
              <w:rPr>
                <w:rFonts w:ascii="Times New Roman" w:cs="Times New Roman"/>
                <w:b/>
                <w:kern w:val="2"/>
                <w:sz w:val="21"/>
                <w:szCs w:val="21"/>
              </w:rPr>
              <w:t>投资</w:t>
            </w:r>
          </w:p>
        </w:tc>
        <w:tc>
          <w:tcPr>
            <w:tcW w:w="3247" w:type="pct"/>
            <w:vAlign w:val="center"/>
          </w:tcPr>
          <w:p>
            <w:pPr>
              <w:pStyle w:val="101"/>
              <w:spacing w:line="240" w:lineRule="auto"/>
              <w:ind w:firstLine="0" w:firstLineChars="0"/>
              <w:rPr>
                <w:rFonts w:ascii="Times New Roman" w:cs="Times New Roman"/>
                <w:b/>
                <w:kern w:val="2"/>
                <w:sz w:val="21"/>
                <w:szCs w:val="21"/>
              </w:rPr>
            </w:pPr>
            <w:r>
              <w:rPr>
                <w:rFonts w:ascii="Times New Roman" w:cs="Times New Roman"/>
                <w:b/>
                <w:kern w:val="2"/>
                <w:sz w:val="21"/>
                <w:szCs w:val="21"/>
              </w:rPr>
              <w:t>说明</w:t>
            </w:r>
          </w:p>
        </w:tc>
        <w:tc>
          <w:tcPr>
            <w:tcW w:w="241" w:type="pct"/>
            <w:vAlign w:val="center"/>
          </w:tcPr>
          <w:p>
            <w:pPr>
              <w:pStyle w:val="101"/>
              <w:spacing w:line="240" w:lineRule="auto"/>
              <w:ind w:firstLine="0" w:firstLineChars="0"/>
              <w:rPr>
                <w:rFonts w:ascii="Times New Roman" w:cs="Times New Roman"/>
                <w:b/>
                <w:kern w:val="2"/>
                <w:sz w:val="21"/>
                <w:szCs w:val="21"/>
              </w:rPr>
            </w:pPr>
            <w:r>
              <w:rPr>
                <w:rFonts w:ascii="Times New Roman" w:cs="Times New Roman"/>
                <w:b/>
                <w:kern w:val="2"/>
                <w:sz w:val="21"/>
                <w:szCs w:val="21"/>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restar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水土保持措施</w:t>
            </w:r>
          </w:p>
        </w:tc>
        <w:tc>
          <w:tcPr>
            <w:tcW w:w="844" w:type="pct"/>
            <w:gridSpan w:val="3"/>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水土保持工程措施</w:t>
            </w:r>
          </w:p>
        </w:tc>
        <w:tc>
          <w:tcPr>
            <w:tcW w:w="244" w:type="pct"/>
            <w:vAlign w:val="center"/>
          </w:tcPr>
          <w:p>
            <w:pPr>
              <w:pStyle w:val="101"/>
              <w:kinsoku w:val="0"/>
              <w:overflowPunct w:val="0"/>
              <w:spacing w:line="240" w:lineRule="auto"/>
              <w:ind w:firstLine="0" w:firstLineChars="0"/>
              <w:rPr>
                <w:rFonts w:ascii="Times New Roman" w:cs="Times New Roman"/>
                <w:kern w:val="2"/>
              </w:rPr>
            </w:pPr>
            <w:r>
              <w:rPr>
                <w:rFonts w:ascii="Times New Roman" w:cs="Times New Roman"/>
                <w:w w:val="99"/>
                <w:kern w:val="2"/>
                <w:sz w:val="21"/>
                <w:szCs w:val="21"/>
              </w:rPr>
              <w:t>/</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用于施工期管线区域、施工便道等临时占地的剥离表土、土地整治、复耕等，以及用于、挡墙建设、安装排水沟等建设。</w:t>
            </w:r>
          </w:p>
        </w:tc>
        <w:tc>
          <w:tcPr>
            <w:tcW w:w="241" w:type="pct"/>
            <w:vMerge w:val="restar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计入水土保持投资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continue"/>
            <w:vAlign w:val="center"/>
          </w:tcPr>
          <w:p>
            <w:pPr>
              <w:pStyle w:val="101"/>
              <w:spacing w:line="240" w:lineRule="auto"/>
              <w:ind w:firstLine="0" w:firstLineChars="0"/>
              <w:rPr>
                <w:rFonts w:ascii="Times New Roman" w:cs="Times New Roman"/>
                <w:kern w:val="2"/>
                <w:sz w:val="21"/>
                <w:szCs w:val="21"/>
              </w:rPr>
            </w:pPr>
          </w:p>
        </w:tc>
        <w:tc>
          <w:tcPr>
            <w:tcW w:w="844" w:type="pct"/>
            <w:gridSpan w:val="3"/>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水土保持植物措施</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管道沿线、</w:t>
            </w:r>
            <w:r>
              <w:rPr>
                <w:rFonts w:hint="eastAsia" w:ascii="Times New Roman" w:cs="Times New Roman"/>
                <w:kern w:val="2"/>
                <w:sz w:val="21"/>
                <w:szCs w:val="21"/>
              </w:rPr>
              <w:t>场站</w:t>
            </w:r>
            <w:r>
              <w:rPr>
                <w:rFonts w:ascii="Times New Roman" w:cs="Times New Roman"/>
                <w:kern w:val="2"/>
                <w:sz w:val="21"/>
                <w:szCs w:val="21"/>
              </w:rPr>
              <w:t>等区域植被恢复、绿化等植物措施</w:t>
            </w:r>
            <w:r>
              <w:rPr>
                <w:rFonts w:hint="eastAsia" w:ascii="Times New Roman" w:cs="Times New Roman"/>
                <w:kern w:val="2"/>
                <w:sz w:val="21"/>
                <w:szCs w:val="21"/>
              </w:rPr>
              <w:t>。</w:t>
            </w:r>
          </w:p>
        </w:tc>
        <w:tc>
          <w:tcPr>
            <w:tcW w:w="241" w:type="pct"/>
            <w:vMerge w:val="continue"/>
            <w:vAlign w:val="center"/>
          </w:tcPr>
          <w:p>
            <w:pPr>
              <w:pStyle w:val="101"/>
              <w:kinsoku w:val="0"/>
              <w:overflowPunct w:val="0"/>
              <w:spacing w:line="240" w:lineRule="auto"/>
              <w:ind w:firstLine="0" w:firstLineChars="0"/>
              <w:rPr>
                <w:rFonts w:ascii="Times New Roman" w:cs="Times New Roman"/>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continue"/>
            <w:vAlign w:val="center"/>
          </w:tcPr>
          <w:p>
            <w:pPr>
              <w:pStyle w:val="101"/>
              <w:spacing w:line="240" w:lineRule="auto"/>
              <w:ind w:firstLine="0" w:firstLineChars="0"/>
              <w:rPr>
                <w:rFonts w:ascii="Times New Roman" w:cs="Times New Roman"/>
                <w:kern w:val="2"/>
                <w:sz w:val="21"/>
                <w:szCs w:val="21"/>
              </w:rPr>
            </w:pPr>
          </w:p>
        </w:tc>
        <w:tc>
          <w:tcPr>
            <w:tcW w:w="844" w:type="pct"/>
            <w:gridSpan w:val="3"/>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水土保持临时措施</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设置土质排水沟、临时沉砂凼、土袋挡土墙等措施</w:t>
            </w:r>
            <w:r>
              <w:rPr>
                <w:rFonts w:hint="eastAsia" w:ascii="Times New Roman" w:cs="Times New Roman"/>
                <w:kern w:val="2"/>
                <w:sz w:val="21"/>
                <w:szCs w:val="21"/>
              </w:rPr>
              <w:t>。</w:t>
            </w:r>
          </w:p>
        </w:tc>
        <w:tc>
          <w:tcPr>
            <w:tcW w:w="241" w:type="pct"/>
            <w:vMerge w:val="continue"/>
            <w:vAlign w:val="center"/>
          </w:tcPr>
          <w:p>
            <w:pPr>
              <w:pStyle w:val="101"/>
              <w:kinsoku w:val="0"/>
              <w:overflowPunct w:val="0"/>
              <w:spacing w:line="240" w:lineRule="auto"/>
              <w:ind w:firstLine="0" w:firstLineChars="0"/>
              <w:rPr>
                <w:rFonts w:ascii="Times New Roman" w:cs="Times New Roman"/>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restar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大气保护措施</w:t>
            </w:r>
          </w:p>
        </w:tc>
        <w:tc>
          <w:tcPr>
            <w:tcW w:w="305" w:type="pct"/>
            <w:vMerge w:val="restart"/>
            <w:tcBorders>
              <w:righ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施工期</w:t>
            </w:r>
          </w:p>
        </w:tc>
        <w:tc>
          <w:tcPr>
            <w:tcW w:w="539" w:type="pct"/>
            <w:gridSpan w:val="2"/>
            <w:tcBorders>
              <w:lef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扬尘防护措施</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10</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施工期购置洒水设备进行洒水作业，对临时堆放表土采用篷布覆；进行道面清扫，对轮胎进行清洗；用于施工期间物料运输车辆的覆盖，粉料采用粉料车运输，防止物料散落和灰尘飘散</w:t>
            </w:r>
          </w:p>
        </w:tc>
        <w:tc>
          <w:tcPr>
            <w:tcW w:w="241" w:type="pct"/>
            <w:vAlign w:val="center"/>
          </w:tcPr>
          <w:p>
            <w:pPr>
              <w:pStyle w:val="101"/>
              <w:kinsoku w:val="0"/>
              <w:overflowPunct w:val="0"/>
              <w:spacing w:line="240" w:lineRule="auto"/>
              <w:ind w:right="1"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continue"/>
            <w:vAlign w:val="center"/>
          </w:tcPr>
          <w:p>
            <w:pPr>
              <w:pStyle w:val="101"/>
              <w:spacing w:line="240" w:lineRule="auto"/>
              <w:ind w:firstLine="0" w:firstLineChars="0"/>
              <w:rPr>
                <w:rFonts w:ascii="Times New Roman" w:cs="Times New Roman"/>
                <w:kern w:val="2"/>
                <w:sz w:val="21"/>
                <w:szCs w:val="21"/>
              </w:rPr>
            </w:pPr>
          </w:p>
        </w:tc>
        <w:tc>
          <w:tcPr>
            <w:tcW w:w="305" w:type="pct"/>
            <w:vMerge w:val="continue"/>
            <w:tcBorders>
              <w:righ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p>
        </w:tc>
        <w:tc>
          <w:tcPr>
            <w:tcW w:w="539" w:type="pct"/>
            <w:gridSpan w:val="2"/>
            <w:tcBorders>
              <w:lef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喷淋降尘措施</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1</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气体钻粉尘采取喷淋降尘措施</w:t>
            </w:r>
          </w:p>
        </w:tc>
        <w:tc>
          <w:tcPr>
            <w:tcW w:w="241" w:type="pct"/>
            <w:vAlign w:val="center"/>
          </w:tcPr>
          <w:p>
            <w:pPr>
              <w:pStyle w:val="101"/>
              <w:kinsoku w:val="0"/>
              <w:overflowPunct w:val="0"/>
              <w:spacing w:line="240" w:lineRule="auto"/>
              <w:ind w:right="1" w:firstLine="0" w:firstLineChars="0"/>
              <w:rPr>
                <w:rFonts w:ascii="Times New Roman" w:cs="Times New Roman"/>
                <w:kern w:val="2"/>
                <w:sz w:val="21"/>
                <w:szCs w:val="21"/>
              </w:rPr>
            </w:pPr>
            <w:r>
              <w:rPr>
                <w:rFonts w:hint="eastAsia"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continue"/>
            <w:vAlign w:val="center"/>
          </w:tcPr>
          <w:p>
            <w:pPr>
              <w:pStyle w:val="101"/>
              <w:spacing w:line="240" w:lineRule="auto"/>
              <w:ind w:firstLine="0" w:firstLineChars="0"/>
              <w:rPr>
                <w:rFonts w:ascii="Times New Roman" w:cs="Times New Roman"/>
                <w:kern w:val="2"/>
                <w:sz w:val="21"/>
                <w:szCs w:val="21"/>
              </w:rPr>
            </w:pPr>
          </w:p>
        </w:tc>
        <w:tc>
          <w:tcPr>
            <w:tcW w:w="305" w:type="pct"/>
            <w:vMerge w:val="continue"/>
            <w:tcBorders>
              <w:righ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p>
        </w:tc>
        <w:tc>
          <w:tcPr>
            <w:tcW w:w="539" w:type="pct"/>
            <w:gridSpan w:val="2"/>
            <w:tcBorders>
              <w:lef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测试放喷废气</w:t>
            </w:r>
            <w:r>
              <w:rPr>
                <w:rFonts w:hint="eastAsia" w:ascii="Times New Roman" w:cs="Times New Roman"/>
                <w:kern w:val="2"/>
                <w:sz w:val="21"/>
                <w:szCs w:val="21"/>
              </w:rPr>
              <w:t>措施</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测试放喷废气采取放喷池燃烧处理，并提前对周边无关人员进行临时疏散</w:t>
            </w:r>
          </w:p>
        </w:tc>
        <w:tc>
          <w:tcPr>
            <w:tcW w:w="241" w:type="pct"/>
            <w:vAlign w:val="center"/>
          </w:tcPr>
          <w:p>
            <w:pPr>
              <w:pStyle w:val="101"/>
              <w:kinsoku w:val="0"/>
              <w:overflowPunct w:val="0"/>
              <w:spacing w:line="240" w:lineRule="auto"/>
              <w:ind w:right="1" w:firstLine="0" w:firstLineChars="0"/>
              <w:rPr>
                <w:rFonts w:ascii="Times New Roman" w:cs="Times New Roman"/>
                <w:kern w:val="2"/>
                <w:sz w:val="21"/>
                <w:szCs w:val="21"/>
              </w:rPr>
            </w:pPr>
            <w:r>
              <w:rPr>
                <w:rFonts w:hint="eastAsia"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continue"/>
            <w:vAlign w:val="center"/>
          </w:tcPr>
          <w:p>
            <w:pPr>
              <w:pStyle w:val="101"/>
              <w:spacing w:line="240" w:lineRule="auto"/>
              <w:ind w:firstLine="0" w:firstLineChars="0"/>
              <w:rPr>
                <w:rFonts w:ascii="Times New Roman" w:cs="Times New Roman"/>
                <w:kern w:val="2"/>
                <w:sz w:val="21"/>
                <w:szCs w:val="21"/>
              </w:rPr>
            </w:pPr>
          </w:p>
        </w:tc>
        <w:tc>
          <w:tcPr>
            <w:tcW w:w="305" w:type="pct"/>
            <w:tcBorders>
              <w:righ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运营期</w:t>
            </w:r>
          </w:p>
        </w:tc>
        <w:tc>
          <w:tcPr>
            <w:tcW w:w="539" w:type="pct"/>
            <w:gridSpan w:val="2"/>
            <w:tcBorders>
              <w:lef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水套炉废气</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水套炉所使用的天然气来源于净化厂净化后的天然气（不含硫），其主要污染物为NO</w:t>
            </w:r>
            <w:r>
              <w:rPr>
                <w:rFonts w:hint="eastAsia" w:ascii="Times New Roman" w:cs="Times New Roman"/>
                <w:kern w:val="2"/>
                <w:sz w:val="21"/>
                <w:szCs w:val="21"/>
                <w:vertAlign w:val="subscript"/>
              </w:rPr>
              <w:t>X</w:t>
            </w:r>
            <w:r>
              <w:rPr>
                <w:rFonts w:hint="eastAsia" w:ascii="Times New Roman" w:cs="Times New Roman"/>
                <w:kern w:val="2"/>
                <w:sz w:val="21"/>
                <w:szCs w:val="21"/>
              </w:rPr>
              <w:t>，对周围大气环境影响较小。</w:t>
            </w:r>
          </w:p>
        </w:tc>
        <w:tc>
          <w:tcPr>
            <w:tcW w:w="241" w:type="pct"/>
            <w:vAlign w:val="center"/>
          </w:tcPr>
          <w:p>
            <w:pPr>
              <w:pStyle w:val="101"/>
              <w:kinsoku w:val="0"/>
              <w:overflowPunct w:val="0"/>
              <w:spacing w:line="240" w:lineRule="auto"/>
              <w:ind w:right="1" w:firstLine="0" w:firstLineChars="0"/>
              <w:rPr>
                <w:rFonts w:ascii="Times New Roman" w:cs="Times New Roman"/>
                <w:kern w:val="2"/>
                <w:sz w:val="21"/>
                <w:szCs w:val="21"/>
              </w:rPr>
            </w:pPr>
            <w:r>
              <w:rPr>
                <w:rFonts w:hint="eastAsia"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restar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水环境保护措施</w:t>
            </w:r>
          </w:p>
        </w:tc>
        <w:tc>
          <w:tcPr>
            <w:tcW w:w="307" w:type="pct"/>
            <w:gridSpan w:val="2"/>
            <w:vMerge w:val="restart"/>
            <w:tcBorders>
              <w:righ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施工期</w:t>
            </w:r>
          </w:p>
        </w:tc>
        <w:tc>
          <w:tcPr>
            <w:tcW w:w="537" w:type="pct"/>
            <w:tcBorders>
              <w:lef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施工人员生活污水</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25</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施工期管线施工人员生活污水依托租用附近居民房收集处理，井场</w:t>
            </w:r>
            <w:r>
              <w:rPr>
                <w:rFonts w:hint="eastAsia" w:ascii="Times New Roman" w:cs="Times New Roman"/>
                <w:kern w:val="2"/>
                <w:sz w:val="21"/>
                <w:szCs w:val="21"/>
              </w:rPr>
              <w:t>、钻井</w:t>
            </w:r>
            <w:r>
              <w:rPr>
                <w:rFonts w:hint="eastAsia" w:ascii="Times New Roman" w:cs="Times New Roman"/>
                <w:kern w:val="2"/>
                <w:sz w:val="21"/>
                <w:szCs w:val="21"/>
                <w:lang w:eastAsia="zh-CN"/>
              </w:rPr>
              <w:t>如厕</w:t>
            </w:r>
            <w:r>
              <w:rPr>
                <w:rFonts w:ascii="Times New Roman" w:cs="Times New Roman"/>
                <w:kern w:val="2"/>
                <w:sz w:val="21"/>
                <w:szCs w:val="21"/>
              </w:rPr>
              <w:t>施工生活污水</w:t>
            </w:r>
            <w:r>
              <w:rPr>
                <w:rFonts w:hint="eastAsia" w:ascii="Times New Roman" w:cs="Times New Roman"/>
                <w:kern w:val="2"/>
                <w:sz w:val="21"/>
                <w:szCs w:val="21"/>
              </w:rPr>
              <w:t>经生态</w:t>
            </w:r>
            <w:r>
              <w:rPr>
                <w:rFonts w:ascii="Times New Roman" w:cs="Times New Roman"/>
                <w:kern w:val="2"/>
                <w:sz w:val="21"/>
                <w:szCs w:val="21"/>
              </w:rPr>
              <w:t>环保厕所收集后，用作周边农肥，不外排</w:t>
            </w:r>
            <w:r>
              <w:rPr>
                <w:rFonts w:hint="eastAsia" w:ascii="Times New Roman" w:cs="Times New Roman"/>
                <w:kern w:val="2"/>
                <w:sz w:val="21"/>
                <w:szCs w:val="21"/>
              </w:rPr>
              <w:t>，员工洗澡、食堂废水经单独收集后拉运至黄金镇场镇污水处理厂处理。</w:t>
            </w:r>
          </w:p>
        </w:tc>
        <w:tc>
          <w:tcPr>
            <w:tcW w:w="241"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continue"/>
            <w:vAlign w:val="center"/>
          </w:tcPr>
          <w:p>
            <w:pPr>
              <w:pStyle w:val="101"/>
              <w:spacing w:line="240" w:lineRule="auto"/>
              <w:ind w:firstLine="0" w:firstLineChars="0"/>
              <w:rPr>
                <w:rFonts w:ascii="Times New Roman" w:cs="Times New Roman"/>
                <w:kern w:val="2"/>
                <w:sz w:val="21"/>
                <w:szCs w:val="21"/>
              </w:rPr>
            </w:pPr>
          </w:p>
        </w:tc>
        <w:tc>
          <w:tcPr>
            <w:tcW w:w="307" w:type="pct"/>
            <w:gridSpan w:val="2"/>
            <w:vMerge w:val="continue"/>
            <w:tcBorders>
              <w:righ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p>
        </w:tc>
        <w:tc>
          <w:tcPr>
            <w:tcW w:w="537" w:type="pct"/>
            <w:tcBorders>
              <w:lef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清管试压废水</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5</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清管试压废水经沉淀后回用，不外排。</w:t>
            </w:r>
          </w:p>
        </w:tc>
        <w:tc>
          <w:tcPr>
            <w:tcW w:w="241"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continue"/>
            <w:vAlign w:val="center"/>
          </w:tcPr>
          <w:p>
            <w:pPr>
              <w:pStyle w:val="101"/>
              <w:spacing w:line="240" w:lineRule="auto"/>
              <w:ind w:firstLine="0" w:firstLineChars="0"/>
              <w:rPr>
                <w:rFonts w:ascii="Times New Roman" w:cs="Times New Roman"/>
                <w:kern w:val="2"/>
                <w:sz w:val="21"/>
                <w:szCs w:val="21"/>
              </w:rPr>
            </w:pPr>
          </w:p>
        </w:tc>
        <w:tc>
          <w:tcPr>
            <w:tcW w:w="307" w:type="pct"/>
            <w:gridSpan w:val="2"/>
            <w:vMerge w:val="continue"/>
            <w:tcBorders>
              <w:righ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p>
        </w:tc>
        <w:tc>
          <w:tcPr>
            <w:tcW w:w="537" w:type="pct"/>
            <w:tcBorders>
              <w:lef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站场施工废水</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1</w:t>
            </w:r>
            <w:r>
              <w:rPr>
                <w:rFonts w:ascii="Times New Roman" w:cs="Times New Roman"/>
                <w:kern w:val="2"/>
                <w:sz w:val="21"/>
                <w:szCs w:val="21"/>
              </w:rPr>
              <w:t>0</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设置施工废水沉淀池，施工废水沉淀后回用</w:t>
            </w:r>
            <w:r>
              <w:rPr>
                <w:rFonts w:hint="eastAsia" w:ascii="Times New Roman" w:cs="Times New Roman"/>
                <w:kern w:val="2"/>
                <w:sz w:val="21"/>
                <w:szCs w:val="21"/>
              </w:rPr>
              <w:t>。</w:t>
            </w:r>
          </w:p>
        </w:tc>
        <w:tc>
          <w:tcPr>
            <w:tcW w:w="241"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continue"/>
            <w:vAlign w:val="center"/>
          </w:tcPr>
          <w:p>
            <w:pPr>
              <w:pStyle w:val="101"/>
              <w:spacing w:line="240" w:lineRule="auto"/>
              <w:ind w:firstLine="0" w:firstLineChars="0"/>
              <w:rPr>
                <w:rFonts w:ascii="Times New Roman" w:cs="Times New Roman"/>
                <w:kern w:val="2"/>
                <w:sz w:val="21"/>
                <w:szCs w:val="21"/>
              </w:rPr>
            </w:pPr>
          </w:p>
        </w:tc>
        <w:tc>
          <w:tcPr>
            <w:tcW w:w="307" w:type="pct"/>
            <w:gridSpan w:val="2"/>
            <w:vMerge w:val="continue"/>
            <w:tcBorders>
              <w:righ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p>
        </w:tc>
        <w:tc>
          <w:tcPr>
            <w:tcW w:w="537" w:type="pct"/>
            <w:tcBorders>
              <w:lef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初期雨水</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10</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在井场四周设排水边沟，井场雨水随四周排水边沟经监控池外排；场内井架基础、设备基础、循环罐基础周边设环状排污沟，污水可经排污沟排至</w:t>
            </w:r>
            <w:r>
              <w:rPr>
                <w:rFonts w:hint="eastAsia" w:ascii="Times New Roman" w:cs="Times New Roman"/>
                <w:kern w:val="2"/>
                <w:sz w:val="21"/>
                <w:szCs w:val="21"/>
              </w:rPr>
              <w:t>清洁化操作平台。</w:t>
            </w:r>
          </w:p>
        </w:tc>
        <w:tc>
          <w:tcPr>
            <w:tcW w:w="241"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continue"/>
            <w:vAlign w:val="center"/>
          </w:tcPr>
          <w:p>
            <w:pPr>
              <w:pStyle w:val="101"/>
              <w:spacing w:line="240" w:lineRule="auto"/>
              <w:ind w:firstLine="0" w:firstLineChars="0"/>
              <w:rPr>
                <w:rFonts w:ascii="Times New Roman" w:cs="Times New Roman"/>
                <w:kern w:val="2"/>
                <w:sz w:val="21"/>
                <w:szCs w:val="21"/>
              </w:rPr>
            </w:pPr>
          </w:p>
        </w:tc>
        <w:tc>
          <w:tcPr>
            <w:tcW w:w="307" w:type="pct"/>
            <w:gridSpan w:val="2"/>
            <w:vMerge w:val="continue"/>
            <w:tcBorders>
              <w:righ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p>
        </w:tc>
        <w:tc>
          <w:tcPr>
            <w:tcW w:w="537" w:type="pct"/>
            <w:tcBorders>
              <w:lef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钻井废水</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100</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经清洁化操作平台中预处理后，拉至毛开1井回注站回注。</w:t>
            </w:r>
          </w:p>
        </w:tc>
        <w:tc>
          <w:tcPr>
            <w:tcW w:w="241"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continue"/>
            <w:vAlign w:val="center"/>
          </w:tcPr>
          <w:p>
            <w:pPr>
              <w:pStyle w:val="101"/>
              <w:spacing w:line="240" w:lineRule="auto"/>
              <w:ind w:firstLine="0" w:firstLineChars="0"/>
              <w:rPr>
                <w:rFonts w:ascii="Times New Roman" w:cs="Times New Roman"/>
                <w:kern w:val="2"/>
                <w:sz w:val="21"/>
                <w:szCs w:val="21"/>
              </w:rPr>
            </w:pPr>
          </w:p>
        </w:tc>
        <w:tc>
          <w:tcPr>
            <w:tcW w:w="307" w:type="pct"/>
            <w:gridSpan w:val="2"/>
            <w:vMerge w:val="continue"/>
            <w:tcBorders>
              <w:righ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p>
        </w:tc>
        <w:tc>
          <w:tcPr>
            <w:tcW w:w="537" w:type="pct"/>
            <w:tcBorders>
              <w:lef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压裂、洗井</w:t>
            </w:r>
            <w:r>
              <w:rPr>
                <w:rFonts w:ascii="Times New Roman" w:cs="Times New Roman"/>
                <w:kern w:val="2"/>
                <w:sz w:val="21"/>
                <w:szCs w:val="21"/>
              </w:rPr>
              <w:t>废水</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80</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压裂废水和洗井废水</w:t>
            </w:r>
            <w:r>
              <w:rPr>
                <w:rFonts w:hint="eastAsia" w:ascii="Times New Roman" w:cs="Times New Roman"/>
                <w:kern w:val="2"/>
                <w:sz w:val="21"/>
                <w:szCs w:val="21"/>
              </w:rPr>
              <w:t>暂存于现有污水池</w:t>
            </w:r>
            <w:r>
              <w:rPr>
                <w:rFonts w:ascii="Times New Roman" w:cs="Times New Roman"/>
                <w:kern w:val="2"/>
                <w:sz w:val="21"/>
                <w:szCs w:val="21"/>
              </w:rPr>
              <w:t>，并及时装车拉运至大湾403污水站处理达标后管输至毛开1井回注站回注</w:t>
            </w:r>
            <w:r>
              <w:rPr>
                <w:rFonts w:hint="eastAsia" w:ascii="Times New Roman" w:cs="Times New Roman"/>
                <w:kern w:val="2"/>
                <w:sz w:val="21"/>
                <w:szCs w:val="21"/>
              </w:rPr>
              <w:t>。</w:t>
            </w:r>
          </w:p>
        </w:tc>
        <w:tc>
          <w:tcPr>
            <w:tcW w:w="241"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continue"/>
            <w:vAlign w:val="center"/>
          </w:tcPr>
          <w:p>
            <w:pPr>
              <w:pStyle w:val="101"/>
              <w:spacing w:line="240" w:lineRule="auto"/>
              <w:ind w:firstLine="0" w:firstLineChars="0"/>
              <w:rPr>
                <w:rFonts w:ascii="Times New Roman" w:cs="Times New Roman"/>
                <w:kern w:val="2"/>
                <w:sz w:val="21"/>
                <w:szCs w:val="21"/>
              </w:rPr>
            </w:pPr>
          </w:p>
        </w:tc>
        <w:tc>
          <w:tcPr>
            <w:tcW w:w="307" w:type="pct"/>
            <w:gridSpan w:val="2"/>
            <w:vMerge w:val="restart"/>
            <w:tcBorders>
              <w:righ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运营期</w:t>
            </w:r>
          </w:p>
        </w:tc>
        <w:tc>
          <w:tcPr>
            <w:tcW w:w="537" w:type="pct"/>
            <w:tcBorders>
              <w:lef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气田水</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本项目运营期产生的气田水</w:t>
            </w:r>
            <w:r>
              <w:rPr>
                <w:rFonts w:hint="eastAsia" w:ascii="Times New Roman" w:cs="Times New Roman"/>
                <w:kern w:val="2"/>
                <w:sz w:val="21"/>
                <w:szCs w:val="21"/>
              </w:rPr>
              <w:t>暂存于污水缓冲罐</w:t>
            </w:r>
            <w:r>
              <w:rPr>
                <w:rFonts w:ascii="Times New Roman" w:cs="Times New Roman"/>
                <w:kern w:val="2"/>
                <w:sz w:val="21"/>
                <w:szCs w:val="21"/>
              </w:rPr>
              <w:t>，然后通过密闭罐车拉运至大湾403污水站处理达到《气田水回注方法》（SY/T 6596</w:t>
            </w:r>
            <w:r>
              <w:rPr>
                <w:rFonts w:hint="eastAsia" w:ascii="Times New Roman" w:cs="Times New Roman"/>
                <w:kern w:val="2"/>
                <w:sz w:val="21"/>
                <w:szCs w:val="21"/>
              </w:rPr>
              <w:t>-</w:t>
            </w:r>
            <w:r>
              <w:rPr>
                <w:rFonts w:ascii="Times New Roman" w:cs="Times New Roman"/>
                <w:kern w:val="2"/>
                <w:sz w:val="21"/>
                <w:szCs w:val="21"/>
              </w:rPr>
              <w:t>2016）中注入水基本要求后管输至毛开1井回注站回注处理，不外排。</w:t>
            </w:r>
          </w:p>
        </w:tc>
        <w:tc>
          <w:tcPr>
            <w:tcW w:w="241"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continue"/>
            <w:vAlign w:val="center"/>
          </w:tcPr>
          <w:p>
            <w:pPr>
              <w:pStyle w:val="101"/>
              <w:spacing w:line="240" w:lineRule="auto"/>
              <w:ind w:firstLine="0" w:firstLineChars="0"/>
              <w:rPr>
                <w:rFonts w:ascii="Times New Roman" w:cs="Times New Roman"/>
                <w:kern w:val="2"/>
                <w:sz w:val="21"/>
                <w:szCs w:val="21"/>
              </w:rPr>
            </w:pPr>
          </w:p>
        </w:tc>
        <w:tc>
          <w:tcPr>
            <w:tcW w:w="307" w:type="pct"/>
            <w:gridSpan w:val="2"/>
            <w:vMerge w:val="continue"/>
            <w:tcBorders>
              <w:righ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p>
        </w:tc>
        <w:tc>
          <w:tcPr>
            <w:tcW w:w="537" w:type="pct"/>
            <w:tcBorders>
              <w:lef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生活污水</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值守</w:t>
            </w:r>
            <w:r>
              <w:rPr>
                <w:rFonts w:ascii="Times New Roman" w:cs="Times New Roman"/>
                <w:kern w:val="2"/>
                <w:sz w:val="21"/>
                <w:szCs w:val="21"/>
              </w:rPr>
              <w:t>人员生活</w:t>
            </w:r>
            <w:r>
              <w:rPr>
                <w:rFonts w:hint="eastAsia" w:ascii="Times New Roman" w:cs="Times New Roman"/>
                <w:kern w:val="2"/>
                <w:sz w:val="21"/>
                <w:szCs w:val="21"/>
              </w:rPr>
              <w:t>污水经</w:t>
            </w:r>
            <w:r>
              <w:rPr>
                <w:rFonts w:ascii="Times New Roman" w:cs="Times New Roman"/>
                <w:kern w:val="2"/>
                <w:sz w:val="21"/>
                <w:szCs w:val="21"/>
              </w:rPr>
              <w:t>生态环保厕所收集后，用作周边农肥，不外排</w:t>
            </w:r>
            <w:r>
              <w:rPr>
                <w:rFonts w:hint="eastAsia" w:ascii="Times New Roman" w:cs="Times New Roman"/>
                <w:kern w:val="2"/>
                <w:sz w:val="21"/>
                <w:szCs w:val="21"/>
              </w:rPr>
              <w:t>。</w:t>
            </w:r>
          </w:p>
        </w:tc>
        <w:tc>
          <w:tcPr>
            <w:tcW w:w="241"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restar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噪声防治措施</w:t>
            </w:r>
          </w:p>
        </w:tc>
        <w:tc>
          <w:tcPr>
            <w:tcW w:w="844" w:type="pct"/>
            <w:gridSpan w:val="3"/>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施工期</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20</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bookmarkStart w:id="640" w:name="_Hlk22306402"/>
            <w:r>
              <w:rPr>
                <w:rFonts w:ascii="Times New Roman" w:cs="Times New Roman"/>
                <w:kern w:val="2"/>
                <w:sz w:val="21"/>
                <w:szCs w:val="21"/>
              </w:rPr>
              <w:t>合理安排施工作业时间，合理布局施工现场，禁止夜间施工</w:t>
            </w:r>
            <w:bookmarkEnd w:id="640"/>
            <w:r>
              <w:rPr>
                <w:rFonts w:hint="eastAsia" w:ascii="Times New Roman" w:cs="Times New Roman"/>
                <w:kern w:val="2"/>
                <w:sz w:val="21"/>
                <w:szCs w:val="21"/>
              </w:rPr>
              <w:t>；钻井使用网电。</w:t>
            </w:r>
          </w:p>
        </w:tc>
        <w:tc>
          <w:tcPr>
            <w:tcW w:w="241"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continue"/>
            <w:vAlign w:val="center"/>
          </w:tcPr>
          <w:p>
            <w:pPr>
              <w:pStyle w:val="101"/>
              <w:spacing w:line="240" w:lineRule="auto"/>
              <w:ind w:firstLine="0" w:firstLineChars="0"/>
              <w:rPr>
                <w:rFonts w:ascii="Times New Roman" w:cs="Times New Roman"/>
                <w:kern w:val="2"/>
                <w:sz w:val="21"/>
                <w:szCs w:val="21"/>
              </w:rPr>
            </w:pPr>
          </w:p>
        </w:tc>
        <w:tc>
          <w:tcPr>
            <w:tcW w:w="844" w:type="pct"/>
            <w:gridSpan w:val="3"/>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运营期</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基础减振和距离衰减</w:t>
            </w:r>
          </w:p>
        </w:tc>
        <w:tc>
          <w:tcPr>
            <w:tcW w:w="241" w:type="pct"/>
            <w:vAlign w:val="center"/>
          </w:tcPr>
          <w:p>
            <w:pPr>
              <w:pStyle w:val="101"/>
              <w:kinsoku w:val="0"/>
              <w:overflowPunct w:val="0"/>
              <w:spacing w:line="240" w:lineRule="auto"/>
              <w:ind w:firstLine="0" w:firstLineChars="0"/>
              <w:rPr>
                <w:rFonts w:ascii="Times New Roman" w:cs="Times New Roman"/>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restart"/>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固废处理措施</w:t>
            </w:r>
          </w:p>
        </w:tc>
        <w:tc>
          <w:tcPr>
            <w:tcW w:w="307" w:type="pct"/>
            <w:gridSpan w:val="2"/>
            <w:vMerge w:val="restart"/>
            <w:tcBorders>
              <w:righ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施工期</w:t>
            </w:r>
          </w:p>
        </w:tc>
        <w:tc>
          <w:tcPr>
            <w:tcW w:w="537" w:type="pct"/>
            <w:tcBorders>
              <w:lef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施工人员生活垃圾</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1</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交由环卫部门处理</w:t>
            </w:r>
          </w:p>
        </w:tc>
        <w:tc>
          <w:tcPr>
            <w:tcW w:w="241"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continue"/>
            <w:vAlign w:val="center"/>
          </w:tcPr>
          <w:p>
            <w:pPr>
              <w:spacing w:line="240" w:lineRule="auto"/>
              <w:ind w:firstLine="0" w:firstLineChars="0"/>
              <w:jc w:val="center"/>
              <w:rPr>
                <w:rFonts w:ascii="Times New Roman" w:cs="Times New Roman"/>
                <w:kern w:val="2"/>
                <w:sz w:val="21"/>
                <w:szCs w:val="21"/>
              </w:rPr>
            </w:pPr>
          </w:p>
        </w:tc>
        <w:tc>
          <w:tcPr>
            <w:tcW w:w="307" w:type="pct"/>
            <w:gridSpan w:val="2"/>
            <w:vMerge w:val="continue"/>
            <w:tcBorders>
              <w:righ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p>
        </w:tc>
        <w:tc>
          <w:tcPr>
            <w:tcW w:w="537" w:type="pct"/>
            <w:tcBorders>
              <w:lef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施工废料</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1</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施工废料部分回收利用，剩余废料依托当地环卫部门处置</w:t>
            </w:r>
          </w:p>
        </w:tc>
        <w:tc>
          <w:tcPr>
            <w:tcW w:w="241"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continue"/>
            <w:vAlign w:val="center"/>
          </w:tcPr>
          <w:p>
            <w:pPr>
              <w:spacing w:line="240" w:lineRule="auto"/>
              <w:ind w:firstLine="0" w:firstLineChars="0"/>
              <w:jc w:val="center"/>
              <w:rPr>
                <w:rFonts w:ascii="Times New Roman" w:cs="Times New Roman"/>
                <w:kern w:val="2"/>
                <w:sz w:val="21"/>
                <w:szCs w:val="21"/>
              </w:rPr>
            </w:pPr>
          </w:p>
        </w:tc>
        <w:tc>
          <w:tcPr>
            <w:tcW w:w="307" w:type="pct"/>
            <w:gridSpan w:val="2"/>
            <w:vMerge w:val="continue"/>
            <w:tcBorders>
              <w:righ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p>
        </w:tc>
        <w:tc>
          <w:tcPr>
            <w:tcW w:w="537" w:type="pct"/>
            <w:tcBorders>
              <w:lef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废水基泥浆、水基岩屑</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80</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本项目采取清洁化操作平台，</w:t>
            </w:r>
            <w:r>
              <w:rPr>
                <w:rFonts w:ascii="Times New Roman" w:cs="Times New Roman"/>
                <w:bCs/>
                <w:kern w:val="2"/>
                <w:sz w:val="21"/>
                <w:szCs w:val="21"/>
              </w:rPr>
              <w:t>并采取泥浆不落地措施</w:t>
            </w:r>
            <w:r>
              <w:rPr>
                <w:rFonts w:ascii="Times New Roman" w:cs="Times New Roman"/>
                <w:kern w:val="2"/>
                <w:sz w:val="21"/>
                <w:szCs w:val="21"/>
              </w:rPr>
              <w:t>，</w:t>
            </w:r>
            <w:r>
              <w:rPr>
                <w:rFonts w:hint="eastAsia" w:ascii="Times New Roman" w:cs="Times New Roman"/>
                <w:kern w:val="2"/>
                <w:sz w:val="21"/>
                <w:szCs w:val="21"/>
              </w:rPr>
              <w:t>废水基泥浆、水基岩屑</w:t>
            </w:r>
            <w:r>
              <w:rPr>
                <w:rFonts w:ascii="Times New Roman" w:cs="Times New Roman"/>
                <w:kern w:val="2"/>
                <w:sz w:val="21"/>
                <w:szCs w:val="21"/>
              </w:rPr>
              <w:t>按照《达州市生态环境局办公室关于</w:t>
            </w:r>
            <w:r>
              <w:rPr>
                <w:rFonts w:hint="eastAsia" w:ascii="Times New Roman" w:cs="Times New Roman"/>
                <w:kern w:val="2"/>
                <w:sz w:val="21"/>
                <w:szCs w:val="21"/>
              </w:rPr>
              <w:t>进一步</w:t>
            </w:r>
            <w:r>
              <w:rPr>
                <w:rFonts w:ascii="Times New Roman" w:cs="Times New Roman"/>
                <w:kern w:val="2"/>
                <w:sz w:val="21"/>
                <w:szCs w:val="21"/>
              </w:rPr>
              <w:t>加强固体废物污染防治工作的通知》（达市环办发〔20</w:t>
            </w:r>
            <w:r>
              <w:rPr>
                <w:rFonts w:hint="eastAsia" w:ascii="Times New Roman" w:cs="Times New Roman"/>
                <w:kern w:val="2"/>
                <w:sz w:val="21"/>
                <w:szCs w:val="21"/>
              </w:rPr>
              <w:t>21</w:t>
            </w:r>
            <w:r>
              <w:rPr>
                <w:rFonts w:ascii="Times New Roman" w:cs="Times New Roman"/>
                <w:kern w:val="2"/>
                <w:sz w:val="21"/>
                <w:szCs w:val="21"/>
              </w:rPr>
              <w:t>〕</w:t>
            </w:r>
            <w:r>
              <w:rPr>
                <w:rFonts w:hint="eastAsia" w:ascii="Times New Roman" w:cs="Times New Roman"/>
                <w:kern w:val="2"/>
                <w:sz w:val="21"/>
                <w:szCs w:val="21"/>
              </w:rPr>
              <w:t>24</w:t>
            </w:r>
            <w:r>
              <w:rPr>
                <w:rFonts w:ascii="Times New Roman" w:cs="Times New Roman"/>
                <w:kern w:val="2"/>
                <w:sz w:val="21"/>
                <w:szCs w:val="21"/>
              </w:rPr>
              <w:t>号）要求，就近交给依法取得生态环境部门关于利用和处置相关工业固体废物项目环评批复、具有处理处置相应固体废物能力并配套建设有废气、废水、固废等污染物治理设施的单位</w:t>
            </w:r>
            <w:r>
              <w:rPr>
                <w:rFonts w:hint="eastAsia" w:ascii="Times New Roman" w:cs="Times New Roman"/>
                <w:kern w:val="2"/>
                <w:sz w:val="21"/>
                <w:szCs w:val="21"/>
              </w:rPr>
              <w:t>进行资源化利用。</w:t>
            </w:r>
          </w:p>
        </w:tc>
        <w:tc>
          <w:tcPr>
            <w:tcW w:w="241"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continue"/>
            <w:vAlign w:val="center"/>
          </w:tcPr>
          <w:p>
            <w:pPr>
              <w:spacing w:line="240" w:lineRule="auto"/>
              <w:ind w:firstLine="0" w:firstLineChars="0"/>
              <w:jc w:val="center"/>
              <w:rPr>
                <w:rFonts w:ascii="Times New Roman" w:cs="Times New Roman"/>
                <w:kern w:val="2"/>
                <w:sz w:val="21"/>
                <w:szCs w:val="21"/>
              </w:rPr>
            </w:pPr>
          </w:p>
        </w:tc>
        <w:tc>
          <w:tcPr>
            <w:tcW w:w="307" w:type="pct"/>
            <w:gridSpan w:val="2"/>
            <w:vMerge w:val="continue"/>
            <w:tcBorders>
              <w:righ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p>
        </w:tc>
        <w:tc>
          <w:tcPr>
            <w:tcW w:w="537" w:type="pct"/>
            <w:tcBorders>
              <w:lef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废油基泥浆、油基岩屑</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80</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委托有资质单位处理</w:t>
            </w:r>
          </w:p>
        </w:tc>
        <w:tc>
          <w:tcPr>
            <w:tcW w:w="241"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continue"/>
            <w:vAlign w:val="center"/>
          </w:tcPr>
          <w:p>
            <w:pPr>
              <w:spacing w:line="240" w:lineRule="auto"/>
              <w:ind w:firstLine="0" w:firstLineChars="0"/>
              <w:jc w:val="center"/>
              <w:rPr>
                <w:rFonts w:ascii="Times New Roman" w:cs="Times New Roman"/>
                <w:kern w:val="2"/>
                <w:sz w:val="21"/>
                <w:szCs w:val="21"/>
              </w:rPr>
            </w:pPr>
          </w:p>
        </w:tc>
        <w:tc>
          <w:tcPr>
            <w:tcW w:w="307" w:type="pct"/>
            <w:gridSpan w:val="2"/>
            <w:vMerge w:val="continue"/>
            <w:tcBorders>
              <w:righ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p>
        </w:tc>
        <w:tc>
          <w:tcPr>
            <w:tcW w:w="537" w:type="pct"/>
            <w:tcBorders>
              <w:lef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废油</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2</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委托有资质单位处理</w:t>
            </w:r>
          </w:p>
        </w:tc>
        <w:tc>
          <w:tcPr>
            <w:tcW w:w="241"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continue"/>
            <w:vAlign w:val="center"/>
          </w:tcPr>
          <w:p>
            <w:pPr>
              <w:spacing w:line="240" w:lineRule="auto"/>
              <w:ind w:firstLine="0" w:firstLineChars="0"/>
              <w:jc w:val="center"/>
              <w:rPr>
                <w:rFonts w:ascii="Times New Roman" w:cs="Times New Roman"/>
                <w:kern w:val="2"/>
                <w:sz w:val="21"/>
                <w:szCs w:val="21"/>
              </w:rPr>
            </w:pPr>
          </w:p>
        </w:tc>
        <w:tc>
          <w:tcPr>
            <w:tcW w:w="307" w:type="pct"/>
            <w:gridSpan w:val="2"/>
            <w:vMerge w:val="restart"/>
            <w:tcBorders>
              <w:righ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运营期</w:t>
            </w:r>
          </w:p>
        </w:tc>
        <w:tc>
          <w:tcPr>
            <w:tcW w:w="537" w:type="pct"/>
            <w:tcBorders>
              <w:lef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清管废渣、检修废渣</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2</w:t>
            </w:r>
          </w:p>
        </w:tc>
        <w:tc>
          <w:tcPr>
            <w:tcW w:w="3247" w:type="pct"/>
            <w:vAlign w:val="center"/>
          </w:tcPr>
          <w:p>
            <w:pPr>
              <w:pStyle w:val="101"/>
              <w:kinsoku w:val="0"/>
              <w:overflowPunct w:val="0"/>
              <w:spacing w:line="240" w:lineRule="auto"/>
              <w:ind w:firstLine="0" w:firstLineChars="0"/>
              <w:rPr>
                <w:rFonts w:ascii="Times New Roman" w:cs="Times New Roman"/>
                <w:color w:val="FF0000"/>
                <w:kern w:val="2"/>
                <w:sz w:val="21"/>
                <w:szCs w:val="21"/>
              </w:rPr>
            </w:pPr>
            <w:r>
              <w:rPr>
                <w:rFonts w:ascii="Times New Roman" w:cs="Times New Roman"/>
                <w:color w:val="FF0000"/>
                <w:kern w:val="2"/>
                <w:sz w:val="21"/>
                <w:szCs w:val="21"/>
              </w:rPr>
              <w:t>集中收集后交有资质单位集中处置</w:t>
            </w:r>
          </w:p>
        </w:tc>
        <w:tc>
          <w:tcPr>
            <w:tcW w:w="241"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continue"/>
            <w:vAlign w:val="center"/>
          </w:tcPr>
          <w:p>
            <w:pPr>
              <w:spacing w:line="240" w:lineRule="auto"/>
              <w:ind w:firstLine="0" w:firstLineChars="0"/>
              <w:jc w:val="center"/>
              <w:rPr>
                <w:rFonts w:ascii="Times New Roman" w:cs="Times New Roman"/>
                <w:kern w:val="2"/>
                <w:sz w:val="21"/>
                <w:szCs w:val="21"/>
              </w:rPr>
            </w:pPr>
          </w:p>
        </w:tc>
        <w:tc>
          <w:tcPr>
            <w:tcW w:w="307" w:type="pct"/>
            <w:gridSpan w:val="2"/>
            <w:vMerge w:val="continue"/>
            <w:tcBorders>
              <w:righ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p>
        </w:tc>
        <w:tc>
          <w:tcPr>
            <w:tcW w:w="537" w:type="pct"/>
            <w:tcBorders>
              <w:lef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凝析油</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作为副产品外售</w:t>
            </w:r>
          </w:p>
        </w:tc>
        <w:tc>
          <w:tcPr>
            <w:tcW w:w="241"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continue"/>
            <w:vAlign w:val="center"/>
          </w:tcPr>
          <w:p>
            <w:pPr>
              <w:spacing w:line="240" w:lineRule="auto"/>
              <w:ind w:firstLine="0" w:firstLineChars="0"/>
              <w:jc w:val="center"/>
              <w:rPr>
                <w:rFonts w:ascii="Times New Roman" w:cs="Times New Roman"/>
                <w:kern w:val="2"/>
                <w:sz w:val="21"/>
                <w:szCs w:val="21"/>
              </w:rPr>
            </w:pPr>
          </w:p>
        </w:tc>
        <w:tc>
          <w:tcPr>
            <w:tcW w:w="307" w:type="pct"/>
            <w:gridSpan w:val="2"/>
            <w:vMerge w:val="continue"/>
            <w:tcBorders>
              <w:righ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p>
        </w:tc>
        <w:tc>
          <w:tcPr>
            <w:tcW w:w="537" w:type="pct"/>
            <w:tcBorders>
              <w:left w:val="single" w:color="000000" w:sz="2" w:space="0"/>
            </w:tcBorders>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生活垃圾</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1</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工作人员生活垃圾用垃圾桶收集，委托当地环卫部门清运处置。</w:t>
            </w:r>
          </w:p>
        </w:tc>
        <w:tc>
          <w:tcPr>
            <w:tcW w:w="241"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424" w:type="pct"/>
            <w:vMerge w:val="restart"/>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地下水防治措施</w:t>
            </w:r>
          </w:p>
        </w:tc>
        <w:tc>
          <w:tcPr>
            <w:tcW w:w="844" w:type="pct"/>
            <w:gridSpan w:val="3"/>
            <w:vMerge w:val="restar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施工期</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管沟开挖钱对沿线地质情况就行详细勘察。</w:t>
            </w:r>
          </w:p>
        </w:tc>
        <w:tc>
          <w:tcPr>
            <w:tcW w:w="241" w:type="pct"/>
            <w:vMerge w:val="restar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计入工程设计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424" w:type="pct"/>
            <w:vMerge w:val="continue"/>
            <w:vAlign w:val="center"/>
          </w:tcPr>
          <w:p>
            <w:pPr>
              <w:spacing w:line="240" w:lineRule="auto"/>
              <w:ind w:firstLine="0" w:firstLineChars="0"/>
              <w:jc w:val="center"/>
              <w:rPr>
                <w:rFonts w:ascii="Times New Roman" w:cs="Times New Roman"/>
                <w:kern w:val="2"/>
                <w:sz w:val="21"/>
                <w:szCs w:val="21"/>
              </w:rPr>
            </w:pPr>
          </w:p>
        </w:tc>
        <w:tc>
          <w:tcPr>
            <w:tcW w:w="844" w:type="pct"/>
            <w:gridSpan w:val="3"/>
            <w:vMerge w:val="continue"/>
            <w:vAlign w:val="center"/>
          </w:tcPr>
          <w:p>
            <w:pPr>
              <w:pStyle w:val="101"/>
              <w:kinsoku w:val="0"/>
              <w:overflowPunct w:val="0"/>
              <w:spacing w:line="240" w:lineRule="auto"/>
              <w:ind w:firstLine="0" w:firstLineChars="0"/>
              <w:rPr>
                <w:rFonts w:ascii="Times New Roman" w:cs="Times New Roman"/>
                <w:kern w:val="2"/>
                <w:sz w:val="21"/>
                <w:szCs w:val="21"/>
              </w:rPr>
            </w:pP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放喷池池底、池壁防渗。</w:t>
            </w:r>
          </w:p>
        </w:tc>
        <w:tc>
          <w:tcPr>
            <w:tcW w:w="241" w:type="pct"/>
            <w:vMerge w:val="continue"/>
            <w:vAlign w:val="center"/>
          </w:tcPr>
          <w:p>
            <w:pPr>
              <w:pStyle w:val="101"/>
              <w:kinsoku w:val="0"/>
              <w:overflowPunct w:val="0"/>
              <w:spacing w:line="240" w:lineRule="auto"/>
              <w:ind w:firstLine="0" w:firstLineChars="0"/>
              <w:rPr>
                <w:rFonts w:ascii="Times New Roman" w:cs="Times New Roman"/>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424" w:type="pct"/>
            <w:vMerge w:val="continue"/>
            <w:vAlign w:val="center"/>
          </w:tcPr>
          <w:p>
            <w:pPr>
              <w:spacing w:line="240" w:lineRule="auto"/>
              <w:ind w:firstLine="0" w:firstLineChars="0"/>
              <w:jc w:val="center"/>
              <w:rPr>
                <w:rFonts w:ascii="Times New Roman" w:cs="Times New Roman"/>
                <w:kern w:val="2"/>
                <w:sz w:val="21"/>
                <w:szCs w:val="21"/>
              </w:rPr>
            </w:pPr>
          </w:p>
        </w:tc>
        <w:tc>
          <w:tcPr>
            <w:tcW w:w="844" w:type="pct"/>
            <w:gridSpan w:val="3"/>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运营期</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柴油储罐、凝析油储罐四周</w:t>
            </w:r>
            <w:r>
              <w:rPr>
                <w:rFonts w:ascii="Times New Roman" w:cs="Times New Roman"/>
                <w:kern w:val="2"/>
                <w:sz w:val="21"/>
                <w:szCs w:val="21"/>
              </w:rPr>
              <w:t>设置防渗围堰，污水缓冲罐四周设置防渗围堰，站场内进行分区防渗</w:t>
            </w:r>
            <w:r>
              <w:rPr>
                <w:rFonts w:hint="eastAsia" w:ascii="Times New Roman" w:cs="Times New Roman"/>
                <w:kern w:val="2"/>
                <w:sz w:val="21"/>
                <w:szCs w:val="21"/>
              </w:rPr>
              <w:t>。</w:t>
            </w:r>
          </w:p>
        </w:tc>
        <w:tc>
          <w:tcPr>
            <w:tcW w:w="241" w:type="pct"/>
            <w:vMerge w:val="continue"/>
            <w:vAlign w:val="center"/>
          </w:tcPr>
          <w:p>
            <w:pPr>
              <w:pStyle w:val="101"/>
              <w:kinsoku w:val="0"/>
              <w:overflowPunct w:val="0"/>
              <w:spacing w:line="240" w:lineRule="auto"/>
              <w:ind w:firstLine="0" w:firstLineChars="0"/>
              <w:rPr>
                <w:rFonts w:ascii="Times New Roman" w:cs="Times New Roman"/>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restart"/>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环境风险措施</w:t>
            </w:r>
          </w:p>
        </w:tc>
        <w:tc>
          <w:tcPr>
            <w:tcW w:w="844" w:type="pct"/>
            <w:gridSpan w:val="3"/>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管道施工防护措施</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做好管道防护加固措施、防腐工程、阴极保护等措施</w:t>
            </w:r>
            <w:r>
              <w:rPr>
                <w:rFonts w:hint="eastAsia" w:ascii="Times New Roman" w:cs="Times New Roman"/>
                <w:kern w:val="2"/>
                <w:sz w:val="21"/>
                <w:szCs w:val="21"/>
              </w:rPr>
              <w:t>。</w:t>
            </w:r>
          </w:p>
        </w:tc>
        <w:tc>
          <w:tcPr>
            <w:tcW w:w="241" w:type="pct"/>
            <w:vMerge w:val="restar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计入主体工程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continue"/>
            <w:vAlign w:val="center"/>
          </w:tcPr>
          <w:p>
            <w:pPr>
              <w:spacing w:line="240" w:lineRule="auto"/>
              <w:ind w:firstLine="0" w:firstLineChars="0"/>
              <w:jc w:val="center"/>
              <w:rPr>
                <w:rFonts w:ascii="Times New Roman" w:cs="Times New Roman"/>
                <w:kern w:val="2"/>
                <w:sz w:val="21"/>
                <w:szCs w:val="21"/>
              </w:rPr>
            </w:pPr>
          </w:p>
        </w:tc>
        <w:tc>
          <w:tcPr>
            <w:tcW w:w="844" w:type="pct"/>
            <w:gridSpan w:val="3"/>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消防措施</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按《建筑灭火器的配置设计规范》，在站</w:t>
            </w:r>
            <w:r>
              <w:rPr>
                <w:rFonts w:hint="eastAsia" w:ascii="Times New Roman" w:cs="Times New Roman"/>
                <w:kern w:val="2"/>
                <w:sz w:val="21"/>
                <w:szCs w:val="21"/>
              </w:rPr>
              <w:t>场</w:t>
            </w:r>
            <w:r>
              <w:rPr>
                <w:rFonts w:ascii="Times New Roman" w:cs="Times New Roman"/>
                <w:kern w:val="2"/>
                <w:sz w:val="21"/>
                <w:szCs w:val="21"/>
              </w:rPr>
              <w:t>装置区配置消防栓、各种手提式、推车式的CO</w:t>
            </w:r>
            <w:r>
              <w:rPr>
                <w:rFonts w:ascii="Times New Roman" w:cs="Times New Roman"/>
                <w:kern w:val="2"/>
                <w:sz w:val="21"/>
                <w:szCs w:val="21"/>
                <w:vertAlign w:val="subscript"/>
              </w:rPr>
              <w:t>2</w:t>
            </w:r>
            <w:r>
              <w:rPr>
                <w:rFonts w:ascii="Times New Roman" w:cs="Times New Roman"/>
                <w:kern w:val="2"/>
                <w:sz w:val="21"/>
                <w:szCs w:val="21"/>
              </w:rPr>
              <w:t>、干粉、泡沫等灭火器</w:t>
            </w:r>
            <w:r>
              <w:rPr>
                <w:rFonts w:hint="eastAsia" w:ascii="Times New Roman" w:cs="Times New Roman"/>
                <w:kern w:val="2"/>
                <w:sz w:val="21"/>
                <w:szCs w:val="21"/>
              </w:rPr>
              <w:t>。</w:t>
            </w:r>
          </w:p>
        </w:tc>
        <w:tc>
          <w:tcPr>
            <w:tcW w:w="241" w:type="pct"/>
            <w:vMerge w:val="continue"/>
            <w:vAlign w:val="center"/>
          </w:tcPr>
          <w:p>
            <w:pPr>
              <w:pStyle w:val="101"/>
              <w:kinsoku w:val="0"/>
              <w:overflowPunct w:val="0"/>
              <w:spacing w:line="240" w:lineRule="auto"/>
              <w:ind w:firstLine="0" w:firstLineChars="0"/>
              <w:rPr>
                <w:rFonts w:ascii="Times New Roman" w:cs="Times New Roman"/>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continue"/>
            <w:vAlign w:val="center"/>
          </w:tcPr>
          <w:p>
            <w:pPr>
              <w:spacing w:line="240" w:lineRule="auto"/>
              <w:ind w:firstLine="0" w:firstLineChars="0"/>
              <w:jc w:val="center"/>
              <w:rPr>
                <w:rFonts w:ascii="Times New Roman" w:cs="Times New Roman"/>
                <w:kern w:val="2"/>
                <w:sz w:val="21"/>
                <w:szCs w:val="21"/>
              </w:rPr>
            </w:pPr>
          </w:p>
        </w:tc>
        <w:tc>
          <w:tcPr>
            <w:tcW w:w="844" w:type="pct"/>
            <w:gridSpan w:val="3"/>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探测仪器</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安装可燃气体探测仪和烟雾报警装置</w:t>
            </w:r>
          </w:p>
        </w:tc>
        <w:tc>
          <w:tcPr>
            <w:tcW w:w="241" w:type="pct"/>
            <w:vMerge w:val="continue"/>
            <w:vAlign w:val="center"/>
          </w:tcPr>
          <w:p>
            <w:pPr>
              <w:pStyle w:val="101"/>
              <w:kinsoku w:val="0"/>
              <w:overflowPunct w:val="0"/>
              <w:spacing w:line="240" w:lineRule="auto"/>
              <w:ind w:firstLine="0" w:firstLineChars="0"/>
              <w:rPr>
                <w:rFonts w:ascii="Times New Roman" w:cs="Times New Roman"/>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restart"/>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环境管理</w:t>
            </w:r>
          </w:p>
        </w:tc>
        <w:tc>
          <w:tcPr>
            <w:tcW w:w="844" w:type="pct"/>
            <w:gridSpan w:val="3"/>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环境监测</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5</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开展施工期环境监测工作</w:t>
            </w:r>
            <w:r>
              <w:rPr>
                <w:rFonts w:hint="eastAsia" w:ascii="Times New Roman" w:cs="Times New Roman"/>
                <w:kern w:val="2"/>
                <w:sz w:val="21"/>
                <w:szCs w:val="21"/>
              </w:rPr>
              <w:t>。</w:t>
            </w:r>
          </w:p>
        </w:tc>
        <w:tc>
          <w:tcPr>
            <w:tcW w:w="241"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continue"/>
            <w:vAlign w:val="center"/>
          </w:tcPr>
          <w:p>
            <w:pPr>
              <w:spacing w:line="240" w:lineRule="auto"/>
              <w:ind w:firstLine="0" w:firstLineChars="0"/>
              <w:jc w:val="center"/>
              <w:rPr>
                <w:rFonts w:ascii="Times New Roman" w:cs="Times New Roman"/>
                <w:kern w:val="2"/>
                <w:sz w:val="21"/>
                <w:szCs w:val="21"/>
              </w:rPr>
            </w:pPr>
          </w:p>
        </w:tc>
        <w:tc>
          <w:tcPr>
            <w:tcW w:w="844" w:type="pct"/>
            <w:gridSpan w:val="3"/>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环境宣传、保护</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2</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开展环保知识培训；宣传环境保护法律、法规；建设并设施环保“三同时”制度</w:t>
            </w:r>
            <w:r>
              <w:rPr>
                <w:rFonts w:hint="eastAsia" w:ascii="Times New Roman" w:cs="Times New Roman"/>
                <w:kern w:val="2"/>
                <w:sz w:val="21"/>
                <w:szCs w:val="21"/>
              </w:rPr>
              <w:t>。</w:t>
            </w:r>
          </w:p>
        </w:tc>
        <w:tc>
          <w:tcPr>
            <w:tcW w:w="241"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424" w:type="pct"/>
            <w:vMerge w:val="continue"/>
            <w:vAlign w:val="center"/>
          </w:tcPr>
          <w:p>
            <w:pPr>
              <w:spacing w:line="240" w:lineRule="auto"/>
              <w:ind w:firstLine="0" w:firstLineChars="0"/>
              <w:jc w:val="center"/>
              <w:rPr>
                <w:rFonts w:ascii="Times New Roman" w:cs="Times New Roman"/>
                <w:kern w:val="2"/>
                <w:sz w:val="21"/>
                <w:szCs w:val="21"/>
              </w:rPr>
            </w:pPr>
          </w:p>
        </w:tc>
        <w:tc>
          <w:tcPr>
            <w:tcW w:w="844" w:type="pct"/>
            <w:gridSpan w:val="3"/>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竣工验收</w:t>
            </w:r>
          </w:p>
        </w:tc>
        <w:tc>
          <w:tcPr>
            <w:tcW w:w="244"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15</w:t>
            </w:r>
          </w:p>
        </w:tc>
        <w:tc>
          <w:tcPr>
            <w:tcW w:w="3247"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开展环保竣工验收工作</w:t>
            </w:r>
            <w:r>
              <w:rPr>
                <w:rFonts w:hint="eastAsia" w:ascii="Times New Roman" w:cs="Times New Roman"/>
                <w:kern w:val="2"/>
                <w:sz w:val="21"/>
                <w:szCs w:val="21"/>
              </w:rPr>
              <w:t>。</w:t>
            </w:r>
          </w:p>
        </w:tc>
        <w:tc>
          <w:tcPr>
            <w:tcW w:w="241" w:type="pct"/>
            <w:vAlign w:val="center"/>
          </w:tcPr>
          <w:p>
            <w:pPr>
              <w:pStyle w:val="101"/>
              <w:kinsoku w:val="0"/>
              <w:overflowPunct w:val="0"/>
              <w:spacing w:line="240" w:lineRule="auto"/>
              <w:ind w:firstLine="0" w:firstLineChars="0"/>
              <w:rPr>
                <w:rFonts w:ascii="Times New Roman" w:cs="Times New Roman"/>
                <w:kern w:val="2"/>
                <w:sz w:val="21"/>
                <w:szCs w:val="21"/>
              </w:rPr>
            </w:pPr>
            <w:r>
              <w:rPr>
                <w:rFonts w:ascii="Times New Roman" w:cs="Times New Roman"/>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268" w:type="pct"/>
            <w:gridSpan w:val="4"/>
            <w:tcBorders>
              <w:right w:val="single" w:color="000000" w:sz="2" w:space="0"/>
            </w:tcBorders>
            <w:vAlign w:val="center"/>
          </w:tcPr>
          <w:p>
            <w:pPr>
              <w:spacing w:line="240" w:lineRule="auto"/>
              <w:ind w:firstLine="0" w:firstLineChars="0"/>
              <w:jc w:val="center"/>
              <w:rPr>
                <w:rFonts w:ascii="Times New Roman" w:cs="Times New Roman"/>
                <w:kern w:val="2"/>
                <w:sz w:val="21"/>
                <w:szCs w:val="21"/>
              </w:rPr>
            </w:pPr>
            <w:r>
              <w:rPr>
                <w:rFonts w:ascii="Times New Roman" w:cs="Times New Roman"/>
                <w:kern w:val="2"/>
                <w:sz w:val="21"/>
                <w:szCs w:val="21"/>
              </w:rPr>
              <w:t>合计</w:t>
            </w:r>
          </w:p>
        </w:tc>
        <w:tc>
          <w:tcPr>
            <w:tcW w:w="3732" w:type="pct"/>
            <w:gridSpan w:val="3"/>
            <w:tcBorders>
              <w:left w:val="single" w:color="000000" w:sz="2" w:space="0"/>
            </w:tcBorders>
            <w:vAlign w:val="center"/>
          </w:tcPr>
          <w:p>
            <w:pPr>
              <w:widowControl/>
              <w:topLinePunct w:val="0"/>
              <w:adjustRightInd/>
              <w:spacing w:line="240" w:lineRule="auto"/>
              <w:ind w:firstLine="0" w:firstLineChars="0"/>
              <w:jc w:val="center"/>
              <w:rPr>
                <w:rFonts w:ascii="Times New Roman" w:cs="Times New Roman"/>
                <w:kern w:val="2"/>
                <w:sz w:val="21"/>
                <w:szCs w:val="22"/>
              </w:rPr>
            </w:pPr>
            <w:r>
              <w:rPr>
                <w:rFonts w:hint="eastAsia" w:ascii="Times New Roman" w:cs="Times New Roman"/>
                <w:kern w:val="2"/>
                <w:sz w:val="21"/>
                <w:szCs w:val="22"/>
              </w:rPr>
              <w:t>450</w:t>
            </w:r>
          </w:p>
        </w:tc>
      </w:tr>
    </w:tbl>
    <w:p>
      <w:pPr>
        <w:widowControl/>
        <w:topLinePunct w:val="0"/>
        <w:adjustRightInd/>
        <w:ind w:firstLine="0" w:firstLineChars="0"/>
        <w:jc w:val="left"/>
        <w:rPr>
          <w:rFonts w:ascii="Times New Roman" w:cs="Times New Roman"/>
          <w:b/>
          <w:bCs/>
          <w:sz w:val="32"/>
          <w:szCs w:val="32"/>
        </w:rPr>
        <w:sectPr>
          <w:pgSz w:w="16840" w:h="11910" w:orient="landscape"/>
          <w:pgMar w:top="1077" w:right="1281" w:bottom="1219" w:left="1021" w:header="885" w:footer="1026" w:gutter="0"/>
          <w:cols w:space="720" w:num="1"/>
          <w:docGrid w:linePitch="326" w:charSpace="0"/>
        </w:sectPr>
      </w:pPr>
    </w:p>
    <w:p>
      <w:pPr>
        <w:pStyle w:val="2"/>
        <w:spacing w:before="0" w:beforeAutospacing="0" w:after="0" w:afterAutospacing="0"/>
        <w:rPr>
          <w:rFonts w:eastAsia="宋体"/>
        </w:rPr>
      </w:pPr>
      <w:bookmarkStart w:id="641" w:name="bookmark77"/>
      <w:bookmarkEnd w:id="641"/>
      <w:bookmarkStart w:id="642" w:name="_Toc81515309"/>
      <w:bookmarkStart w:id="643" w:name="_Toc12288818"/>
      <w:bookmarkStart w:id="644" w:name="_Toc19816137"/>
      <w:r>
        <w:rPr>
          <w:rFonts w:eastAsia="宋体"/>
        </w:rPr>
        <w:t>9 环境影响经济损益分析</w:t>
      </w:r>
      <w:bookmarkEnd w:id="642"/>
      <w:bookmarkEnd w:id="643"/>
      <w:bookmarkEnd w:id="644"/>
    </w:p>
    <w:p>
      <w:pPr>
        <w:pStyle w:val="112"/>
        <w:ind w:firstLine="480"/>
      </w:pPr>
      <w:r>
        <w:t>环境影响经济损益分析是环境影响评价的一项主要内容，设置的目的在于衡量建设项目所需投入的环保投资和能收到的环保效果，以评价本项目的环境经济可行性。因而在环境经济损益分析中除计算用于控制污染所需投资费用外，同时还需估算可能收到的环境与经济效益，以实现扩大生产、提高经济效益的同时不致于造成区域环境污染，做到经济效益、社会效益和环境效益的协调发展。</w:t>
      </w:r>
    </w:p>
    <w:p>
      <w:pPr>
        <w:pStyle w:val="112"/>
        <w:ind w:firstLine="480"/>
      </w:pPr>
      <w:r>
        <w:t>由前述评价可见，管线建设对环境影响是多方面的，而这些影响又都难以进行经济核算，对环境影响采用的减缓措施取得的是社会和生态效益，目前这些效益也难以采用经济方法进行估价，为此下面仅从本项目的工程社会效益和环境保护措施的投资两方面进行经济损益分析。</w:t>
      </w:r>
    </w:p>
    <w:p>
      <w:pPr>
        <w:pStyle w:val="3"/>
        <w:spacing w:before="120"/>
        <w:rPr>
          <w:rFonts w:cs="Times New Roman"/>
        </w:rPr>
      </w:pPr>
      <w:bookmarkStart w:id="645" w:name="bookmark78"/>
      <w:bookmarkEnd w:id="645"/>
      <w:bookmarkStart w:id="646" w:name="_Toc81515310"/>
      <w:bookmarkStart w:id="647" w:name="_Toc19816138"/>
      <w:bookmarkStart w:id="648" w:name="_Toc12288819"/>
      <w:r>
        <w:rPr>
          <w:rFonts w:cs="Times New Roman"/>
        </w:rPr>
        <w:t>9.1 工程经济、社会效益分析</w:t>
      </w:r>
      <w:bookmarkEnd w:id="646"/>
      <w:bookmarkEnd w:id="647"/>
      <w:bookmarkEnd w:id="648"/>
    </w:p>
    <w:p>
      <w:pPr>
        <w:pStyle w:val="112"/>
        <w:ind w:firstLine="480"/>
      </w:pPr>
      <w:r>
        <w:t>作为一种优质、高效、清洁的能源，天然气在能源竞争中的优势已逐步确立，开发利用天然气已成为当代世界的潮流。随着全球天然气探明储量和产量同步迅速增长，然气在能源构成中所占比例日益提高。有专家预计，2020年后，天然气将超过原油和煤炭，成为世界一次能源消费结构中的“首席能源”，天然气将进入一个全新的历史发展时期。</w:t>
      </w:r>
    </w:p>
    <w:p>
      <w:pPr>
        <w:pStyle w:val="112"/>
        <w:ind w:firstLine="480"/>
      </w:pPr>
      <w:r>
        <w:t>工程的建设有利于区域天然气资源的开发利用，提供了高效畅通的运输，降低了运输成本，提高了运输的连续可靠性。本工程建设需要一定数量的人力，除施工单位外，还需在当地招募民工，因而可给当地居民和农民增加收入。另外，管道工程建设需要大批钢材、建材及配套设备，可带动机械、电力、化工、冶金、建材等相关工业的发展。</w:t>
      </w:r>
    </w:p>
    <w:p>
      <w:pPr>
        <w:pStyle w:val="3"/>
        <w:spacing w:before="120"/>
        <w:rPr>
          <w:rFonts w:cs="Times New Roman"/>
        </w:rPr>
      </w:pPr>
      <w:bookmarkStart w:id="649" w:name="bookmark79"/>
      <w:bookmarkEnd w:id="649"/>
      <w:bookmarkStart w:id="650" w:name="_Toc81515311"/>
      <w:bookmarkStart w:id="651" w:name="_Toc19816141"/>
      <w:bookmarkStart w:id="652" w:name="_Toc12288822"/>
      <w:r>
        <w:rPr>
          <w:rFonts w:cs="Times New Roman"/>
        </w:rPr>
        <w:t>9.2 环境损益分析</w:t>
      </w:r>
      <w:bookmarkEnd w:id="650"/>
      <w:bookmarkEnd w:id="651"/>
      <w:bookmarkEnd w:id="652"/>
    </w:p>
    <w:p>
      <w:pPr>
        <w:pStyle w:val="4"/>
        <w:rPr>
          <w:rFonts w:eastAsia="宋体"/>
        </w:rPr>
      </w:pPr>
      <w:bookmarkStart w:id="653" w:name="_Toc19816142"/>
      <w:bookmarkStart w:id="654" w:name="_Toc12288823"/>
      <w:r>
        <w:rPr>
          <w:rFonts w:eastAsia="宋体"/>
        </w:rPr>
        <w:t>9.2.1 工程造成的环境损失分析</w:t>
      </w:r>
      <w:bookmarkEnd w:id="653"/>
      <w:bookmarkEnd w:id="654"/>
    </w:p>
    <w:p>
      <w:pPr>
        <w:pStyle w:val="112"/>
        <w:ind w:firstLine="480"/>
      </w:pPr>
      <w:r>
        <w:t>本工程在建设过程中，需要临时占用一定数量的土地，主要占用的是旱地、水田和</w:t>
      </w:r>
      <w:r>
        <w:rPr>
          <w:rFonts w:hint="eastAsia"/>
        </w:rPr>
        <w:t>一般</w:t>
      </w:r>
      <w:r>
        <w:t>林地等。临时性占地只对耕作期的作物有影响，对农业带来的损失是暂时的，在施工结束后，经过一段时间皆可恢复其原有功能。一般来说，环境损失包括直接损失和间接损失，直接损失指由于项目建设对土壤、地表植被及其生境破坏所造成的环境经济损失，即土地资源破坏的经济损失，从而减少了耕地的面积；间接损失指由土地资源损失而引起的其它生态问题，如荒漠化、沙尘暴、生物多样性及生产力下降等生态灾害所造成的环境经济损失。间接损失的确定目前尚无一套完整的计算方法和参考数据，因此，仅通过计算直接农业生态和林地损失来代表环境损失。</w:t>
      </w:r>
    </w:p>
    <w:p>
      <w:pPr>
        <w:pStyle w:val="4"/>
        <w:rPr>
          <w:rFonts w:eastAsia="宋体"/>
        </w:rPr>
      </w:pPr>
      <w:bookmarkStart w:id="655" w:name="_Toc12288824"/>
      <w:bookmarkStart w:id="656" w:name="_Toc19816143"/>
      <w:r>
        <w:rPr>
          <w:rFonts w:eastAsia="宋体"/>
        </w:rPr>
        <w:t>9.2.2 环境效益分析</w:t>
      </w:r>
      <w:bookmarkEnd w:id="655"/>
      <w:bookmarkEnd w:id="656"/>
    </w:p>
    <w:p>
      <w:pPr>
        <w:pStyle w:val="112"/>
        <w:ind w:firstLine="480"/>
      </w:pPr>
      <w:r>
        <w:t>（1）本项目的建设，进一步服务普光气田</w:t>
      </w:r>
      <w:r>
        <w:rPr>
          <w:rFonts w:hint="eastAsia"/>
        </w:rPr>
        <w:t>普光主体</w:t>
      </w:r>
      <w:r>
        <w:t>区块的开发，</w:t>
      </w:r>
      <w:r>
        <w:rPr>
          <w:rFonts w:hint="eastAsia"/>
        </w:rPr>
        <w:t>配合开发部门完成气井产量等评估工作</w:t>
      </w:r>
      <w:r>
        <w:t>，有利于区域的可持续发展。</w:t>
      </w:r>
    </w:p>
    <w:p>
      <w:pPr>
        <w:pStyle w:val="112"/>
        <w:ind w:firstLine="480"/>
      </w:pPr>
      <w:r>
        <w:t>（2）本项目完成后，通过调度控制中心进行全线监控。同时管道防腐采用加强级三层结构聚乙烯防腐层，提高了运输安全性，降低了泄漏事故发生的概率，从而减少了因泄漏事故对环境的危害和对周边人员的伤害。</w:t>
      </w:r>
    </w:p>
    <w:p>
      <w:pPr>
        <w:pStyle w:val="112"/>
        <w:ind w:firstLine="480"/>
      </w:pPr>
      <w:r>
        <w:t>（3）管道输送是一种安全、稳定、高效的运送方式，可减少由于运输带来的环境污染。由于天然气采用管道密闭输送，运输中不会对环境造成污染，而利用煤炭或者石油，需要车船运输，运输中会产生一定量的大气污染物，如汽车尾气、二次扬尘。因此，管道输送天然气避免了运输对环境的污染问题，保护了生态环境，具有较好的环境效益。</w:t>
      </w:r>
    </w:p>
    <w:p>
      <w:pPr>
        <w:pStyle w:val="3"/>
        <w:spacing w:before="120"/>
        <w:rPr>
          <w:rFonts w:cs="Times New Roman"/>
        </w:rPr>
      </w:pPr>
      <w:bookmarkStart w:id="657" w:name="bookmark80"/>
      <w:bookmarkEnd w:id="657"/>
      <w:bookmarkStart w:id="658" w:name="_Toc19816145"/>
      <w:bookmarkStart w:id="659" w:name="_Toc12288826"/>
      <w:bookmarkStart w:id="660" w:name="_Toc81515312"/>
      <w:r>
        <w:rPr>
          <w:rFonts w:cs="Times New Roman"/>
        </w:rPr>
        <w:t>9.3 结论</w:t>
      </w:r>
      <w:bookmarkEnd w:id="658"/>
      <w:bookmarkEnd w:id="659"/>
      <w:bookmarkEnd w:id="660"/>
    </w:p>
    <w:p>
      <w:pPr>
        <w:pStyle w:val="112"/>
        <w:ind w:firstLine="480"/>
      </w:pPr>
      <w:r>
        <w:t>经上述分析可知，从长远角度考虑，本项目的建设有利于环境质量改善，区域长久稳定、安全的发展。对于工程在施工期产生的各类污染物及对生态环境的影响采取了相应的环境保护措施，减轻工程建设所带来的不利影响。由此可见，本工程实施后所带来的环境经济效益，比工程在施工中所造成的直接环境经济损失要大的多。因此，本工程实施后，产生的环境经济效益是显著的，项目建设符合社会效益、经济效益和环境效益统一的原则。</w:t>
      </w:r>
    </w:p>
    <w:p>
      <w:pPr>
        <w:widowControl/>
        <w:topLinePunct w:val="0"/>
        <w:adjustRightInd/>
        <w:ind w:firstLine="0" w:firstLineChars="0"/>
        <w:jc w:val="left"/>
        <w:rPr>
          <w:rFonts w:ascii="Times New Roman" w:cs="Times New Roman"/>
          <w:b/>
          <w:bCs/>
          <w:sz w:val="32"/>
          <w:szCs w:val="32"/>
        </w:rPr>
        <w:sectPr>
          <w:pgSz w:w="11910" w:h="16840"/>
          <w:pgMar w:top="1440" w:right="1800" w:bottom="1440" w:left="1800" w:header="885" w:footer="1025" w:gutter="0"/>
          <w:cols w:space="720" w:num="1"/>
          <w:docGrid w:linePitch="326" w:charSpace="0"/>
        </w:sectPr>
      </w:pPr>
    </w:p>
    <w:p>
      <w:pPr>
        <w:pStyle w:val="2"/>
        <w:spacing w:before="0" w:beforeAutospacing="0" w:after="0" w:afterAutospacing="0"/>
        <w:rPr>
          <w:rFonts w:eastAsia="宋体"/>
        </w:rPr>
      </w:pPr>
      <w:bookmarkStart w:id="661" w:name="bookmark81"/>
      <w:bookmarkEnd w:id="661"/>
      <w:bookmarkStart w:id="662" w:name="_Toc12288827"/>
      <w:bookmarkStart w:id="663" w:name="_Toc19816146"/>
      <w:bookmarkStart w:id="664" w:name="_Toc81515313"/>
      <w:r>
        <w:rPr>
          <w:rFonts w:eastAsia="宋体"/>
        </w:rPr>
        <w:t>10 环境管理与监测计划</w:t>
      </w:r>
      <w:bookmarkEnd w:id="662"/>
      <w:bookmarkEnd w:id="663"/>
      <w:bookmarkEnd w:id="664"/>
    </w:p>
    <w:p>
      <w:pPr>
        <w:pStyle w:val="6"/>
        <w:ind w:firstLine="480"/>
        <w:rPr>
          <w:rFonts w:ascii="Times New Roman" w:cs="Times New Roman"/>
        </w:rPr>
      </w:pPr>
      <w:r>
        <w:rPr>
          <w:rFonts w:ascii="Times New Roman" w:cs="Times New Roman"/>
        </w:rPr>
        <w:t>环境管理是企业管理的一项重要内容。加强环境监督管理力度，尽可能的减少“三废”排放数量及提高资源的合理利用率，把对环境的不良影响减小到最低限度，是企业实现环境、生产、经济协调持续发展的重要措施。环境监测是环境管理的重要组成部分，是工业污染防治的依据和环境监督管理工作的哨兵，加强环境监测是了解和掌握项目排污特征，研究污染发展趋势及防治对策的重要依据与途径。</w:t>
      </w:r>
    </w:p>
    <w:p>
      <w:pPr>
        <w:pStyle w:val="6"/>
        <w:ind w:firstLine="480"/>
        <w:rPr>
          <w:rFonts w:ascii="Times New Roman" w:cs="Times New Roman"/>
        </w:rPr>
      </w:pPr>
      <w:r>
        <w:rPr>
          <w:rFonts w:ascii="Times New Roman" w:cs="Times New Roman"/>
        </w:rPr>
        <w:t>本管道工程线路长度</w:t>
      </w:r>
      <w:r>
        <w:rPr>
          <w:rFonts w:hint="eastAsia" w:ascii="Times New Roman" w:cs="Times New Roman"/>
        </w:rPr>
        <w:t>较短</w:t>
      </w:r>
      <w:r>
        <w:rPr>
          <w:rFonts w:ascii="Times New Roman" w:cs="Times New Roman"/>
        </w:rPr>
        <w:t>，对环境的影响主要来自施工期的各种作业活动及运行期的风险事故。无论是施工期的各种作业活动还是运行期的事故，都将会给生态环境带来较大的影响。为最大限度地减轻施工作业对生态环境的影响，减少事故的发生，确保管道安全运行，建立科学有效的环境管理体制，落实各项环保和安全措施尤为重要。</w:t>
      </w:r>
    </w:p>
    <w:p>
      <w:pPr>
        <w:pStyle w:val="6"/>
        <w:ind w:firstLine="480"/>
        <w:rPr>
          <w:rFonts w:ascii="Times New Roman" w:cs="Times New Roman"/>
        </w:rPr>
      </w:pPr>
      <w:r>
        <w:rPr>
          <w:rFonts w:ascii="Times New Roman" w:cs="Times New Roman"/>
        </w:rPr>
        <w:t>本章将根据工程在施工期和运营期的环境污染特征，提出施工期和运营期的环境管理、施工环境监理和环境监测计划的具体内容。</w:t>
      </w:r>
    </w:p>
    <w:p>
      <w:pPr>
        <w:pStyle w:val="3"/>
        <w:spacing w:before="120"/>
        <w:rPr>
          <w:rFonts w:cs="Times New Roman"/>
        </w:rPr>
      </w:pPr>
      <w:bookmarkStart w:id="665" w:name="bookmark82"/>
      <w:bookmarkEnd w:id="665"/>
      <w:bookmarkStart w:id="666" w:name="_Toc19816147"/>
      <w:bookmarkStart w:id="667" w:name="_Toc12288828"/>
      <w:bookmarkStart w:id="668" w:name="_Toc81515314"/>
      <w:r>
        <w:rPr>
          <w:rFonts w:cs="Times New Roman"/>
        </w:rPr>
        <w:t>10.1 施工期环境管理</w:t>
      </w:r>
      <w:bookmarkEnd w:id="666"/>
      <w:bookmarkEnd w:id="667"/>
      <w:bookmarkEnd w:id="668"/>
    </w:p>
    <w:p>
      <w:pPr>
        <w:pStyle w:val="6"/>
        <w:ind w:firstLine="480"/>
        <w:rPr>
          <w:rFonts w:ascii="Times New Roman" w:cs="Times New Roman"/>
        </w:rPr>
      </w:pPr>
      <w:r>
        <w:rPr>
          <w:rFonts w:ascii="Times New Roman" w:cs="Times New Roman"/>
        </w:rPr>
        <w:t>项目施工对环境的影响主要是在建设施工期，为确保各项环保措施的落实，最大限度地减轻施工作业对环境的影响，建立环境管理体系和监督机制尤为重要。本项目施工期环境管理由中国石油化工股份有限公司中原油田普光分公司负责。</w:t>
      </w:r>
    </w:p>
    <w:p>
      <w:pPr>
        <w:pStyle w:val="4"/>
        <w:rPr>
          <w:rFonts w:eastAsia="宋体"/>
        </w:rPr>
      </w:pPr>
      <w:bookmarkStart w:id="669" w:name="_Toc12288829"/>
      <w:bookmarkStart w:id="670" w:name="_Toc19816148"/>
      <w:r>
        <w:rPr>
          <w:rFonts w:eastAsia="宋体"/>
        </w:rPr>
        <w:t>10.1.1 施工期的环境管理</w:t>
      </w:r>
      <w:bookmarkEnd w:id="669"/>
      <w:bookmarkEnd w:id="670"/>
    </w:p>
    <w:p>
      <w:pPr>
        <w:pStyle w:val="6"/>
        <w:ind w:firstLine="480"/>
        <w:rPr>
          <w:rFonts w:ascii="Times New Roman" w:cs="Times New Roman"/>
        </w:rPr>
      </w:pPr>
      <w:r>
        <w:rPr>
          <w:rFonts w:ascii="Times New Roman" w:cs="Times New Roman"/>
        </w:rPr>
        <w:t>（1）贯彻执行国家环境保护的方针、政策、法律和法规。</w:t>
      </w:r>
    </w:p>
    <w:p>
      <w:pPr>
        <w:pStyle w:val="6"/>
        <w:ind w:firstLine="480"/>
        <w:rPr>
          <w:rFonts w:ascii="Times New Roman" w:cs="Times New Roman"/>
        </w:rPr>
      </w:pPr>
      <w:r>
        <w:rPr>
          <w:rFonts w:ascii="Times New Roman" w:cs="Times New Roman"/>
        </w:rPr>
        <w:t>（2）组织制定本部门环境保护的规章制度和标准，并督促检查其执行。</w:t>
      </w:r>
    </w:p>
    <w:p>
      <w:pPr>
        <w:pStyle w:val="6"/>
        <w:ind w:firstLine="480"/>
        <w:rPr>
          <w:rFonts w:ascii="Times New Roman" w:cs="Times New Roman"/>
        </w:rPr>
      </w:pPr>
      <w:r>
        <w:rPr>
          <w:rFonts w:ascii="Times New Roman" w:cs="Times New Roman"/>
        </w:rPr>
        <w:t>（3）选择环保业绩优秀的施工承包方。施工期对环境的破坏程度与施工承包方的素质和管理水平有很大关系。在承包方的选择上，除实力、人员素质和装备技术等方面外，还要考虑施工承包方的HSE表现，应优先那些HSE管理水平高、业绩好的单位。</w:t>
      </w:r>
    </w:p>
    <w:p>
      <w:pPr>
        <w:pStyle w:val="6"/>
        <w:ind w:firstLine="480"/>
        <w:rPr>
          <w:rFonts w:ascii="Times New Roman" w:cs="Times New Roman"/>
        </w:rPr>
      </w:pPr>
      <w:r>
        <w:rPr>
          <w:rFonts w:ascii="Times New Roman" w:cs="Times New Roman"/>
        </w:rPr>
        <w:t>（4）对施工承包方提出明确的环保要求。在承包合同中应明确规定有关环境保护条款，如承包施工段的主要环境保护目标应采取的水、气、声、生态保护及水土保持等，将环保工作的执行情况作为工程验收的标准之一。要求承包方按照中国石油化工股份有限公司中原油田普光分公司HSE体系要求，建立相应的HSE管理机构，明确人员、职责等。要求施工承包方在施工前，按照其施工段的环保要求，编制详细的“环境管理方案”，并连同施工计划一起呈报中国石油化工股份有限公司中原油田普光分公司HSE管理部门，批准后方可开工。</w:t>
      </w:r>
    </w:p>
    <w:p>
      <w:pPr>
        <w:pStyle w:val="6"/>
        <w:ind w:firstLine="480"/>
        <w:rPr>
          <w:rFonts w:ascii="Times New Roman" w:cs="Times New Roman"/>
        </w:rPr>
      </w:pPr>
      <w:r>
        <w:rPr>
          <w:rFonts w:ascii="Times New Roman" w:cs="Times New Roman"/>
        </w:rPr>
        <w:t>（5）根据管线各区段不同的环境保护目标，负责制定或审核各区段施工作业的监督计划，根据施工中各工种的作业特点和各施工区段的敏感目标，分别提出不同的环境保护要求，制定发生环境事故的应急计划和措施。</w:t>
      </w:r>
    </w:p>
    <w:p>
      <w:pPr>
        <w:pStyle w:val="6"/>
        <w:ind w:firstLine="480"/>
        <w:rPr>
          <w:rFonts w:ascii="Times New Roman" w:cs="Times New Roman"/>
        </w:rPr>
      </w:pPr>
      <w:r>
        <w:rPr>
          <w:rFonts w:ascii="Times New Roman" w:cs="Times New Roman"/>
        </w:rPr>
        <w:t>（6）监督施工期各项环保措施的落实情况，负责环保工程的检查和预验收，负责协调与县环保、水利、土地等部门的关系，以及群众团体的生态环境保护问题，调查处理管道施工中的环境破坏和污染事故。</w:t>
      </w:r>
    </w:p>
    <w:p>
      <w:pPr>
        <w:pStyle w:val="6"/>
        <w:ind w:firstLine="480"/>
        <w:rPr>
          <w:rFonts w:ascii="Times New Roman" w:cs="Times New Roman"/>
        </w:rPr>
      </w:pPr>
      <w:r>
        <w:rPr>
          <w:rFonts w:ascii="Times New Roman" w:cs="Times New Roman"/>
        </w:rPr>
        <w:t>（7）审定、落实并督促实施生态恢复和污染治理方案，监督恢复治理资金和物质的使用；负责有关环保文件、技术资料和施工期现场环境监测资料的收集建档。</w:t>
      </w:r>
    </w:p>
    <w:p>
      <w:pPr>
        <w:pStyle w:val="6"/>
        <w:ind w:firstLine="480"/>
        <w:rPr>
          <w:rFonts w:ascii="Times New Roman" w:cs="Times New Roman"/>
        </w:rPr>
      </w:pPr>
      <w:r>
        <w:rPr>
          <w:rFonts w:ascii="Times New Roman" w:cs="Times New Roman"/>
        </w:rPr>
        <w:t>（8）监督检查保护生态环境和防止污染设施与管道主体工程同时设计、同时施工、同时投入使用的执行情况。</w:t>
      </w:r>
    </w:p>
    <w:p>
      <w:pPr>
        <w:pStyle w:val="6"/>
        <w:ind w:firstLine="480"/>
        <w:rPr>
          <w:rFonts w:ascii="Times New Roman" w:cs="Times New Roman"/>
        </w:rPr>
      </w:pPr>
      <w:r>
        <w:rPr>
          <w:rFonts w:ascii="Times New Roman" w:cs="Times New Roman"/>
        </w:rPr>
        <w:t>（9）组织开展管道环境保护的科研、宣传教育、培训工作。</w:t>
      </w:r>
    </w:p>
    <w:p>
      <w:pPr>
        <w:pStyle w:val="37"/>
        <w:rPr>
          <w:rFonts w:cs="Times New Roman"/>
        </w:rPr>
      </w:pPr>
      <w:r>
        <w:rPr>
          <w:rFonts w:cs="Times New Roman"/>
        </w:rPr>
        <w:t>表10.1-1  施工期HSE管理方案的重点监控内容</w:t>
      </w:r>
    </w:p>
    <w:tbl>
      <w:tblPr>
        <w:tblStyle w:val="57"/>
        <w:tblW w:w="508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98"/>
        <w:gridCol w:w="5049"/>
        <w:gridCol w:w="210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 w:hRule="atLeast"/>
          <w:jc w:val="center"/>
        </w:trPr>
        <w:tc>
          <w:tcPr>
            <w:tcW w:w="768" w:type="pct"/>
            <w:tcBorders>
              <w:top w:val="single" w:color="000000" w:sz="12" w:space="0"/>
              <w:left w:val="nil"/>
              <w:bottom w:val="single" w:color="000000" w:sz="4" w:space="0"/>
              <w:right w:val="single" w:color="000000" w:sz="4" w:space="0"/>
            </w:tcBorders>
            <w:vAlign w:val="center"/>
          </w:tcPr>
          <w:p>
            <w:pPr>
              <w:pStyle w:val="132"/>
              <w:rPr>
                <w:b/>
                <w:bCs/>
              </w:rPr>
            </w:pPr>
            <w:r>
              <w:rPr>
                <w:b/>
                <w:bCs/>
              </w:rPr>
              <w:t>重点地段</w:t>
            </w:r>
          </w:p>
        </w:tc>
        <w:tc>
          <w:tcPr>
            <w:tcW w:w="2987" w:type="pct"/>
            <w:tcBorders>
              <w:top w:val="single" w:color="000000" w:sz="12" w:space="0"/>
              <w:left w:val="single" w:color="000000" w:sz="4" w:space="0"/>
              <w:bottom w:val="single" w:color="000000" w:sz="4" w:space="0"/>
              <w:right w:val="single" w:color="000000" w:sz="4" w:space="0"/>
            </w:tcBorders>
            <w:vAlign w:val="center"/>
          </w:tcPr>
          <w:p>
            <w:pPr>
              <w:pStyle w:val="132"/>
              <w:rPr>
                <w:b/>
                <w:bCs/>
              </w:rPr>
            </w:pPr>
            <w:r>
              <w:rPr>
                <w:b/>
                <w:bCs/>
              </w:rPr>
              <w:t>重点监理内容</w:t>
            </w:r>
          </w:p>
        </w:tc>
        <w:tc>
          <w:tcPr>
            <w:tcW w:w="1245" w:type="pct"/>
            <w:tcBorders>
              <w:top w:val="single" w:color="000000" w:sz="12" w:space="0"/>
              <w:left w:val="single" w:color="000000" w:sz="4" w:space="0"/>
              <w:bottom w:val="single" w:color="000000" w:sz="4" w:space="0"/>
              <w:right w:val="nil"/>
            </w:tcBorders>
            <w:vAlign w:val="center"/>
          </w:tcPr>
          <w:p>
            <w:pPr>
              <w:pStyle w:val="132"/>
              <w:rPr>
                <w:b/>
                <w:bCs/>
              </w:rPr>
            </w:pPr>
            <w:r>
              <w:rPr>
                <w:b/>
                <w:bCs/>
              </w:rPr>
              <w:t>目的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 w:hRule="atLeast"/>
          <w:jc w:val="center"/>
        </w:trPr>
        <w:tc>
          <w:tcPr>
            <w:tcW w:w="768" w:type="pct"/>
            <w:tcBorders>
              <w:top w:val="single" w:color="000000" w:sz="4" w:space="0"/>
              <w:left w:val="nil"/>
              <w:bottom w:val="single" w:color="000000" w:sz="4" w:space="0"/>
              <w:right w:val="single" w:color="000000" w:sz="4" w:space="0"/>
            </w:tcBorders>
            <w:vAlign w:val="center"/>
          </w:tcPr>
          <w:p>
            <w:pPr>
              <w:pStyle w:val="132"/>
            </w:pPr>
            <w:r>
              <w:t>沿线农田</w:t>
            </w:r>
          </w:p>
        </w:tc>
        <w:tc>
          <w:tcPr>
            <w:tcW w:w="2987" w:type="pct"/>
            <w:tcBorders>
              <w:top w:val="single" w:color="000000" w:sz="4" w:space="0"/>
              <w:left w:val="single" w:color="000000" w:sz="4" w:space="0"/>
              <w:bottom w:val="single" w:color="000000" w:sz="4" w:space="0"/>
              <w:right w:val="single" w:color="000000" w:sz="4" w:space="0"/>
            </w:tcBorders>
            <w:vAlign w:val="center"/>
          </w:tcPr>
          <w:p>
            <w:pPr>
              <w:pStyle w:val="132"/>
              <w:jc w:val="left"/>
            </w:pPr>
            <w:r>
              <w:t>1．是否严格执行了“分层开挖、分层堆放、分层回填”；</w:t>
            </w:r>
          </w:p>
          <w:p>
            <w:pPr>
              <w:pStyle w:val="132"/>
              <w:jc w:val="left"/>
            </w:pPr>
            <w:r>
              <w:t>2．施工作业场地设置是否合理，施工、运输车辆是否按指定路线行驶；</w:t>
            </w:r>
          </w:p>
          <w:p>
            <w:pPr>
              <w:pStyle w:val="132"/>
              <w:jc w:val="left"/>
            </w:pPr>
            <w:r>
              <w:t>3．施工人员是否超越施工作业带施工；</w:t>
            </w:r>
          </w:p>
          <w:p>
            <w:pPr>
              <w:pStyle w:val="132"/>
              <w:jc w:val="left"/>
            </w:pPr>
            <w:r>
              <w:t>4．施工人员是否超越施工活动范围；</w:t>
            </w:r>
          </w:p>
          <w:p>
            <w:pPr>
              <w:pStyle w:val="132"/>
              <w:jc w:val="left"/>
            </w:pPr>
            <w:r>
              <w:t>5．垃圾、废物是否有指定地点堆放，是否及时清理；</w:t>
            </w:r>
          </w:p>
          <w:p>
            <w:pPr>
              <w:pStyle w:val="132"/>
              <w:jc w:val="left"/>
            </w:pPr>
            <w:r>
              <w:t>6．施工结束后临时用地是否彻底恢复。</w:t>
            </w:r>
          </w:p>
        </w:tc>
        <w:tc>
          <w:tcPr>
            <w:tcW w:w="1245" w:type="pct"/>
            <w:tcBorders>
              <w:top w:val="single" w:color="000000" w:sz="4" w:space="0"/>
              <w:left w:val="single" w:color="000000" w:sz="4" w:space="0"/>
              <w:bottom w:val="single" w:color="000000" w:sz="4" w:space="0"/>
              <w:right w:val="nil"/>
            </w:tcBorders>
            <w:vAlign w:val="center"/>
          </w:tcPr>
          <w:p>
            <w:pPr>
              <w:pStyle w:val="132"/>
            </w:pPr>
            <w:r>
              <w:t>减少土壤和农作物的破坏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 w:hRule="atLeast"/>
          <w:jc w:val="center"/>
        </w:trPr>
        <w:tc>
          <w:tcPr>
            <w:tcW w:w="768" w:type="pct"/>
            <w:tcBorders>
              <w:top w:val="single" w:color="000000" w:sz="4" w:space="0"/>
              <w:left w:val="nil"/>
              <w:bottom w:val="single" w:color="000000" w:sz="4" w:space="0"/>
              <w:right w:val="single" w:color="000000" w:sz="4" w:space="0"/>
            </w:tcBorders>
            <w:vAlign w:val="center"/>
          </w:tcPr>
          <w:p>
            <w:pPr>
              <w:pStyle w:val="132"/>
            </w:pPr>
            <w:r>
              <w:t>沿线林地等</w:t>
            </w:r>
          </w:p>
        </w:tc>
        <w:tc>
          <w:tcPr>
            <w:tcW w:w="2987" w:type="pct"/>
            <w:tcBorders>
              <w:top w:val="single" w:color="000000" w:sz="4" w:space="0"/>
              <w:left w:val="single" w:color="000000" w:sz="4" w:space="0"/>
              <w:bottom w:val="single" w:color="000000" w:sz="4" w:space="0"/>
              <w:right w:val="single" w:color="000000" w:sz="4" w:space="0"/>
            </w:tcBorders>
            <w:vAlign w:val="center"/>
          </w:tcPr>
          <w:p>
            <w:pPr>
              <w:pStyle w:val="132"/>
              <w:jc w:val="left"/>
            </w:pPr>
            <w:r>
              <w:rPr>
                <w:rFonts w:hint="eastAsia"/>
              </w:rPr>
              <w:t>1</w:t>
            </w:r>
            <w:r>
              <w:t>．减少管道穿越对</w:t>
            </w:r>
            <w:r>
              <w:rPr>
                <w:rFonts w:hint="eastAsia"/>
              </w:rPr>
              <w:t>一般</w:t>
            </w:r>
            <w:r>
              <w:t>林地造成的损坏；</w:t>
            </w:r>
          </w:p>
          <w:p>
            <w:pPr>
              <w:pStyle w:val="132"/>
              <w:jc w:val="left"/>
            </w:pPr>
            <w:r>
              <w:rPr>
                <w:rFonts w:hint="eastAsia"/>
              </w:rPr>
              <w:t>2</w:t>
            </w:r>
            <w:r>
              <w:t>．是否超越施工作业带施工；</w:t>
            </w:r>
          </w:p>
          <w:p>
            <w:pPr>
              <w:pStyle w:val="132"/>
              <w:jc w:val="left"/>
            </w:pPr>
            <w:r>
              <w:rPr>
                <w:rFonts w:hint="eastAsia"/>
              </w:rPr>
              <w:t>3</w:t>
            </w:r>
            <w:r>
              <w:t>．施工是否利用现有便道；</w:t>
            </w:r>
          </w:p>
          <w:p>
            <w:pPr>
              <w:pStyle w:val="132"/>
              <w:jc w:val="left"/>
            </w:pPr>
            <w:r>
              <w:rPr>
                <w:rFonts w:hint="eastAsia"/>
              </w:rPr>
              <w:t>4</w:t>
            </w:r>
            <w:r>
              <w:t>．施工人员是否有捕食野生动物的行为；</w:t>
            </w:r>
          </w:p>
          <w:p>
            <w:pPr>
              <w:pStyle w:val="132"/>
              <w:jc w:val="left"/>
            </w:pPr>
            <w:r>
              <w:rPr>
                <w:rFonts w:hint="eastAsia"/>
              </w:rPr>
              <w:t>5</w:t>
            </w:r>
            <w:r>
              <w:t>．施工是否按要求进行施工。</w:t>
            </w:r>
          </w:p>
        </w:tc>
        <w:tc>
          <w:tcPr>
            <w:tcW w:w="1245" w:type="pct"/>
            <w:tcBorders>
              <w:top w:val="single" w:color="000000" w:sz="4" w:space="0"/>
              <w:left w:val="single" w:color="000000" w:sz="4" w:space="0"/>
              <w:bottom w:val="single" w:color="000000" w:sz="4" w:space="0"/>
              <w:right w:val="nil"/>
            </w:tcBorders>
            <w:vAlign w:val="center"/>
          </w:tcPr>
          <w:p>
            <w:pPr>
              <w:pStyle w:val="132"/>
            </w:pPr>
            <w:r>
              <w:t>保护林地，减少损失</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 w:hRule="atLeast"/>
          <w:jc w:val="center"/>
        </w:trPr>
        <w:tc>
          <w:tcPr>
            <w:tcW w:w="768" w:type="pct"/>
            <w:tcBorders>
              <w:top w:val="single" w:color="000000" w:sz="4" w:space="0"/>
              <w:left w:val="nil"/>
              <w:bottom w:val="single" w:color="000000" w:sz="12" w:space="0"/>
              <w:right w:val="single" w:color="000000" w:sz="4" w:space="0"/>
            </w:tcBorders>
            <w:vAlign w:val="center"/>
          </w:tcPr>
          <w:p>
            <w:pPr>
              <w:pStyle w:val="132"/>
            </w:pPr>
            <w:r>
              <w:t>参见所列的村庄敏感点</w:t>
            </w:r>
          </w:p>
        </w:tc>
        <w:tc>
          <w:tcPr>
            <w:tcW w:w="2987" w:type="pct"/>
            <w:tcBorders>
              <w:top w:val="single" w:color="000000" w:sz="4" w:space="0"/>
              <w:left w:val="single" w:color="000000" w:sz="4" w:space="0"/>
              <w:bottom w:val="single" w:color="000000" w:sz="12" w:space="0"/>
              <w:right w:val="single" w:color="000000" w:sz="4" w:space="0"/>
            </w:tcBorders>
            <w:vAlign w:val="center"/>
          </w:tcPr>
          <w:p>
            <w:pPr>
              <w:pStyle w:val="132"/>
              <w:jc w:val="left"/>
            </w:pPr>
            <w:r>
              <w:t>1．施工噪声对居民的影响；</w:t>
            </w:r>
          </w:p>
          <w:p>
            <w:pPr>
              <w:pStyle w:val="132"/>
              <w:jc w:val="left"/>
            </w:pPr>
            <w:r>
              <w:t>2．施工路段、灰土拌和场地是否定时洒水；</w:t>
            </w:r>
          </w:p>
          <w:p>
            <w:pPr>
              <w:pStyle w:val="132"/>
              <w:jc w:val="left"/>
            </w:pPr>
            <w:r>
              <w:t>3．粉状材料（主要为临时堆放弃土）堆放时是否覆盖。</w:t>
            </w:r>
          </w:p>
        </w:tc>
        <w:tc>
          <w:tcPr>
            <w:tcW w:w="1245" w:type="pct"/>
            <w:tcBorders>
              <w:top w:val="single" w:color="000000" w:sz="4" w:space="0"/>
              <w:left w:val="single" w:color="000000" w:sz="4" w:space="0"/>
              <w:bottom w:val="single" w:color="000000" w:sz="12" w:space="0"/>
              <w:right w:val="nil"/>
            </w:tcBorders>
            <w:vAlign w:val="center"/>
          </w:tcPr>
          <w:p>
            <w:pPr>
              <w:pStyle w:val="132"/>
            </w:pPr>
            <w:r>
              <w:t>防止施工噪声影响居民的正常生活；减少施工扬尘对居民的影响</w:t>
            </w:r>
          </w:p>
        </w:tc>
      </w:tr>
    </w:tbl>
    <w:p>
      <w:pPr>
        <w:pStyle w:val="4"/>
        <w:rPr>
          <w:rFonts w:eastAsia="宋体"/>
        </w:rPr>
      </w:pPr>
      <w:bookmarkStart w:id="671" w:name="_Toc19816149"/>
      <w:bookmarkStart w:id="672" w:name="_Toc12288830"/>
      <w:r>
        <w:rPr>
          <w:rFonts w:eastAsia="宋体"/>
        </w:rPr>
        <w:t>10.1.2 施工期的环境监测</w:t>
      </w:r>
      <w:bookmarkEnd w:id="671"/>
      <w:bookmarkEnd w:id="672"/>
    </w:p>
    <w:p>
      <w:pPr>
        <w:pStyle w:val="6"/>
        <w:ind w:firstLine="480"/>
        <w:rPr>
          <w:rFonts w:ascii="Times New Roman" w:cs="Times New Roman"/>
        </w:rPr>
      </w:pPr>
      <w:r>
        <w:rPr>
          <w:rFonts w:ascii="Times New Roman" w:cs="Times New Roman"/>
        </w:rPr>
        <w:t>施工期的环境监测主要是对作业场所的控制监测和事故发生后的影响监测，主要监测对象有土壤、植被、施工作业废气、废水和噪声等。对作业场所的控制监测可视当地具体情况及当地环保部门要求等情况而定，诸如：在人群密集区施工可进行适当噪声监测等。对事故监测可根据事故性质、事故影响的大小等，视具体情况监测大气、土壤、水等。本项目监督、监测计划见下表。</w:t>
      </w:r>
    </w:p>
    <w:p>
      <w:pPr>
        <w:pStyle w:val="37"/>
        <w:rPr>
          <w:rFonts w:cs="Times New Roman"/>
        </w:rPr>
      </w:pPr>
      <w:r>
        <w:rPr>
          <w:rFonts w:cs="Times New Roman"/>
        </w:rPr>
        <w:t>表10.1-2  施工期环境监督、监测计划</w:t>
      </w:r>
    </w:p>
    <w:tbl>
      <w:tblPr>
        <w:tblStyle w:val="57"/>
        <w:tblW w:w="5164" w:type="pct"/>
        <w:jc w:val="center"/>
        <w:tblLayout w:type="autofit"/>
        <w:tblCellMar>
          <w:top w:w="0" w:type="dxa"/>
          <w:left w:w="0" w:type="dxa"/>
          <w:bottom w:w="0" w:type="dxa"/>
          <w:right w:w="0" w:type="dxa"/>
        </w:tblCellMar>
      </w:tblPr>
      <w:tblGrid>
        <w:gridCol w:w="1010"/>
        <w:gridCol w:w="3927"/>
        <w:gridCol w:w="1525"/>
        <w:gridCol w:w="2116"/>
      </w:tblGrid>
      <w:tr>
        <w:trPr>
          <w:trHeight w:val="18" w:hRule="atLeast"/>
          <w:jc w:val="center"/>
        </w:trPr>
        <w:tc>
          <w:tcPr>
            <w:tcW w:w="589" w:type="pct"/>
            <w:tcBorders>
              <w:top w:val="single" w:color="000000" w:sz="12" w:space="0"/>
              <w:left w:val="nil"/>
              <w:bottom w:val="single" w:color="000000" w:sz="4" w:space="0"/>
              <w:right w:val="single" w:color="000000" w:sz="4" w:space="0"/>
            </w:tcBorders>
            <w:vAlign w:val="center"/>
          </w:tcPr>
          <w:p>
            <w:pPr>
              <w:pStyle w:val="132"/>
              <w:rPr>
                <w:b/>
                <w:bCs/>
              </w:rPr>
            </w:pPr>
            <w:r>
              <w:rPr>
                <w:b/>
                <w:bCs/>
              </w:rPr>
              <w:t>监测项目</w:t>
            </w:r>
          </w:p>
        </w:tc>
        <w:tc>
          <w:tcPr>
            <w:tcW w:w="2289" w:type="pct"/>
            <w:tcBorders>
              <w:top w:val="single" w:color="000000" w:sz="12" w:space="0"/>
              <w:left w:val="single" w:color="000000" w:sz="4" w:space="0"/>
              <w:bottom w:val="single" w:color="000000" w:sz="4" w:space="0"/>
              <w:right w:val="single" w:color="000000" w:sz="4" w:space="0"/>
            </w:tcBorders>
            <w:vAlign w:val="center"/>
          </w:tcPr>
          <w:p>
            <w:pPr>
              <w:pStyle w:val="132"/>
              <w:rPr>
                <w:b/>
                <w:bCs/>
              </w:rPr>
            </w:pPr>
            <w:r>
              <w:rPr>
                <w:b/>
                <w:bCs/>
              </w:rPr>
              <w:t>监督、监测内容</w:t>
            </w:r>
          </w:p>
        </w:tc>
        <w:tc>
          <w:tcPr>
            <w:tcW w:w="889" w:type="pct"/>
            <w:tcBorders>
              <w:top w:val="single" w:color="000000" w:sz="12" w:space="0"/>
              <w:left w:val="single" w:color="000000" w:sz="4" w:space="0"/>
              <w:bottom w:val="single" w:color="000000" w:sz="4" w:space="0"/>
              <w:right w:val="single" w:color="000000" w:sz="4" w:space="0"/>
            </w:tcBorders>
            <w:vAlign w:val="center"/>
          </w:tcPr>
          <w:p>
            <w:pPr>
              <w:pStyle w:val="132"/>
              <w:rPr>
                <w:b/>
                <w:bCs/>
              </w:rPr>
            </w:pPr>
            <w:r>
              <w:rPr>
                <w:b/>
                <w:bCs/>
              </w:rPr>
              <w:t>报告制度</w:t>
            </w:r>
          </w:p>
        </w:tc>
        <w:tc>
          <w:tcPr>
            <w:tcW w:w="1233" w:type="pct"/>
            <w:tcBorders>
              <w:top w:val="single" w:color="000000" w:sz="12" w:space="0"/>
              <w:left w:val="single" w:color="000000" w:sz="4" w:space="0"/>
              <w:bottom w:val="single" w:color="000000" w:sz="4" w:space="0"/>
              <w:right w:val="nil"/>
            </w:tcBorders>
            <w:vAlign w:val="center"/>
          </w:tcPr>
          <w:p>
            <w:pPr>
              <w:pStyle w:val="132"/>
              <w:rPr>
                <w:b/>
                <w:bCs/>
              </w:rPr>
            </w:pPr>
            <w:r>
              <w:rPr>
                <w:b/>
                <w:bCs/>
              </w:rPr>
              <w:t>实施单位</w:t>
            </w:r>
          </w:p>
        </w:tc>
      </w:tr>
      <w:tr>
        <w:tblPrEx>
          <w:tblCellMar>
            <w:top w:w="0" w:type="dxa"/>
            <w:left w:w="0" w:type="dxa"/>
            <w:bottom w:w="0" w:type="dxa"/>
            <w:right w:w="0" w:type="dxa"/>
          </w:tblCellMar>
        </w:tblPrEx>
        <w:trPr>
          <w:trHeight w:val="18" w:hRule="atLeast"/>
          <w:jc w:val="center"/>
        </w:trPr>
        <w:tc>
          <w:tcPr>
            <w:tcW w:w="589" w:type="pct"/>
            <w:tcBorders>
              <w:top w:val="single" w:color="000000" w:sz="4" w:space="0"/>
              <w:left w:val="nil"/>
              <w:bottom w:val="single" w:color="000000" w:sz="4" w:space="0"/>
              <w:right w:val="single" w:color="000000" w:sz="4" w:space="0"/>
            </w:tcBorders>
            <w:vAlign w:val="center"/>
          </w:tcPr>
          <w:p>
            <w:pPr>
              <w:pStyle w:val="132"/>
            </w:pPr>
            <w:r>
              <w:t>施工现场清理</w:t>
            </w:r>
          </w:p>
        </w:tc>
        <w:tc>
          <w:tcPr>
            <w:tcW w:w="2289" w:type="pct"/>
            <w:tcBorders>
              <w:top w:val="single" w:color="000000" w:sz="4" w:space="0"/>
              <w:left w:val="single" w:color="000000" w:sz="4" w:space="0"/>
              <w:bottom w:val="single" w:color="000000" w:sz="4" w:space="0"/>
              <w:right w:val="single" w:color="000000" w:sz="4" w:space="0"/>
            </w:tcBorders>
            <w:vAlign w:val="center"/>
          </w:tcPr>
          <w:p>
            <w:pPr>
              <w:pStyle w:val="132"/>
            </w:pPr>
            <w:r>
              <w:t>施工结束后，施工现场的弃土、石、渣等垃圾和生态环境恢复情况；监督频率：施工结束后1次；监督点：各施工区段。</w:t>
            </w:r>
          </w:p>
        </w:tc>
        <w:tc>
          <w:tcPr>
            <w:tcW w:w="889" w:type="pct"/>
            <w:tcBorders>
              <w:top w:val="single" w:color="000000" w:sz="4" w:space="0"/>
              <w:left w:val="single" w:color="000000" w:sz="4" w:space="0"/>
              <w:bottom w:val="single" w:color="000000" w:sz="4" w:space="0"/>
              <w:right w:val="single" w:color="000000" w:sz="4" w:space="0"/>
            </w:tcBorders>
            <w:vAlign w:val="center"/>
          </w:tcPr>
          <w:p>
            <w:pPr>
              <w:pStyle w:val="132"/>
            </w:pPr>
            <w:r>
              <w:t>报建设单位</w:t>
            </w:r>
          </w:p>
        </w:tc>
        <w:tc>
          <w:tcPr>
            <w:tcW w:w="1233" w:type="pct"/>
            <w:tcBorders>
              <w:top w:val="single" w:color="000000" w:sz="4" w:space="0"/>
              <w:left w:val="single" w:color="000000" w:sz="4" w:space="0"/>
              <w:bottom w:val="single" w:color="000000" w:sz="4" w:space="0"/>
              <w:right w:val="nil"/>
            </w:tcBorders>
            <w:vAlign w:val="center"/>
          </w:tcPr>
          <w:p>
            <w:pPr>
              <w:pStyle w:val="132"/>
            </w:pPr>
            <w:r>
              <w:t>建设单位和施工单位专、兼职环保人员。</w:t>
            </w:r>
          </w:p>
        </w:tc>
      </w:tr>
      <w:tr>
        <w:tblPrEx>
          <w:tblCellMar>
            <w:top w:w="0" w:type="dxa"/>
            <w:left w:w="0" w:type="dxa"/>
            <w:bottom w:w="0" w:type="dxa"/>
            <w:right w:w="0" w:type="dxa"/>
          </w:tblCellMar>
        </w:tblPrEx>
        <w:trPr>
          <w:trHeight w:val="18" w:hRule="atLeast"/>
          <w:jc w:val="center"/>
        </w:trPr>
        <w:tc>
          <w:tcPr>
            <w:tcW w:w="589" w:type="pct"/>
            <w:tcBorders>
              <w:top w:val="single" w:color="000000" w:sz="4" w:space="0"/>
              <w:left w:val="nil"/>
              <w:bottom w:val="single" w:color="000000" w:sz="4" w:space="0"/>
              <w:right w:val="single" w:color="000000" w:sz="4" w:space="0"/>
            </w:tcBorders>
            <w:vAlign w:val="center"/>
          </w:tcPr>
          <w:p>
            <w:pPr>
              <w:pStyle w:val="132"/>
            </w:pPr>
            <w:r>
              <w:t>施工噪声</w:t>
            </w:r>
          </w:p>
        </w:tc>
        <w:tc>
          <w:tcPr>
            <w:tcW w:w="2289" w:type="pct"/>
            <w:tcBorders>
              <w:top w:val="single" w:color="000000" w:sz="4" w:space="0"/>
              <w:left w:val="single" w:color="000000" w:sz="4" w:space="0"/>
              <w:bottom w:val="single" w:color="000000" w:sz="4" w:space="0"/>
              <w:right w:val="single" w:color="000000" w:sz="4" w:space="0"/>
            </w:tcBorders>
            <w:vAlign w:val="center"/>
          </w:tcPr>
          <w:p>
            <w:pPr>
              <w:pStyle w:val="132"/>
            </w:pPr>
            <w:r>
              <w:t>居民密集区厂界噪声；监测频率：施工中视情况而定；监测点：各环境敏感点段。</w:t>
            </w:r>
          </w:p>
        </w:tc>
        <w:tc>
          <w:tcPr>
            <w:tcW w:w="889" w:type="pct"/>
            <w:tcBorders>
              <w:top w:val="single" w:color="000000" w:sz="4" w:space="0"/>
              <w:left w:val="single" w:color="000000" w:sz="4" w:space="0"/>
              <w:bottom w:val="single" w:color="000000" w:sz="4" w:space="0"/>
              <w:right w:val="single" w:color="000000" w:sz="4" w:space="0"/>
            </w:tcBorders>
            <w:vAlign w:val="center"/>
          </w:tcPr>
          <w:p>
            <w:pPr>
              <w:pStyle w:val="132"/>
            </w:pPr>
            <w:r>
              <w:t>报建设单位</w:t>
            </w:r>
          </w:p>
        </w:tc>
        <w:tc>
          <w:tcPr>
            <w:tcW w:w="1233" w:type="pct"/>
            <w:tcBorders>
              <w:top w:val="single" w:color="000000" w:sz="4" w:space="0"/>
              <w:left w:val="single" w:color="000000" w:sz="4" w:space="0"/>
              <w:bottom w:val="single" w:color="000000" w:sz="4" w:space="0"/>
              <w:right w:val="nil"/>
            </w:tcBorders>
            <w:vAlign w:val="center"/>
          </w:tcPr>
          <w:p>
            <w:pPr>
              <w:pStyle w:val="132"/>
            </w:pPr>
            <w:r>
              <w:t>业主和施工单位专、兼职环保人员。</w:t>
            </w:r>
          </w:p>
        </w:tc>
      </w:tr>
      <w:tr>
        <w:tblPrEx>
          <w:tblCellMar>
            <w:top w:w="0" w:type="dxa"/>
            <w:left w:w="0" w:type="dxa"/>
            <w:bottom w:w="0" w:type="dxa"/>
            <w:right w:w="0" w:type="dxa"/>
          </w:tblCellMar>
        </w:tblPrEx>
        <w:trPr>
          <w:trHeight w:val="18" w:hRule="atLeast"/>
          <w:jc w:val="center"/>
        </w:trPr>
        <w:tc>
          <w:tcPr>
            <w:tcW w:w="589" w:type="pct"/>
            <w:tcBorders>
              <w:top w:val="single" w:color="000000" w:sz="4" w:space="0"/>
              <w:left w:val="nil"/>
              <w:bottom w:val="single" w:color="000000" w:sz="4" w:space="0"/>
              <w:right w:val="single" w:color="000000" w:sz="4" w:space="0"/>
            </w:tcBorders>
            <w:vAlign w:val="center"/>
          </w:tcPr>
          <w:p>
            <w:pPr>
              <w:pStyle w:val="132"/>
            </w:pPr>
            <w:r>
              <w:t>事故监测</w:t>
            </w:r>
          </w:p>
        </w:tc>
        <w:tc>
          <w:tcPr>
            <w:tcW w:w="2289" w:type="pct"/>
            <w:tcBorders>
              <w:top w:val="single" w:color="000000" w:sz="4" w:space="0"/>
              <w:left w:val="single" w:color="000000" w:sz="4" w:space="0"/>
              <w:bottom w:val="single" w:color="000000" w:sz="4" w:space="0"/>
              <w:right w:val="single" w:color="000000" w:sz="4" w:space="0"/>
            </w:tcBorders>
            <w:vAlign w:val="center"/>
          </w:tcPr>
          <w:p>
            <w:pPr>
              <w:pStyle w:val="132"/>
            </w:pPr>
            <w:r>
              <w:t>根据事故性质、事故影响的大小，视具体情况监测大气、土壤、水等。</w:t>
            </w:r>
          </w:p>
        </w:tc>
        <w:tc>
          <w:tcPr>
            <w:tcW w:w="889" w:type="pct"/>
            <w:tcBorders>
              <w:top w:val="single" w:color="000000" w:sz="4" w:space="0"/>
              <w:left w:val="single" w:color="000000" w:sz="4" w:space="0"/>
              <w:bottom w:val="single" w:color="000000" w:sz="4" w:space="0"/>
              <w:right w:val="single" w:color="000000" w:sz="4" w:space="0"/>
            </w:tcBorders>
            <w:vAlign w:val="center"/>
          </w:tcPr>
          <w:p>
            <w:pPr>
              <w:pStyle w:val="132"/>
            </w:pPr>
            <w:r>
              <w:t>报建设单位和市生态环境部门</w:t>
            </w:r>
          </w:p>
        </w:tc>
        <w:tc>
          <w:tcPr>
            <w:tcW w:w="1233" w:type="pct"/>
            <w:tcBorders>
              <w:top w:val="single" w:color="000000" w:sz="4" w:space="0"/>
              <w:left w:val="single" w:color="000000" w:sz="4" w:space="0"/>
              <w:bottom w:val="single" w:color="000000" w:sz="4" w:space="0"/>
              <w:right w:val="nil"/>
            </w:tcBorders>
            <w:vAlign w:val="center"/>
          </w:tcPr>
          <w:p>
            <w:pPr>
              <w:pStyle w:val="132"/>
            </w:pPr>
            <w:r>
              <w:t>当地环境监测站。</w:t>
            </w:r>
          </w:p>
        </w:tc>
      </w:tr>
      <w:tr>
        <w:tblPrEx>
          <w:tblCellMar>
            <w:top w:w="0" w:type="dxa"/>
            <w:left w:w="0" w:type="dxa"/>
            <w:bottom w:w="0" w:type="dxa"/>
            <w:right w:w="0" w:type="dxa"/>
          </w:tblCellMar>
        </w:tblPrEx>
        <w:trPr>
          <w:trHeight w:val="18" w:hRule="atLeast"/>
          <w:jc w:val="center"/>
        </w:trPr>
        <w:tc>
          <w:tcPr>
            <w:tcW w:w="589" w:type="pct"/>
            <w:tcBorders>
              <w:top w:val="single" w:color="000000" w:sz="4" w:space="0"/>
              <w:left w:val="nil"/>
              <w:bottom w:val="single" w:color="000000" w:sz="12" w:space="0"/>
              <w:right w:val="single" w:color="000000" w:sz="4" w:space="0"/>
            </w:tcBorders>
            <w:vAlign w:val="center"/>
          </w:tcPr>
          <w:p>
            <w:pPr>
              <w:pStyle w:val="132"/>
            </w:pPr>
            <w:r>
              <w:t>水土保持</w:t>
            </w:r>
          </w:p>
        </w:tc>
        <w:tc>
          <w:tcPr>
            <w:tcW w:w="2289" w:type="pct"/>
            <w:tcBorders>
              <w:top w:val="single" w:color="000000" w:sz="4" w:space="0"/>
              <w:left w:val="single" w:color="000000" w:sz="4" w:space="0"/>
              <w:bottom w:val="single" w:color="000000" w:sz="12" w:space="0"/>
              <w:right w:val="single" w:color="000000" w:sz="4" w:space="0"/>
            </w:tcBorders>
            <w:vAlign w:val="center"/>
          </w:tcPr>
          <w:p>
            <w:pPr>
              <w:pStyle w:val="132"/>
            </w:pPr>
            <w:r>
              <w:t>影响水土流失的因子；水土流失量；水土流失灾害；水土保持设施效益。</w:t>
            </w:r>
          </w:p>
        </w:tc>
        <w:tc>
          <w:tcPr>
            <w:tcW w:w="889" w:type="pct"/>
            <w:tcBorders>
              <w:top w:val="single" w:color="000000" w:sz="4" w:space="0"/>
              <w:left w:val="single" w:color="000000" w:sz="4" w:space="0"/>
              <w:bottom w:val="single" w:color="000000" w:sz="12" w:space="0"/>
              <w:right w:val="single" w:color="000000" w:sz="4" w:space="0"/>
            </w:tcBorders>
            <w:vAlign w:val="center"/>
          </w:tcPr>
          <w:p>
            <w:pPr>
              <w:pStyle w:val="132"/>
            </w:pPr>
            <w:r>
              <w:t>报建设单位</w:t>
            </w:r>
          </w:p>
        </w:tc>
        <w:tc>
          <w:tcPr>
            <w:tcW w:w="1233" w:type="pct"/>
            <w:tcBorders>
              <w:top w:val="single" w:color="000000" w:sz="4" w:space="0"/>
              <w:left w:val="single" w:color="000000" w:sz="4" w:space="0"/>
              <w:bottom w:val="single" w:color="000000" w:sz="12" w:space="0"/>
              <w:right w:val="nil"/>
            </w:tcBorders>
            <w:vAlign w:val="center"/>
          </w:tcPr>
          <w:p>
            <w:pPr>
              <w:pStyle w:val="132"/>
            </w:pPr>
            <w:r>
              <w:t>在有关行政主管部门的协调指导下，委托当地水保监测单位完成。</w:t>
            </w:r>
          </w:p>
        </w:tc>
      </w:tr>
    </w:tbl>
    <w:p>
      <w:pPr>
        <w:pStyle w:val="3"/>
        <w:spacing w:before="120"/>
        <w:rPr>
          <w:rFonts w:cs="Times New Roman"/>
        </w:rPr>
      </w:pPr>
      <w:bookmarkStart w:id="673" w:name="bookmark83"/>
      <w:bookmarkEnd w:id="673"/>
      <w:bookmarkStart w:id="674" w:name="_Toc81515315"/>
      <w:bookmarkStart w:id="675" w:name="_Toc19816151"/>
      <w:bookmarkStart w:id="676" w:name="_Toc12288837"/>
      <w:r>
        <w:rPr>
          <w:rFonts w:cs="Times New Roman"/>
        </w:rPr>
        <w:t>10.2 运营期环境管理</w:t>
      </w:r>
      <w:bookmarkEnd w:id="674"/>
      <w:bookmarkEnd w:id="675"/>
      <w:bookmarkEnd w:id="676"/>
    </w:p>
    <w:p>
      <w:pPr>
        <w:pStyle w:val="4"/>
        <w:rPr>
          <w:rFonts w:eastAsia="宋体"/>
        </w:rPr>
      </w:pPr>
      <w:r>
        <w:rPr>
          <w:rFonts w:eastAsia="宋体"/>
        </w:rPr>
        <w:t>10.2.1 营运期环境监测计划</w:t>
      </w:r>
    </w:p>
    <w:p>
      <w:pPr>
        <w:pStyle w:val="112"/>
        <w:ind w:firstLine="480"/>
      </w:pPr>
      <w:r>
        <w:t>排污单位应查清本单位污染源、污染物指标及潜在的环境影响，制定监测方案，设置和维护监测设施，按照监测方案开展自行监测，做好质量保证和质量控制，记录和保存监测数据，并依法向社会公开监测结果。</w:t>
      </w:r>
    </w:p>
    <w:p>
      <w:pPr>
        <w:pStyle w:val="112"/>
        <w:ind w:firstLine="480"/>
        <w:rPr>
          <w:b/>
          <w:bCs/>
        </w:rPr>
      </w:pPr>
      <w:r>
        <w:t>本次评价根据或者参照《排污单位自</w:t>
      </w:r>
      <w:r>
        <w:rPr>
          <w:rFonts w:hint="eastAsia"/>
        </w:rPr>
        <w:t>行</w:t>
      </w:r>
      <w:r>
        <w:t>监测技术指南</w:t>
      </w:r>
      <w:r>
        <w:rPr>
          <w:rFonts w:hint="eastAsia"/>
        </w:rPr>
        <w:t xml:space="preserve"> </w:t>
      </w:r>
      <w:r>
        <w:t>总则》（</w:t>
      </w:r>
      <w:r>
        <w:rPr>
          <w:rFonts w:hint="eastAsia"/>
        </w:rPr>
        <w:t>HJ</w:t>
      </w:r>
      <w:r>
        <w:t>819-2017 ）、《环境影响评价技术导则</w:t>
      </w:r>
      <w:r>
        <w:rPr>
          <w:rFonts w:hint="eastAsia"/>
        </w:rPr>
        <w:t xml:space="preserve"> </w:t>
      </w:r>
      <w:r>
        <w:t>大气环境》（HJ2.2-2018）等制定本监测计划，供建设单位参考。</w:t>
      </w:r>
    </w:p>
    <w:p>
      <w:pPr>
        <w:pStyle w:val="37"/>
        <w:rPr>
          <w:rFonts w:cs="Times New Roman"/>
        </w:rPr>
      </w:pPr>
      <w:r>
        <w:rPr>
          <w:rFonts w:cs="Times New Roman"/>
        </w:rPr>
        <w:t>表10.2-1  运营期环境监测计划</w:t>
      </w:r>
    </w:p>
    <w:tbl>
      <w:tblPr>
        <w:tblStyle w:val="57"/>
        <w:tblW w:w="5228" w:type="pct"/>
        <w:jc w:val="center"/>
        <w:tblLayout w:type="autofit"/>
        <w:tblCellMar>
          <w:top w:w="0" w:type="dxa"/>
          <w:left w:w="0" w:type="dxa"/>
          <w:bottom w:w="0" w:type="dxa"/>
          <w:right w:w="0" w:type="dxa"/>
        </w:tblCellMar>
      </w:tblPr>
      <w:tblGrid>
        <w:gridCol w:w="687"/>
        <w:gridCol w:w="1317"/>
        <w:gridCol w:w="2058"/>
        <w:gridCol w:w="2903"/>
        <w:gridCol w:w="1720"/>
      </w:tblGrid>
      <w:tr>
        <w:tblPrEx>
          <w:tblCellMar>
            <w:top w:w="0" w:type="dxa"/>
            <w:left w:w="0" w:type="dxa"/>
            <w:bottom w:w="0" w:type="dxa"/>
            <w:right w:w="0" w:type="dxa"/>
          </w:tblCellMar>
        </w:tblPrEx>
        <w:trPr>
          <w:trHeight w:val="19" w:hRule="atLeast"/>
          <w:jc w:val="center"/>
        </w:trPr>
        <w:tc>
          <w:tcPr>
            <w:tcW w:w="396" w:type="pct"/>
            <w:tcBorders>
              <w:top w:val="single" w:color="000000" w:sz="12" w:space="0"/>
              <w:left w:val="nil"/>
              <w:bottom w:val="single" w:color="000000" w:sz="4" w:space="0"/>
              <w:right w:val="single" w:color="000000" w:sz="4" w:space="0"/>
            </w:tcBorders>
            <w:vAlign w:val="center"/>
          </w:tcPr>
          <w:p>
            <w:pPr>
              <w:pStyle w:val="101"/>
              <w:spacing w:line="240" w:lineRule="auto"/>
              <w:ind w:firstLine="0" w:firstLineChars="0"/>
              <w:rPr>
                <w:rFonts w:ascii="Times New Roman" w:cs="Times New Roman"/>
                <w:b/>
                <w:kern w:val="2"/>
                <w:sz w:val="21"/>
                <w:szCs w:val="21"/>
              </w:rPr>
            </w:pPr>
            <w:r>
              <w:rPr>
                <w:rFonts w:ascii="Times New Roman" w:cs="Times New Roman"/>
                <w:b/>
                <w:kern w:val="2"/>
                <w:sz w:val="21"/>
                <w:szCs w:val="21"/>
              </w:rPr>
              <w:t>序号</w:t>
            </w:r>
          </w:p>
        </w:tc>
        <w:tc>
          <w:tcPr>
            <w:tcW w:w="758" w:type="pct"/>
            <w:tcBorders>
              <w:top w:val="single" w:color="000000" w:sz="12" w:space="0"/>
              <w:left w:val="single" w:color="000000" w:sz="4" w:space="0"/>
              <w:bottom w:val="single" w:color="000000" w:sz="4" w:space="0"/>
              <w:right w:val="single" w:color="000000" w:sz="4" w:space="0"/>
            </w:tcBorders>
            <w:vAlign w:val="center"/>
          </w:tcPr>
          <w:p>
            <w:pPr>
              <w:pStyle w:val="101"/>
              <w:spacing w:line="240" w:lineRule="auto"/>
              <w:ind w:firstLine="0" w:firstLineChars="0"/>
              <w:rPr>
                <w:rFonts w:ascii="Times New Roman" w:cs="Times New Roman"/>
                <w:b/>
                <w:kern w:val="2"/>
                <w:sz w:val="21"/>
                <w:szCs w:val="21"/>
              </w:rPr>
            </w:pPr>
            <w:r>
              <w:rPr>
                <w:rFonts w:ascii="Times New Roman" w:cs="Times New Roman"/>
                <w:b/>
                <w:kern w:val="2"/>
                <w:sz w:val="21"/>
                <w:szCs w:val="21"/>
              </w:rPr>
              <w:t>监测内容</w:t>
            </w:r>
          </w:p>
        </w:tc>
        <w:tc>
          <w:tcPr>
            <w:tcW w:w="1185" w:type="pct"/>
            <w:tcBorders>
              <w:top w:val="single" w:color="000000" w:sz="12" w:space="0"/>
              <w:left w:val="single" w:color="000000" w:sz="4" w:space="0"/>
              <w:bottom w:val="single" w:color="000000" w:sz="4" w:space="0"/>
              <w:right w:val="single" w:color="000000" w:sz="4" w:space="0"/>
            </w:tcBorders>
            <w:vAlign w:val="center"/>
          </w:tcPr>
          <w:p>
            <w:pPr>
              <w:pStyle w:val="101"/>
              <w:spacing w:line="240" w:lineRule="auto"/>
              <w:ind w:firstLine="0" w:firstLineChars="0"/>
              <w:rPr>
                <w:rFonts w:ascii="Times New Roman" w:cs="Times New Roman"/>
                <w:b/>
                <w:kern w:val="2"/>
                <w:sz w:val="21"/>
                <w:szCs w:val="21"/>
              </w:rPr>
            </w:pPr>
            <w:r>
              <w:rPr>
                <w:rFonts w:ascii="Times New Roman" w:cs="Times New Roman"/>
                <w:b/>
                <w:kern w:val="2"/>
                <w:sz w:val="21"/>
                <w:szCs w:val="21"/>
              </w:rPr>
              <w:t>监测项目</w:t>
            </w:r>
          </w:p>
        </w:tc>
        <w:tc>
          <w:tcPr>
            <w:tcW w:w="1671" w:type="pct"/>
            <w:tcBorders>
              <w:top w:val="single" w:color="000000" w:sz="12" w:space="0"/>
              <w:left w:val="single" w:color="000000" w:sz="4" w:space="0"/>
              <w:bottom w:val="single" w:color="000000" w:sz="4" w:space="0"/>
              <w:right w:val="single" w:color="000000" w:sz="4" w:space="0"/>
            </w:tcBorders>
            <w:vAlign w:val="center"/>
          </w:tcPr>
          <w:p>
            <w:pPr>
              <w:pStyle w:val="101"/>
              <w:spacing w:line="240" w:lineRule="auto"/>
              <w:ind w:firstLine="0" w:firstLineChars="0"/>
              <w:rPr>
                <w:rFonts w:ascii="Times New Roman" w:cs="Times New Roman"/>
                <w:b/>
                <w:kern w:val="2"/>
                <w:sz w:val="21"/>
                <w:szCs w:val="21"/>
              </w:rPr>
            </w:pPr>
            <w:r>
              <w:rPr>
                <w:rFonts w:ascii="Times New Roman" w:cs="Times New Roman"/>
                <w:b/>
                <w:kern w:val="2"/>
                <w:sz w:val="21"/>
                <w:szCs w:val="21"/>
              </w:rPr>
              <w:t>监测点位</w:t>
            </w:r>
          </w:p>
        </w:tc>
        <w:tc>
          <w:tcPr>
            <w:tcW w:w="990" w:type="pct"/>
            <w:tcBorders>
              <w:top w:val="single" w:color="000000" w:sz="12" w:space="0"/>
              <w:left w:val="single" w:color="000000" w:sz="4" w:space="0"/>
              <w:bottom w:val="single" w:color="000000" w:sz="4" w:space="0"/>
              <w:right w:val="nil"/>
            </w:tcBorders>
            <w:vAlign w:val="center"/>
          </w:tcPr>
          <w:p>
            <w:pPr>
              <w:pStyle w:val="101"/>
              <w:spacing w:line="240" w:lineRule="auto"/>
              <w:ind w:firstLine="0" w:firstLineChars="0"/>
              <w:rPr>
                <w:rFonts w:ascii="Times New Roman" w:cs="Times New Roman"/>
                <w:b/>
                <w:kern w:val="2"/>
                <w:sz w:val="21"/>
                <w:szCs w:val="21"/>
              </w:rPr>
            </w:pPr>
            <w:r>
              <w:rPr>
                <w:rFonts w:ascii="Times New Roman" w:cs="Times New Roman"/>
                <w:b/>
                <w:kern w:val="2"/>
                <w:sz w:val="21"/>
                <w:szCs w:val="21"/>
              </w:rPr>
              <w:t>监测时间及频率</w:t>
            </w:r>
          </w:p>
        </w:tc>
      </w:tr>
      <w:tr>
        <w:tblPrEx>
          <w:tblCellMar>
            <w:top w:w="0" w:type="dxa"/>
            <w:left w:w="0" w:type="dxa"/>
            <w:bottom w:w="0" w:type="dxa"/>
            <w:right w:w="0" w:type="dxa"/>
          </w:tblCellMar>
        </w:tblPrEx>
        <w:trPr>
          <w:trHeight w:val="19" w:hRule="atLeast"/>
          <w:jc w:val="center"/>
        </w:trPr>
        <w:tc>
          <w:tcPr>
            <w:tcW w:w="396" w:type="pct"/>
            <w:tcBorders>
              <w:top w:val="single" w:color="000000" w:sz="12" w:space="0"/>
              <w:left w:val="nil"/>
              <w:right w:val="single" w:color="000000"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1</w:t>
            </w:r>
          </w:p>
        </w:tc>
        <w:tc>
          <w:tcPr>
            <w:tcW w:w="758" w:type="pct"/>
            <w:tcBorders>
              <w:top w:val="single" w:color="000000" w:sz="12" w:space="0"/>
              <w:left w:val="single" w:color="000000" w:sz="4" w:space="0"/>
              <w:right w:val="single" w:color="000000" w:sz="4" w:space="0"/>
            </w:tcBorders>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废气</w:t>
            </w:r>
          </w:p>
        </w:tc>
        <w:tc>
          <w:tcPr>
            <w:tcW w:w="1185" w:type="pct"/>
            <w:tcBorders>
              <w:top w:val="single" w:color="000000" w:sz="12" w:space="0"/>
              <w:left w:val="single" w:color="000000" w:sz="4" w:space="0"/>
              <w:bottom w:val="single" w:color="000000" w:sz="4" w:space="0"/>
              <w:right w:val="single" w:color="000000"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SO</w:t>
            </w:r>
            <w:r>
              <w:rPr>
                <w:rFonts w:ascii="Times New Roman" w:cs="Times New Roman"/>
                <w:kern w:val="2"/>
                <w:sz w:val="21"/>
                <w:szCs w:val="21"/>
                <w:vertAlign w:val="subscript"/>
              </w:rPr>
              <w:t>2</w:t>
            </w:r>
            <w:r>
              <w:rPr>
                <w:rFonts w:ascii="Times New Roman" w:cs="Times New Roman"/>
                <w:kern w:val="2"/>
                <w:sz w:val="21"/>
                <w:szCs w:val="21"/>
              </w:rPr>
              <w:t>、NO</w:t>
            </w:r>
            <w:r>
              <w:rPr>
                <w:rFonts w:ascii="Times New Roman" w:cs="Times New Roman"/>
                <w:kern w:val="2"/>
                <w:sz w:val="21"/>
                <w:szCs w:val="21"/>
                <w:vertAlign w:val="subscript"/>
              </w:rPr>
              <w:t>X</w:t>
            </w:r>
            <w:r>
              <w:rPr>
                <w:rFonts w:ascii="Times New Roman" w:cs="Times New Roman"/>
                <w:kern w:val="2"/>
                <w:sz w:val="21"/>
                <w:szCs w:val="21"/>
              </w:rPr>
              <w:t>、颗粒物</w:t>
            </w:r>
            <w:r>
              <w:rPr>
                <w:rFonts w:hint="eastAsia" w:ascii="Times New Roman" w:cs="Times New Roman"/>
                <w:color w:val="FF0000"/>
                <w:kern w:val="2"/>
                <w:sz w:val="21"/>
                <w:szCs w:val="21"/>
              </w:rPr>
              <w:t>、</w:t>
            </w:r>
            <w:r>
              <w:rPr>
                <w:rFonts w:ascii="Times New Roman" w:cs="Times New Roman"/>
                <w:color w:val="FF0000"/>
                <w:kern w:val="2"/>
                <w:sz w:val="21"/>
                <w:szCs w:val="21"/>
              </w:rPr>
              <w:t>非甲烷总烃</w:t>
            </w:r>
          </w:p>
        </w:tc>
        <w:tc>
          <w:tcPr>
            <w:tcW w:w="1671" w:type="pct"/>
            <w:tcBorders>
              <w:top w:val="single" w:color="000000" w:sz="12" w:space="0"/>
              <w:left w:val="single" w:color="000000" w:sz="4" w:space="0"/>
              <w:bottom w:val="single" w:color="000000" w:sz="4" w:space="0"/>
              <w:right w:val="single" w:color="000000" w:sz="4" w:space="0"/>
            </w:tcBorders>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水套加热炉排气筒</w:t>
            </w:r>
          </w:p>
        </w:tc>
        <w:tc>
          <w:tcPr>
            <w:tcW w:w="990" w:type="pct"/>
            <w:tcBorders>
              <w:top w:val="single" w:color="000000" w:sz="12" w:space="0"/>
              <w:left w:val="single" w:color="000000" w:sz="4" w:space="0"/>
              <w:bottom w:val="single" w:color="000000" w:sz="4" w:space="0"/>
              <w:right w:val="nil"/>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1次/年</w:t>
            </w:r>
          </w:p>
        </w:tc>
      </w:tr>
      <w:tr>
        <w:tblPrEx>
          <w:tblCellMar>
            <w:top w:w="0" w:type="dxa"/>
            <w:left w:w="0" w:type="dxa"/>
            <w:bottom w:w="0" w:type="dxa"/>
            <w:right w:w="0" w:type="dxa"/>
          </w:tblCellMar>
        </w:tblPrEx>
        <w:trPr>
          <w:trHeight w:val="19" w:hRule="atLeast"/>
          <w:jc w:val="center"/>
        </w:trPr>
        <w:tc>
          <w:tcPr>
            <w:tcW w:w="396" w:type="pct"/>
            <w:tcBorders>
              <w:top w:val="single" w:color="000000" w:sz="4" w:space="0"/>
              <w:left w:val="nil"/>
              <w:bottom w:val="single" w:color="000000" w:sz="4" w:space="0"/>
              <w:right w:val="single" w:color="000000"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2</w:t>
            </w:r>
          </w:p>
        </w:tc>
        <w:tc>
          <w:tcPr>
            <w:tcW w:w="758" w:type="pct"/>
            <w:tcBorders>
              <w:top w:val="single" w:color="000000" w:sz="4" w:space="0"/>
              <w:left w:val="single" w:color="000000" w:sz="4" w:space="0"/>
              <w:bottom w:val="single" w:color="000000" w:sz="4" w:space="0"/>
              <w:right w:val="single" w:color="000000"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设备噪声</w:t>
            </w:r>
          </w:p>
        </w:tc>
        <w:tc>
          <w:tcPr>
            <w:tcW w:w="1185" w:type="pct"/>
            <w:tcBorders>
              <w:top w:val="single" w:color="000000" w:sz="4" w:space="0"/>
              <w:left w:val="single" w:color="000000" w:sz="4" w:space="0"/>
              <w:bottom w:val="single" w:color="000000" w:sz="4" w:space="0"/>
              <w:right w:val="single" w:color="000000"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厂界噪声</w:t>
            </w:r>
          </w:p>
        </w:tc>
        <w:tc>
          <w:tcPr>
            <w:tcW w:w="1671" w:type="pct"/>
            <w:tcBorders>
              <w:top w:val="single" w:color="000000" w:sz="4" w:space="0"/>
              <w:left w:val="single" w:color="000000" w:sz="4" w:space="0"/>
              <w:bottom w:val="single" w:color="000000" w:sz="4" w:space="0"/>
              <w:right w:val="single" w:color="000000" w:sz="4" w:space="0"/>
            </w:tcBorders>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普陆4集气平台</w:t>
            </w:r>
            <w:r>
              <w:rPr>
                <w:rFonts w:ascii="Times New Roman" w:cs="Times New Roman"/>
                <w:kern w:val="2"/>
                <w:sz w:val="21"/>
                <w:szCs w:val="21"/>
              </w:rPr>
              <w:t>厂界外4个点</w:t>
            </w:r>
          </w:p>
        </w:tc>
        <w:tc>
          <w:tcPr>
            <w:tcW w:w="990" w:type="pct"/>
            <w:tcBorders>
              <w:top w:val="single" w:color="000000" w:sz="4" w:space="0"/>
              <w:left w:val="single" w:color="000000" w:sz="4" w:space="0"/>
              <w:bottom w:val="single" w:color="000000" w:sz="4" w:space="0"/>
              <w:right w:val="nil"/>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1次/年</w:t>
            </w:r>
          </w:p>
        </w:tc>
      </w:tr>
      <w:tr>
        <w:tblPrEx>
          <w:tblCellMar>
            <w:top w:w="0" w:type="dxa"/>
            <w:left w:w="0" w:type="dxa"/>
            <w:bottom w:w="0" w:type="dxa"/>
            <w:right w:w="0" w:type="dxa"/>
          </w:tblCellMar>
        </w:tblPrEx>
        <w:trPr>
          <w:trHeight w:val="19" w:hRule="atLeast"/>
          <w:jc w:val="center"/>
        </w:trPr>
        <w:tc>
          <w:tcPr>
            <w:tcW w:w="396" w:type="pct"/>
            <w:tcBorders>
              <w:top w:val="single" w:color="000000" w:sz="4" w:space="0"/>
              <w:left w:val="nil"/>
              <w:bottom w:val="single" w:color="000000" w:sz="4" w:space="0"/>
              <w:right w:val="single" w:color="000000"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3</w:t>
            </w:r>
          </w:p>
        </w:tc>
        <w:tc>
          <w:tcPr>
            <w:tcW w:w="758" w:type="pct"/>
            <w:tcBorders>
              <w:top w:val="single" w:color="000000" w:sz="4" w:space="0"/>
              <w:left w:val="single" w:color="000000" w:sz="4" w:space="0"/>
              <w:bottom w:val="single" w:color="000000" w:sz="4" w:space="0"/>
              <w:right w:val="single" w:color="000000"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地下水</w:t>
            </w:r>
          </w:p>
        </w:tc>
        <w:tc>
          <w:tcPr>
            <w:tcW w:w="1185" w:type="pct"/>
            <w:tcBorders>
              <w:top w:val="single" w:color="000000" w:sz="4" w:space="0"/>
              <w:left w:val="single" w:color="000000" w:sz="4" w:space="0"/>
              <w:bottom w:val="single" w:color="000000" w:sz="4" w:space="0"/>
              <w:right w:val="single" w:color="000000"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石油类</w:t>
            </w:r>
          </w:p>
        </w:tc>
        <w:tc>
          <w:tcPr>
            <w:tcW w:w="1671" w:type="pct"/>
            <w:tcBorders>
              <w:top w:val="single" w:color="000000" w:sz="4" w:space="0"/>
              <w:left w:val="single" w:color="000000" w:sz="4" w:space="0"/>
              <w:bottom w:val="single" w:color="000000" w:sz="4" w:space="0"/>
              <w:right w:val="single" w:color="000000" w:sz="4" w:space="0"/>
            </w:tcBorders>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普陆4集气平台上游</w:t>
            </w:r>
            <w:r>
              <w:rPr>
                <w:rFonts w:ascii="Times New Roman" w:cs="Times New Roman"/>
                <w:kern w:val="2"/>
                <w:sz w:val="21"/>
                <w:szCs w:val="21"/>
              </w:rPr>
              <w:t>水井</w:t>
            </w:r>
            <w:r>
              <w:rPr>
                <w:rFonts w:hint="eastAsia" w:ascii="Times New Roman" w:cs="Times New Roman"/>
                <w:kern w:val="2"/>
                <w:sz w:val="21"/>
                <w:szCs w:val="21"/>
              </w:rPr>
              <w:t>（E：</w:t>
            </w:r>
            <w:r>
              <w:rPr>
                <w:rFonts w:hint="eastAsia" w:ascii="Times New Roman" w:cs="Times New Roman"/>
                <w:sz w:val="21"/>
                <w:szCs w:val="21"/>
              </w:rPr>
              <w:t>107.831025</w:t>
            </w:r>
            <w:r>
              <w:rPr>
                <w:rFonts w:hint="eastAsia" w:ascii="Times New Roman" w:cs="Times New Roman"/>
                <w:kern w:val="2"/>
                <w:sz w:val="21"/>
                <w:szCs w:val="21"/>
              </w:rPr>
              <w:t>N：</w:t>
            </w:r>
            <w:r>
              <w:rPr>
                <w:rFonts w:hint="eastAsia" w:ascii="Times New Roman" w:cs="Times New Roman"/>
                <w:sz w:val="21"/>
                <w:szCs w:val="21"/>
              </w:rPr>
              <w:t>31.554878</w:t>
            </w:r>
            <w:r>
              <w:rPr>
                <w:rFonts w:hint="eastAsia" w:ascii="Times New Roman" w:cs="Times New Roman"/>
                <w:kern w:val="2"/>
                <w:sz w:val="21"/>
                <w:szCs w:val="21"/>
              </w:rPr>
              <w:t>）</w:t>
            </w:r>
            <w:r>
              <w:rPr>
                <w:rFonts w:ascii="Times New Roman" w:cs="Times New Roman"/>
                <w:kern w:val="2"/>
                <w:sz w:val="21"/>
                <w:szCs w:val="21"/>
              </w:rPr>
              <w:t>、</w:t>
            </w:r>
            <w:r>
              <w:rPr>
                <w:rFonts w:hint="eastAsia" w:ascii="Times New Roman" w:cs="Times New Roman"/>
                <w:kern w:val="2"/>
                <w:sz w:val="21"/>
                <w:szCs w:val="21"/>
              </w:rPr>
              <w:t>下游</w:t>
            </w:r>
            <w:r>
              <w:rPr>
                <w:rFonts w:ascii="Times New Roman" w:cs="Times New Roman"/>
                <w:kern w:val="2"/>
                <w:sz w:val="21"/>
                <w:szCs w:val="21"/>
              </w:rPr>
              <w:t>水井</w:t>
            </w:r>
            <w:r>
              <w:rPr>
                <w:rFonts w:hint="eastAsia" w:ascii="Times New Roman" w:cs="Times New Roman"/>
                <w:kern w:val="2"/>
                <w:sz w:val="21"/>
                <w:szCs w:val="21"/>
              </w:rPr>
              <w:t>（E：</w:t>
            </w:r>
            <w:r>
              <w:rPr>
                <w:rFonts w:hint="eastAsia" w:ascii="Times New Roman" w:cs="Times New Roman"/>
                <w:sz w:val="21"/>
                <w:szCs w:val="21"/>
              </w:rPr>
              <w:t>107.815962</w:t>
            </w:r>
            <w:r>
              <w:rPr>
                <w:rFonts w:hint="eastAsia" w:ascii="Times New Roman" w:cs="Times New Roman"/>
                <w:kern w:val="2"/>
                <w:sz w:val="21"/>
                <w:szCs w:val="21"/>
              </w:rPr>
              <w:t>N：</w:t>
            </w:r>
            <w:r>
              <w:rPr>
                <w:rFonts w:hint="eastAsia" w:ascii="Times New Roman" w:cs="Times New Roman"/>
                <w:sz w:val="21"/>
                <w:szCs w:val="21"/>
              </w:rPr>
              <w:t>31.553488</w:t>
            </w:r>
            <w:r>
              <w:rPr>
                <w:rFonts w:hint="eastAsia" w:ascii="Times New Roman" w:cs="Times New Roman"/>
                <w:kern w:val="2"/>
                <w:sz w:val="21"/>
                <w:szCs w:val="21"/>
              </w:rPr>
              <w:t>）</w:t>
            </w:r>
            <w:r>
              <w:rPr>
                <w:rFonts w:ascii="Times New Roman" w:cs="Times New Roman"/>
                <w:kern w:val="2"/>
                <w:sz w:val="21"/>
                <w:szCs w:val="21"/>
              </w:rPr>
              <w:t>、下游水井</w:t>
            </w:r>
            <w:r>
              <w:rPr>
                <w:rFonts w:hint="eastAsia" w:ascii="Times New Roman" w:cs="Times New Roman"/>
                <w:kern w:val="2"/>
                <w:sz w:val="21"/>
                <w:szCs w:val="21"/>
              </w:rPr>
              <w:t>（E：</w:t>
            </w:r>
            <w:r>
              <w:rPr>
                <w:rFonts w:hint="eastAsia" w:ascii="Times New Roman" w:cs="Times New Roman"/>
                <w:sz w:val="21"/>
                <w:szCs w:val="21"/>
              </w:rPr>
              <w:t>107.801864</w:t>
            </w:r>
            <w:r>
              <w:rPr>
                <w:rFonts w:hint="eastAsia" w:ascii="Times New Roman" w:cs="Times New Roman"/>
                <w:kern w:val="2"/>
                <w:sz w:val="21"/>
                <w:szCs w:val="21"/>
              </w:rPr>
              <w:t>N：</w:t>
            </w:r>
            <w:r>
              <w:rPr>
                <w:rFonts w:hint="eastAsia" w:ascii="Times New Roman" w:cs="Times New Roman"/>
                <w:sz w:val="21"/>
                <w:szCs w:val="21"/>
              </w:rPr>
              <w:t>31.567823</w:t>
            </w:r>
            <w:r>
              <w:rPr>
                <w:rFonts w:hint="eastAsia" w:ascii="Times New Roman" w:cs="Times New Roman"/>
                <w:kern w:val="2"/>
                <w:sz w:val="21"/>
                <w:szCs w:val="21"/>
              </w:rPr>
              <w:t>）</w:t>
            </w:r>
          </w:p>
        </w:tc>
        <w:tc>
          <w:tcPr>
            <w:tcW w:w="990" w:type="pct"/>
            <w:tcBorders>
              <w:top w:val="single" w:color="000000" w:sz="4" w:space="0"/>
              <w:left w:val="single" w:color="000000" w:sz="4" w:space="0"/>
              <w:bottom w:val="single" w:color="000000" w:sz="4" w:space="0"/>
              <w:right w:val="nil"/>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1次/年</w:t>
            </w:r>
          </w:p>
        </w:tc>
      </w:tr>
      <w:tr>
        <w:tblPrEx>
          <w:tblCellMar>
            <w:top w:w="0" w:type="dxa"/>
            <w:left w:w="0" w:type="dxa"/>
            <w:bottom w:w="0" w:type="dxa"/>
            <w:right w:w="0" w:type="dxa"/>
          </w:tblCellMar>
        </w:tblPrEx>
        <w:trPr>
          <w:trHeight w:val="19" w:hRule="atLeast"/>
          <w:jc w:val="center"/>
        </w:trPr>
        <w:tc>
          <w:tcPr>
            <w:tcW w:w="396" w:type="pct"/>
            <w:tcBorders>
              <w:top w:val="single" w:color="000000" w:sz="4" w:space="0"/>
              <w:left w:val="nil"/>
              <w:bottom w:val="single" w:color="000000" w:sz="4" w:space="0"/>
              <w:right w:val="single" w:color="000000"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4</w:t>
            </w:r>
          </w:p>
        </w:tc>
        <w:tc>
          <w:tcPr>
            <w:tcW w:w="758" w:type="pct"/>
            <w:tcBorders>
              <w:top w:val="single" w:color="000000" w:sz="4" w:space="0"/>
              <w:left w:val="single" w:color="000000" w:sz="4" w:space="0"/>
              <w:bottom w:val="single" w:color="000000" w:sz="4" w:space="0"/>
              <w:right w:val="single" w:color="000000"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土壤</w:t>
            </w:r>
          </w:p>
        </w:tc>
        <w:tc>
          <w:tcPr>
            <w:tcW w:w="1185" w:type="pct"/>
            <w:tcBorders>
              <w:top w:val="single" w:color="000000" w:sz="4" w:space="0"/>
              <w:left w:val="single" w:color="000000" w:sz="4" w:space="0"/>
              <w:bottom w:val="single" w:color="000000" w:sz="4" w:space="0"/>
              <w:right w:val="single" w:color="000000"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石油类</w:t>
            </w:r>
          </w:p>
        </w:tc>
        <w:tc>
          <w:tcPr>
            <w:tcW w:w="1671" w:type="pct"/>
            <w:tcBorders>
              <w:top w:val="single" w:color="000000" w:sz="4" w:space="0"/>
              <w:left w:val="single" w:color="000000" w:sz="4" w:space="0"/>
              <w:bottom w:val="single" w:color="000000" w:sz="4" w:space="0"/>
              <w:right w:val="single" w:color="000000" w:sz="4" w:space="0"/>
            </w:tcBorders>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普陆4集气平台</w:t>
            </w:r>
            <w:r>
              <w:rPr>
                <w:rFonts w:ascii="Times New Roman" w:cs="Times New Roman"/>
                <w:kern w:val="2"/>
                <w:sz w:val="21"/>
                <w:szCs w:val="21"/>
              </w:rPr>
              <w:t>周围耕地</w:t>
            </w:r>
          </w:p>
        </w:tc>
        <w:tc>
          <w:tcPr>
            <w:tcW w:w="990" w:type="pct"/>
            <w:tcBorders>
              <w:top w:val="single" w:color="000000" w:sz="4" w:space="0"/>
              <w:left w:val="single" w:color="000000" w:sz="4" w:space="0"/>
              <w:bottom w:val="single" w:color="000000" w:sz="4" w:space="0"/>
              <w:right w:val="nil"/>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1次/5年</w:t>
            </w:r>
          </w:p>
        </w:tc>
      </w:tr>
      <w:tr>
        <w:tblPrEx>
          <w:tblCellMar>
            <w:top w:w="0" w:type="dxa"/>
            <w:left w:w="0" w:type="dxa"/>
            <w:bottom w:w="0" w:type="dxa"/>
            <w:right w:w="0" w:type="dxa"/>
          </w:tblCellMar>
        </w:tblPrEx>
        <w:trPr>
          <w:trHeight w:val="19" w:hRule="atLeast"/>
          <w:jc w:val="center"/>
        </w:trPr>
        <w:tc>
          <w:tcPr>
            <w:tcW w:w="396" w:type="pct"/>
            <w:tcBorders>
              <w:top w:val="single" w:color="000000" w:sz="4" w:space="0"/>
              <w:left w:val="nil"/>
              <w:bottom w:val="single" w:color="000000" w:sz="4" w:space="0"/>
              <w:right w:val="single" w:color="000000" w:sz="4" w:space="0"/>
            </w:tcBorders>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5</w:t>
            </w:r>
          </w:p>
        </w:tc>
        <w:tc>
          <w:tcPr>
            <w:tcW w:w="758" w:type="pct"/>
            <w:tcBorders>
              <w:top w:val="single" w:color="000000" w:sz="4" w:space="0"/>
              <w:left w:val="single" w:color="000000" w:sz="4" w:space="0"/>
              <w:bottom w:val="single" w:color="000000" w:sz="4" w:space="0"/>
              <w:right w:val="single" w:color="000000"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事故监测</w:t>
            </w:r>
            <w:r>
              <w:rPr>
                <w:rFonts w:hint="eastAsia" w:hAnsi="宋体"/>
                <w:kern w:val="2"/>
                <w:sz w:val="21"/>
                <w:szCs w:val="21"/>
                <w:vertAlign w:val="superscript"/>
              </w:rPr>
              <w:t>①</w:t>
            </w:r>
          </w:p>
        </w:tc>
        <w:tc>
          <w:tcPr>
            <w:tcW w:w="1185" w:type="pct"/>
            <w:tcBorders>
              <w:top w:val="single" w:color="000000" w:sz="4" w:space="0"/>
              <w:left w:val="single" w:color="000000" w:sz="4" w:space="0"/>
              <w:bottom w:val="single" w:color="000000" w:sz="4" w:space="0"/>
              <w:right w:val="single" w:color="000000"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非甲烷总烃、</w:t>
            </w:r>
            <w:r>
              <w:rPr>
                <w:rFonts w:hint="eastAsia" w:ascii="Times New Roman" w:cs="Times New Roman"/>
                <w:kern w:val="2"/>
                <w:sz w:val="21"/>
                <w:szCs w:val="21"/>
              </w:rPr>
              <w:t>甲烷</w:t>
            </w:r>
          </w:p>
        </w:tc>
        <w:tc>
          <w:tcPr>
            <w:tcW w:w="1671" w:type="pct"/>
            <w:tcBorders>
              <w:top w:val="single" w:color="000000" w:sz="4" w:space="0"/>
              <w:left w:val="single" w:color="000000" w:sz="4" w:space="0"/>
              <w:bottom w:val="single" w:color="000000" w:sz="4" w:space="0"/>
              <w:right w:val="single" w:color="000000"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事故地段</w:t>
            </w:r>
          </w:p>
        </w:tc>
        <w:tc>
          <w:tcPr>
            <w:tcW w:w="990" w:type="pct"/>
            <w:tcBorders>
              <w:top w:val="single" w:color="000000" w:sz="4" w:space="0"/>
              <w:left w:val="single" w:color="000000" w:sz="4" w:space="0"/>
              <w:bottom w:val="single" w:color="000000" w:sz="4" w:space="0"/>
              <w:right w:val="nil"/>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立即进行</w:t>
            </w:r>
          </w:p>
        </w:tc>
      </w:tr>
      <w:tr>
        <w:tblPrEx>
          <w:tblCellMar>
            <w:top w:w="0" w:type="dxa"/>
            <w:left w:w="0" w:type="dxa"/>
            <w:bottom w:w="0" w:type="dxa"/>
            <w:right w:w="0" w:type="dxa"/>
          </w:tblCellMar>
        </w:tblPrEx>
        <w:trPr>
          <w:trHeight w:val="19" w:hRule="atLeast"/>
          <w:jc w:val="center"/>
        </w:trPr>
        <w:tc>
          <w:tcPr>
            <w:tcW w:w="5000" w:type="pct"/>
            <w:gridSpan w:val="5"/>
            <w:tcBorders>
              <w:top w:val="single" w:color="000000" w:sz="4" w:space="0"/>
              <w:left w:val="nil"/>
              <w:bottom w:val="single" w:color="000000" w:sz="12" w:space="0"/>
            </w:tcBorders>
            <w:vAlign w:val="center"/>
          </w:tcPr>
          <w:p>
            <w:pPr>
              <w:pStyle w:val="119"/>
              <w:rPr>
                <w:rFonts w:ascii="Times New Roman" w:hAnsi="Times New Roman" w:cs="Times New Roman"/>
                <w:color w:val="auto"/>
                <w:kern w:val="2"/>
                <w:sz w:val="21"/>
                <w:szCs w:val="21"/>
              </w:rPr>
            </w:pPr>
            <w:r>
              <w:rPr>
                <w:rFonts w:ascii="Times New Roman" w:hAnsi="Times New Roman" w:cs="Times New Roman"/>
                <w:color w:val="auto"/>
                <w:sz w:val="20"/>
                <w:szCs w:val="20"/>
              </w:rPr>
              <w:t>注：</w:t>
            </w:r>
            <w:r>
              <w:rPr>
                <w:rFonts w:hint="eastAsia" w:hAnsi="宋体"/>
                <w:color w:val="auto"/>
                <w:sz w:val="20"/>
                <w:szCs w:val="20"/>
              </w:rPr>
              <w:t>①</w:t>
            </w:r>
            <w:r>
              <w:rPr>
                <w:rFonts w:ascii="Times New Roman" w:hAnsi="Times New Roman" w:cs="Times New Roman"/>
                <w:color w:val="auto"/>
                <w:sz w:val="20"/>
                <w:szCs w:val="20"/>
              </w:rPr>
              <w:t>事故发生时的环境监测：因管线发生泄漏</w:t>
            </w:r>
          </w:p>
        </w:tc>
      </w:tr>
    </w:tbl>
    <w:p>
      <w:pPr>
        <w:pStyle w:val="4"/>
        <w:rPr>
          <w:rFonts w:eastAsia="宋体"/>
        </w:rPr>
      </w:pPr>
      <w:r>
        <w:rPr>
          <w:rFonts w:eastAsia="宋体"/>
        </w:rPr>
        <w:t>10.2.2 营运期环境管理</w:t>
      </w:r>
    </w:p>
    <w:p>
      <w:pPr>
        <w:pStyle w:val="6"/>
        <w:ind w:firstLine="482"/>
        <w:rPr>
          <w:rFonts w:ascii="Times New Roman" w:cs="Times New Roman"/>
          <w:b/>
          <w:bCs/>
        </w:rPr>
      </w:pPr>
      <w:r>
        <w:rPr>
          <w:rFonts w:ascii="Times New Roman" w:cs="Times New Roman"/>
          <w:b/>
          <w:bCs/>
        </w:rPr>
        <w:t>1、加强环保设备的管理</w:t>
      </w:r>
    </w:p>
    <w:p>
      <w:pPr>
        <w:pStyle w:val="6"/>
        <w:ind w:firstLine="480"/>
        <w:rPr>
          <w:rFonts w:ascii="Times New Roman" w:cs="Times New Roman"/>
        </w:rPr>
      </w:pPr>
      <w:r>
        <w:rPr>
          <w:rFonts w:ascii="Times New Roman" w:cs="Times New Roman"/>
        </w:rPr>
        <w:t>建立环保设备</w:t>
      </w:r>
      <w:r>
        <w:rPr>
          <w:rFonts w:hint="eastAsia" w:ascii="Times New Roman" w:cs="Times New Roman"/>
          <w:lang w:eastAsia="zh-CN"/>
        </w:rPr>
        <w:t>台账</w:t>
      </w:r>
      <w:r>
        <w:rPr>
          <w:rFonts w:ascii="Times New Roman" w:cs="Times New Roman"/>
        </w:rPr>
        <w:t>，制定主要环保设备的操作规程及安排专门操作人员，建立重点处理设备的“环保运行记录”等。</w:t>
      </w:r>
    </w:p>
    <w:p>
      <w:pPr>
        <w:pStyle w:val="6"/>
        <w:ind w:firstLine="482"/>
        <w:rPr>
          <w:rFonts w:ascii="Times New Roman" w:cs="Times New Roman"/>
          <w:b/>
          <w:bCs/>
        </w:rPr>
      </w:pPr>
      <w:r>
        <w:rPr>
          <w:rFonts w:ascii="Times New Roman" w:cs="Times New Roman"/>
          <w:b/>
          <w:bCs/>
        </w:rPr>
        <w:t>2、落实管理制度</w:t>
      </w:r>
    </w:p>
    <w:p>
      <w:pPr>
        <w:pStyle w:val="6"/>
        <w:ind w:firstLine="480"/>
        <w:rPr>
          <w:rFonts w:ascii="Times New Roman" w:cs="Times New Roman"/>
        </w:rPr>
      </w:pPr>
      <w:r>
        <w:rPr>
          <w:rFonts w:ascii="Times New Roman" w:cs="Times New Roman"/>
        </w:rPr>
        <w:t>除加强环保设备的基础管理外，尚需狠抓制度的落实，制定环保经济责任制考核制度，以提高各部门对环境保护的责任感。</w:t>
      </w:r>
    </w:p>
    <w:p>
      <w:pPr>
        <w:ind w:firstLine="480"/>
        <w:rPr>
          <w:rFonts w:ascii="Times New Roman" w:cs="Times New Roman"/>
        </w:rPr>
      </w:pPr>
      <w:r>
        <w:rPr>
          <w:rFonts w:ascii="Times New Roman" w:cs="Times New Roman"/>
        </w:rPr>
        <w:t>在管道运行期，环境管理除做好监督与检查站场各项环保设施的运行和维护等工作外，工作重点应针对管线破裂后天然气泄漏着火爆炸、着火爆炸等重大事故的预防和处理上。重大环境污染事故不同于一般的环境污染，它没有固定的排放方式和排放途径，具有发生突然、危害严重、污染影响长远且难于完全消除等特点。为此，必须制定相应的事故预防措施、事故应急措施以及恢复补偿措施等。</w:t>
      </w:r>
    </w:p>
    <w:p>
      <w:pPr>
        <w:pStyle w:val="4"/>
        <w:rPr>
          <w:rFonts w:eastAsia="宋体"/>
        </w:rPr>
      </w:pPr>
      <w:r>
        <w:rPr>
          <w:rFonts w:eastAsia="宋体"/>
        </w:rPr>
        <w:t>10.2.</w:t>
      </w:r>
      <w:r>
        <w:rPr>
          <w:rFonts w:hint="eastAsia" w:eastAsia="宋体"/>
        </w:rPr>
        <w:t>3退役期现有设施设备的</w:t>
      </w:r>
      <w:r>
        <w:rPr>
          <w:rFonts w:eastAsia="宋体"/>
        </w:rPr>
        <w:t>环境管理</w:t>
      </w:r>
    </w:p>
    <w:p>
      <w:pPr>
        <w:ind w:firstLine="480"/>
        <w:rPr>
          <w:rFonts w:ascii="Times New Roman" w:cs="Times New Roman"/>
        </w:rPr>
      </w:pPr>
      <w:r>
        <w:rPr>
          <w:rFonts w:hint="eastAsia"/>
        </w:rPr>
        <w:t>本项目退役后</w:t>
      </w:r>
      <w:r>
        <w:rPr>
          <w:rFonts w:hint="eastAsia" w:ascii="Times New Roman" w:cs="Times New Roman"/>
        </w:rPr>
        <w:t>，现有设施设备原则上进行暂时保留，不予拆除，若根据确需配合开发部门进行转移或利旧的，应按照《企业设备、建（构）筑物拆除活动污染防治技术指南》要求进行，同时，对防治设施内涉及的废水、废渣及时进行清运处置，防止造成环境污染事故</w:t>
      </w:r>
      <w:r>
        <w:rPr>
          <w:rFonts w:ascii="Times New Roman" w:cs="Times New Roman"/>
        </w:rPr>
        <w:t>。</w:t>
      </w:r>
    </w:p>
    <w:p>
      <w:pPr>
        <w:pStyle w:val="3"/>
        <w:spacing w:before="120"/>
        <w:rPr>
          <w:rFonts w:cs="Times New Roman"/>
        </w:rPr>
      </w:pPr>
      <w:r>
        <w:rPr>
          <w:rFonts w:cs="Times New Roman"/>
        </w:rPr>
        <w:t>10.</w:t>
      </w:r>
      <w:r>
        <w:rPr>
          <w:rFonts w:hint="eastAsia" w:cs="Times New Roman"/>
        </w:rPr>
        <w:t>3</w:t>
      </w:r>
      <w:r>
        <w:rPr>
          <w:rFonts w:cs="Times New Roman"/>
        </w:rPr>
        <w:t xml:space="preserve"> </w:t>
      </w:r>
      <w:r>
        <w:rPr>
          <w:rFonts w:hint="eastAsia" w:cs="Times New Roman"/>
        </w:rPr>
        <w:t>本</w:t>
      </w:r>
      <w:r>
        <w:rPr>
          <w:rFonts w:cs="Times New Roman"/>
        </w:rPr>
        <w:t>项目</w:t>
      </w:r>
      <w:r>
        <w:rPr>
          <w:rFonts w:hint="eastAsia" w:cs="Times New Roman"/>
        </w:rPr>
        <w:t>“三同时”验收</w:t>
      </w:r>
    </w:p>
    <w:p>
      <w:pPr>
        <w:ind w:firstLine="480"/>
        <w:rPr>
          <w:rFonts w:hint="eastAsia"/>
        </w:rPr>
      </w:pPr>
      <w:r>
        <w:rPr>
          <w:rFonts w:ascii="Times New Roman" w:cs="Times New Roman"/>
        </w:rPr>
        <w:t>本项目</w:t>
      </w:r>
      <w:r>
        <w:rPr>
          <w:rFonts w:hint="eastAsia" w:ascii="Times New Roman" w:cs="Times New Roman"/>
        </w:rPr>
        <w:t>“</w:t>
      </w:r>
      <w:r>
        <w:rPr>
          <w:rFonts w:ascii="Times New Roman" w:cs="Times New Roman"/>
        </w:rPr>
        <w:t>三同时</w:t>
      </w:r>
      <w:r>
        <w:rPr>
          <w:rFonts w:hint="eastAsia" w:ascii="Times New Roman" w:cs="Times New Roman"/>
        </w:rPr>
        <w:t>”</w:t>
      </w:r>
      <w:r>
        <w:rPr>
          <w:rFonts w:ascii="Times New Roman" w:cs="Times New Roman"/>
        </w:rPr>
        <w:t>验收内容见下表。</w:t>
      </w:r>
    </w:p>
    <w:p>
      <w:pPr>
        <w:ind w:firstLine="480"/>
        <w:rPr>
          <w:rFonts w:hint="eastAsia"/>
        </w:rPr>
      </w:pPr>
    </w:p>
    <w:p>
      <w:pPr>
        <w:ind w:firstLine="480"/>
        <w:rPr>
          <w:rFonts w:hint="eastAsia"/>
        </w:rPr>
      </w:pPr>
    </w:p>
    <w:p>
      <w:pPr>
        <w:ind w:firstLine="480"/>
        <w:rPr>
          <w:rFonts w:hint="eastAsia"/>
        </w:rPr>
      </w:pPr>
    </w:p>
    <w:p>
      <w:pPr>
        <w:ind w:firstLine="480"/>
        <w:rPr>
          <w:rFonts w:hint="eastAsia"/>
        </w:rPr>
      </w:pPr>
    </w:p>
    <w:p>
      <w:pPr>
        <w:ind w:firstLine="480"/>
        <w:rPr>
          <w:rFonts w:hint="eastAsia"/>
        </w:rPr>
      </w:pPr>
    </w:p>
    <w:p>
      <w:pPr>
        <w:ind w:firstLine="480"/>
        <w:rPr>
          <w:rFonts w:hint="eastAsia"/>
        </w:rPr>
      </w:pPr>
    </w:p>
    <w:p>
      <w:pPr>
        <w:ind w:firstLine="480"/>
        <w:rPr>
          <w:rFonts w:hint="eastAsia"/>
        </w:rPr>
      </w:pPr>
    </w:p>
    <w:p>
      <w:pPr>
        <w:ind w:firstLine="480"/>
        <w:rPr>
          <w:rFonts w:hint="eastAsia"/>
        </w:rPr>
      </w:pPr>
    </w:p>
    <w:p>
      <w:pPr>
        <w:ind w:firstLine="480"/>
        <w:rPr>
          <w:rFonts w:hint="eastAsia"/>
        </w:rPr>
      </w:pPr>
    </w:p>
    <w:p>
      <w:pPr>
        <w:ind w:firstLine="480"/>
        <w:rPr>
          <w:rFonts w:hint="eastAsia"/>
        </w:rPr>
      </w:pPr>
    </w:p>
    <w:p>
      <w:pPr>
        <w:ind w:firstLine="480"/>
        <w:rPr>
          <w:rFonts w:hint="eastAsia"/>
        </w:rPr>
      </w:pPr>
    </w:p>
    <w:p>
      <w:pPr>
        <w:ind w:firstLine="480"/>
        <w:rPr>
          <w:rFonts w:hint="eastAsia"/>
        </w:rPr>
      </w:pPr>
    </w:p>
    <w:p>
      <w:pPr>
        <w:ind w:firstLine="480"/>
        <w:sectPr>
          <w:pgSz w:w="11906" w:h="16838"/>
          <w:pgMar w:top="1440" w:right="1800" w:bottom="1440" w:left="1800" w:header="851" w:footer="992" w:gutter="0"/>
          <w:cols w:space="425" w:num="1"/>
          <w:docGrid w:type="lines" w:linePitch="312" w:charSpace="0"/>
        </w:sectPr>
      </w:pPr>
    </w:p>
    <w:p>
      <w:pPr>
        <w:pStyle w:val="125"/>
        <w:rPr>
          <w:rFonts w:eastAsia="宋体"/>
        </w:rPr>
      </w:pPr>
      <w:r>
        <w:rPr>
          <w:rFonts w:eastAsia="宋体"/>
        </w:rPr>
        <w:t>表</w:t>
      </w:r>
      <w:r>
        <w:rPr>
          <w:rFonts w:hint="eastAsia" w:eastAsia="宋体"/>
        </w:rPr>
        <w:t>10</w:t>
      </w:r>
      <w:r>
        <w:rPr>
          <w:rFonts w:eastAsia="宋体"/>
        </w:rPr>
        <w:t>.3-1  环保“三同时”验收一览表</w:t>
      </w:r>
    </w:p>
    <w:tbl>
      <w:tblPr>
        <w:tblStyle w:val="57"/>
        <w:tblW w:w="50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609"/>
        <w:gridCol w:w="1033"/>
        <w:gridCol w:w="28"/>
        <w:gridCol w:w="2032"/>
        <w:gridCol w:w="6268"/>
        <w:gridCol w:w="426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1301" w:type="pct"/>
            <w:gridSpan w:val="4"/>
            <w:vAlign w:val="center"/>
          </w:tcPr>
          <w:p>
            <w:pPr>
              <w:pStyle w:val="101"/>
              <w:spacing w:line="240" w:lineRule="auto"/>
              <w:ind w:firstLine="0" w:firstLineChars="0"/>
              <w:rPr>
                <w:rFonts w:ascii="Times New Roman" w:cs="Times New Roman"/>
                <w:b/>
                <w:kern w:val="2"/>
                <w:sz w:val="21"/>
                <w:szCs w:val="21"/>
              </w:rPr>
            </w:pPr>
            <w:r>
              <w:rPr>
                <w:rFonts w:ascii="Times New Roman" w:cs="Times New Roman"/>
                <w:b/>
                <w:kern w:val="2"/>
                <w:sz w:val="21"/>
                <w:szCs w:val="21"/>
              </w:rPr>
              <w:t>项目</w:t>
            </w:r>
          </w:p>
        </w:tc>
        <w:tc>
          <w:tcPr>
            <w:tcW w:w="2202" w:type="pct"/>
            <w:vAlign w:val="center"/>
          </w:tcPr>
          <w:p>
            <w:pPr>
              <w:pStyle w:val="101"/>
              <w:spacing w:line="240" w:lineRule="auto"/>
              <w:ind w:firstLine="0" w:firstLineChars="0"/>
              <w:rPr>
                <w:rFonts w:ascii="Times New Roman" w:cs="Times New Roman"/>
                <w:b/>
                <w:kern w:val="2"/>
                <w:sz w:val="21"/>
                <w:szCs w:val="21"/>
              </w:rPr>
            </w:pPr>
            <w:r>
              <w:rPr>
                <w:rFonts w:ascii="Times New Roman" w:cs="Times New Roman"/>
                <w:b/>
                <w:kern w:val="2"/>
                <w:sz w:val="21"/>
                <w:szCs w:val="21"/>
              </w:rPr>
              <w:t>主要内容</w:t>
            </w:r>
          </w:p>
        </w:tc>
        <w:tc>
          <w:tcPr>
            <w:tcW w:w="1497" w:type="pct"/>
            <w:vAlign w:val="center"/>
          </w:tcPr>
          <w:p>
            <w:pPr>
              <w:pStyle w:val="101"/>
              <w:spacing w:line="240" w:lineRule="auto"/>
              <w:ind w:firstLine="0" w:firstLineChars="0"/>
              <w:rPr>
                <w:rFonts w:ascii="Times New Roman" w:cs="Times New Roman"/>
                <w:b/>
                <w:kern w:val="2"/>
                <w:sz w:val="21"/>
                <w:szCs w:val="21"/>
              </w:rPr>
            </w:pPr>
            <w:r>
              <w:rPr>
                <w:rFonts w:ascii="Times New Roman" w:cs="Times New Roman"/>
                <w:b/>
                <w:kern w:val="2"/>
                <w:sz w:val="21"/>
                <w:szCs w:val="21"/>
              </w:rPr>
              <w:t>达到效果</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72" w:hRule="atLeast"/>
          <w:jc w:val="center"/>
        </w:trPr>
        <w:tc>
          <w:tcPr>
            <w:tcW w:w="214" w:type="pct"/>
            <w:vMerge w:val="restar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施工期</w:t>
            </w:r>
          </w:p>
        </w:tc>
        <w:tc>
          <w:tcPr>
            <w:tcW w:w="1087" w:type="pct"/>
            <w:gridSpan w:val="3"/>
            <w:vMerge w:val="restar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废气</w:t>
            </w:r>
          </w:p>
        </w:tc>
        <w:tc>
          <w:tcPr>
            <w:tcW w:w="2202" w:type="pct"/>
            <w:vAlign w:val="center"/>
          </w:tcPr>
          <w:p>
            <w:pPr>
              <w:pStyle w:val="101"/>
              <w:spacing w:line="240" w:lineRule="auto"/>
              <w:ind w:firstLine="420"/>
            </w:pPr>
            <w:r>
              <w:rPr>
                <w:rFonts w:ascii="Times New Roman" w:cs="Times New Roman"/>
                <w:kern w:val="2"/>
                <w:sz w:val="21"/>
                <w:szCs w:val="21"/>
              </w:rPr>
              <w:t>采取覆盖防尘布、洒水降尘、道路洒水、车辆清洗，大风天气停止土方开挖作业</w:t>
            </w:r>
            <w:r>
              <w:rPr>
                <w:rFonts w:hint="eastAsia" w:ascii="Times New Roman" w:cs="Times New Roman"/>
                <w:kern w:val="2"/>
                <w:sz w:val="21"/>
                <w:szCs w:val="21"/>
              </w:rPr>
              <w:t>，</w:t>
            </w:r>
            <w:r>
              <w:rPr>
                <w:rFonts w:ascii="Times New Roman" w:cs="Times New Roman"/>
                <w:kern w:val="2"/>
                <w:sz w:val="21"/>
                <w:szCs w:val="21"/>
              </w:rPr>
              <w:t>使用尾气达标机械车辆</w:t>
            </w:r>
            <w:r>
              <w:rPr>
                <w:rFonts w:hint="eastAsia" w:ascii="Times New Roman" w:cs="Times New Roman"/>
                <w:kern w:val="2"/>
                <w:sz w:val="21"/>
                <w:szCs w:val="21"/>
              </w:rPr>
              <w:t>等措施</w:t>
            </w:r>
            <w:r>
              <w:rPr>
                <w:rFonts w:ascii="Times New Roman" w:cs="Times New Roman"/>
                <w:kern w:val="2"/>
                <w:sz w:val="21"/>
                <w:szCs w:val="21"/>
              </w:rPr>
              <w:t>。</w:t>
            </w:r>
          </w:p>
        </w:tc>
        <w:tc>
          <w:tcPr>
            <w:tcW w:w="1497" w:type="pct"/>
            <w:vAlign w:val="center"/>
          </w:tcPr>
          <w:p>
            <w:pPr>
              <w:pStyle w:val="101"/>
              <w:ind w:firstLine="420"/>
              <w:rPr>
                <w:rFonts w:ascii="Times New Roman" w:cs="Times New Roman"/>
                <w:kern w:val="2"/>
                <w:sz w:val="21"/>
                <w:szCs w:val="21"/>
              </w:rPr>
            </w:pPr>
            <w:r>
              <w:rPr>
                <w:rFonts w:ascii="Times New Roman" w:cs="Times New Roman"/>
                <w:kern w:val="2"/>
                <w:sz w:val="21"/>
                <w:szCs w:val="21"/>
              </w:rPr>
              <w:t>降低施工扬尘，满足地市相关管理办法要求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72" w:hRule="atLeast"/>
          <w:jc w:val="center"/>
        </w:trPr>
        <w:tc>
          <w:tcPr>
            <w:tcW w:w="214" w:type="pct"/>
            <w:vMerge w:val="continue"/>
            <w:vAlign w:val="center"/>
          </w:tcPr>
          <w:p>
            <w:pPr>
              <w:pStyle w:val="101"/>
              <w:spacing w:line="240" w:lineRule="auto"/>
              <w:ind w:firstLine="0" w:firstLineChars="0"/>
              <w:rPr>
                <w:rFonts w:ascii="Times New Roman" w:cs="Times New Roman"/>
                <w:kern w:val="2"/>
                <w:sz w:val="21"/>
                <w:szCs w:val="21"/>
              </w:rPr>
            </w:pPr>
          </w:p>
        </w:tc>
        <w:tc>
          <w:tcPr>
            <w:tcW w:w="1087" w:type="pct"/>
            <w:gridSpan w:val="3"/>
            <w:vMerge w:val="continue"/>
            <w:vAlign w:val="center"/>
          </w:tcPr>
          <w:p>
            <w:pPr>
              <w:pStyle w:val="101"/>
              <w:spacing w:line="240" w:lineRule="auto"/>
              <w:ind w:firstLine="0" w:firstLineChars="0"/>
              <w:rPr>
                <w:rFonts w:ascii="Times New Roman" w:cs="Times New Roman"/>
                <w:kern w:val="2"/>
                <w:sz w:val="21"/>
                <w:szCs w:val="21"/>
              </w:rPr>
            </w:pPr>
          </w:p>
        </w:tc>
        <w:tc>
          <w:tcPr>
            <w:tcW w:w="2202" w:type="pct"/>
            <w:vAlign w:val="center"/>
          </w:tcPr>
          <w:p>
            <w:pPr>
              <w:pStyle w:val="101"/>
              <w:spacing w:line="240" w:lineRule="auto"/>
              <w:ind w:firstLine="420"/>
              <w:rPr>
                <w:rFonts w:ascii="Times New Roman" w:cs="Times New Roman"/>
                <w:kern w:val="2"/>
                <w:sz w:val="21"/>
                <w:szCs w:val="21"/>
              </w:rPr>
            </w:pPr>
            <w:r>
              <w:rPr>
                <w:rFonts w:ascii="Times New Roman" w:cs="Times New Roman"/>
                <w:kern w:val="2"/>
                <w:sz w:val="21"/>
                <w:szCs w:val="21"/>
              </w:rPr>
              <w:t>气体钻粉尘采取喷淋降尘措施</w:t>
            </w:r>
          </w:p>
        </w:tc>
        <w:tc>
          <w:tcPr>
            <w:tcW w:w="1497" w:type="pct"/>
            <w:vAlign w:val="center"/>
          </w:tcPr>
          <w:p>
            <w:pPr>
              <w:pStyle w:val="101"/>
              <w:ind w:firstLine="420"/>
              <w:rPr>
                <w:rFonts w:ascii="Times New Roman" w:cs="Times New Roman"/>
                <w:kern w:val="2"/>
                <w:sz w:val="21"/>
                <w:szCs w:val="21"/>
              </w:rPr>
            </w:pPr>
            <w:r>
              <w:rPr>
                <w:rFonts w:ascii="Times New Roman" w:cs="Times New Roman"/>
                <w:kern w:val="2"/>
                <w:sz w:val="21"/>
                <w:szCs w:val="21"/>
              </w:rPr>
              <w:t>达标排放</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72" w:hRule="atLeast"/>
          <w:jc w:val="center"/>
        </w:trPr>
        <w:tc>
          <w:tcPr>
            <w:tcW w:w="214" w:type="pct"/>
            <w:vMerge w:val="continue"/>
            <w:vAlign w:val="center"/>
          </w:tcPr>
          <w:p>
            <w:pPr>
              <w:pStyle w:val="101"/>
              <w:spacing w:line="240" w:lineRule="auto"/>
              <w:ind w:firstLine="0" w:firstLineChars="0"/>
              <w:rPr>
                <w:rFonts w:ascii="Times New Roman" w:cs="Times New Roman"/>
                <w:kern w:val="2"/>
                <w:sz w:val="21"/>
                <w:szCs w:val="21"/>
              </w:rPr>
            </w:pPr>
          </w:p>
        </w:tc>
        <w:tc>
          <w:tcPr>
            <w:tcW w:w="1087" w:type="pct"/>
            <w:gridSpan w:val="3"/>
            <w:vMerge w:val="continue"/>
            <w:vAlign w:val="center"/>
          </w:tcPr>
          <w:p>
            <w:pPr>
              <w:pStyle w:val="101"/>
              <w:spacing w:line="240" w:lineRule="auto"/>
              <w:ind w:firstLine="0" w:firstLineChars="0"/>
              <w:rPr>
                <w:rFonts w:ascii="Times New Roman" w:cs="Times New Roman"/>
                <w:kern w:val="2"/>
                <w:sz w:val="21"/>
                <w:szCs w:val="21"/>
              </w:rPr>
            </w:pPr>
          </w:p>
        </w:tc>
        <w:tc>
          <w:tcPr>
            <w:tcW w:w="2202" w:type="pct"/>
            <w:vAlign w:val="center"/>
          </w:tcPr>
          <w:p>
            <w:pPr>
              <w:pStyle w:val="101"/>
              <w:spacing w:line="240" w:lineRule="auto"/>
              <w:ind w:firstLine="420"/>
              <w:rPr>
                <w:rFonts w:ascii="Times New Roman" w:cs="Times New Roman"/>
                <w:kern w:val="2"/>
                <w:sz w:val="21"/>
                <w:szCs w:val="21"/>
              </w:rPr>
            </w:pPr>
            <w:r>
              <w:rPr>
                <w:rFonts w:ascii="Times New Roman" w:cs="Times New Roman"/>
                <w:kern w:val="2"/>
                <w:sz w:val="21"/>
                <w:szCs w:val="21"/>
              </w:rPr>
              <w:t>测试放喷废气采取放喷池燃烧处理，并提前对周边无关人员进行临时疏散</w:t>
            </w:r>
          </w:p>
        </w:tc>
        <w:tc>
          <w:tcPr>
            <w:tcW w:w="1497" w:type="pct"/>
            <w:vAlign w:val="center"/>
          </w:tcPr>
          <w:p>
            <w:pPr>
              <w:pStyle w:val="101"/>
              <w:ind w:firstLine="420"/>
              <w:rPr>
                <w:rFonts w:ascii="Times New Roman" w:cs="Times New Roman"/>
                <w:kern w:val="2"/>
                <w:sz w:val="21"/>
                <w:szCs w:val="21"/>
              </w:rPr>
            </w:pPr>
            <w:r>
              <w:rPr>
                <w:rFonts w:ascii="Times New Roman" w:cs="Times New Roman"/>
                <w:kern w:val="2"/>
                <w:sz w:val="21"/>
                <w:szCs w:val="21"/>
              </w:rPr>
              <w:t>达标排放</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4"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363" w:type="pct"/>
            <w:vMerge w:val="restart"/>
            <w:tcBorders>
              <w:right w:val="single" w:color="auto"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废水</w:t>
            </w:r>
          </w:p>
        </w:tc>
        <w:tc>
          <w:tcPr>
            <w:tcW w:w="724" w:type="pct"/>
            <w:gridSpan w:val="2"/>
            <w:tcBorders>
              <w:left w:val="single" w:color="auto"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试压废水排放措施</w:t>
            </w:r>
          </w:p>
        </w:tc>
        <w:tc>
          <w:tcPr>
            <w:tcW w:w="2202" w:type="pct"/>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试压废水</w:t>
            </w:r>
            <w:r>
              <w:rPr>
                <w:rFonts w:ascii="Times New Roman" w:cs="Times New Roman"/>
                <w:kern w:val="2"/>
                <w:sz w:val="21"/>
                <w:szCs w:val="21"/>
              </w:rPr>
              <w:t>分段</w:t>
            </w:r>
            <w:r>
              <w:rPr>
                <w:rFonts w:hint="eastAsia" w:ascii="Times New Roman" w:cs="Times New Roman"/>
                <w:kern w:val="2"/>
                <w:sz w:val="21"/>
                <w:szCs w:val="21"/>
              </w:rPr>
              <w:t>试压，</w:t>
            </w:r>
            <w:r>
              <w:rPr>
                <w:rFonts w:ascii="Times New Roman" w:cs="Times New Roman"/>
                <w:kern w:val="2"/>
                <w:sz w:val="21"/>
                <w:szCs w:val="21"/>
              </w:rPr>
              <w:t>末端处挖一沉沙池，经沉沙池沉淀后</w:t>
            </w:r>
            <w:r>
              <w:rPr>
                <w:rFonts w:hint="eastAsia" w:ascii="Times New Roman" w:cs="Times New Roman"/>
                <w:kern w:val="2"/>
                <w:sz w:val="21"/>
                <w:szCs w:val="21"/>
              </w:rPr>
              <w:t>回用，不外排</w:t>
            </w:r>
            <w:r>
              <w:rPr>
                <w:rFonts w:ascii="Times New Roman" w:cs="Times New Roman"/>
                <w:kern w:val="2"/>
                <w:sz w:val="21"/>
                <w:szCs w:val="21"/>
              </w:rPr>
              <w:t>。</w:t>
            </w:r>
          </w:p>
        </w:tc>
        <w:tc>
          <w:tcPr>
            <w:tcW w:w="1497" w:type="pc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沉淀处理</w:t>
            </w:r>
            <w:r>
              <w:rPr>
                <w:rFonts w:hint="eastAsia" w:ascii="Times New Roman" w:cs="Times New Roman"/>
                <w:kern w:val="2"/>
                <w:sz w:val="21"/>
                <w:szCs w:val="21"/>
              </w:rPr>
              <w:t>后回用</w:t>
            </w:r>
            <w:r>
              <w:rPr>
                <w:rFonts w:ascii="Times New Roman" w:cs="Times New Roman"/>
                <w:kern w:val="2"/>
                <w:sz w:val="21"/>
                <w:szCs w:val="21"/>
              </w:rPr>
              <w:t>，不直接外排</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4"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363" w:type="pct"/>
            <w:vMerge w:val="continue"/>
            <w:tcBorders>
              <w:right w:val="single" w:color="auto" w:sz="4" w:space="0"/>
            </w:tcBorders>
            <w:vAlign w:val="center"/>
          </w:tcPr>
          <w:p>
            <w:pPr>
              <w:pStyle w:val="101"/>
              <w:spacing w:line="240" w:lineRule="auto"/>
              <w:ind w:firstLine="0" w:firstLineChars="0"/>
              <w:rPr>
                <w:rFonts w:ascii="Times New Roman" w:cs="Times New Roman"/>
                <w:kern w:val="2"/>
                <w:sz w:val="21"/>
                <w:szCs w:val="21"/>
              </w:rPr>
            </w:pPr>
          </w:p>
        </w:tc>
        <w:tc>
          <w:tcPr>
            <w:tcW w:w="724" w:type="pct"/>
            <w:gridSpan w:val="2"/>
            <w:tcBorders>
              <w:left w:val="single" w:color="auto" w:sz="4" w:space="0"/>
            </w:tcBorders>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站场</w:t>
            </w:r>
            <w:r>
              <w:rPr>
                <w:rFonts w:ascii="Times New Roman" w:cs="Times New Roman"/>
                <w:kern w:val="2"/>
                <w:sz w:val="21"/>
                <w:szCs w:val="21"/>
              </w:rPr>
              <w:t>施工</w:t>
            </w:r>
            <w:r>
              <w:rPr>
                <w:rFonts w:hint="eastAsia" w:ascii="Times New Roman" w:cs="Times New Roman"/>
                <w:kern w:val="2"/>
                <w:sz w:val="21"/>
                <w:szCs w:val="21"/>
              </w:rPr>
              <w:t>生产</w:t>
            </w:r>
            <w:r>
              <w:rPr>
                <w:rFonts w:ascii="Times New Roman" w:cs="Times New Roman"/>
                <w:kern w:val="2"/>
                <w:sz w:val="21"/>
                <w:szCs w:val="21"/>
              </w:rPr>
              <w:t>废水</w:t>
            </w:r>
          </w:p>
        </w:tc>
        <w:tc>
          <w:tcPr>
            <w:tcW w:w="2202" w:type="pct"/>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站场</w:t>
            </w:r>
            <w:r>
              <w:rPr>
                <w:rFonts w:ascii="Times New Roman" w:cs="Times New Roman"/>
                <w:kern w:val="2"/>
                <w:sz w:val="21"/>
                <w:szCs w:val="21"/>
              </w:rPr>
              <w:t>施工</w:t>
            </w:r>
            <w:r>
              <w:rPr>
                <w:rFonts w:hint="eastAsia" w:ascii="Times New Roman" w:cs="Times New Roman"/>
                <w:kern w:val="2"/>
                <w:sz w:val="21"/>
                <w:szCs w:val="21"/>
              </w:rPr>
              <w:t>生产</w:t>
            </w:r>
            <w:r>
              <w:rPr>
                <w:rFonts w:ascii="Times New Roman" w:cs="Times New Roman"/>
                <w:kern w:val="2"/>
                <w:sz w:val="21"/>
                <w:szCs w:val="21"/>
              </w:rPr>
              <w:t>废水经沿沉淀池沉淀后洒水降尘使用，不直接外排。</w:t>
            </w:r>
          </w:p>
        </w:tc>
        <w:tc>
          <w:tcPr>
            <w:tcW w:w="1497" w:type="pct"/>
            <w:vAlign w:val="center"/>
          </w:tcPr>
          <w:p>
            <w:pPr>
              <w:pStyle w:val="101"/>
              <w:spacing w:line="240" w:lineRule="auto"/>
              <w:ind w:firstLine="0" w:firstLineChars="0"/>
              <w:rPr>
                <w:rFonts w:ascii="Times New Roman" w:cs="Times New Roman"/>
                <w:kern w:val="2"/>
                <w:sz w:val="21"/>
                <w:szCs w:val="21"/>
              </w:rPr>
            </w:pPr>
            <w:bookmarkStart w:id="677" w:name="OLE_LINK146"/>
            <w:r>
              <w:rPr>
                <w:rFonts w:ascii="Times New Roman" w:cs="Times New Roman"/>
                <w:kern w:val="2"/>
                <w:sz w:val="21"/>
                <w:szCs w:val="21"/>
              </w:rPr>
              <w:t>沉淀处理</w:t>
            </w:r>
            <w:r>
              <w:rPr>
                <w:rFonts w:hint="eastAsia" w:ascii="Times New Roman" w:cs="Times New Roman"/>
                <w:kern w:val="2"/>
                <w:sz w:val="21"/>
                <w:szCs w:val="21"/>
              </w:rPr>
              <w:t>后回用</w:t>
            </w:r>
            <w:r>
              <w:rPr>
                <w:rFonts w:ascii="Times New Roman" w:cs="Times New Roman"/>
                <w:kern w:val="2"/>
                <w:sz w:val="21"/>
                <w:szCs w:val="21"/>
              </w:rPr>
              <w:t>，不直接外排</w:t>
            </w:r>
            <w:bookmarkEnd w:id="677"/>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4"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363" w:type="pct"/>
            <w:vMerge w:val="continue"/>
            <w:tcBorders>
              <w:right w:val="single" w:color="auto" w:sz="4" w:space="0"/>
            </w:tcBorders>
            <w:vAlign w:val="center"/>
          </w:tcPr>
          <w:p>
            <w:pPr>
              <w:pStyle w:val="101"/>
              <w:spacing w:line="240" w:lineRule="auto"/>
              <w:ind w:firstLine="0" w:firstLineChars="0"/>
              <w:rPr>
                <w:rFonts w:ascii="Times New Roman" w:cs="Times New Roman"/>
                <w:kern w:val="2"/>
                <w:sz w:val="21"/>
                <w:szCs w:val="21"/>
              </w:rPr>
            </w:pPr>
          </w:p>
        </w:tc>
        <w:tc>
          <w:tcPr>
            <w:tcW w:w="724" w:type="pct"/>
            <w:gridSpan w:val="2"/>
            <w:tcBorders>
              <w:left w:val="single" w:color="auto"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生活污水</w:t>
            </w:r>
          </w:p>
        </w:tc>
        <w:tc>
          <w:tcPr>
            <w:tcW w:w="2202" w:type="pc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施工期管线施工人员生活污水依托租用附近居民房收集处理，井场</w:t>
            </w:r>
            <w:r>
              <w:rPr>
                <w:rFonts w:hint="eastAsia" w:ascii="Times New Roman" w:cs="Times New Roman"/>
                <w:kern w:val="2"/>
                <w:sz w:val="21"/>
                <w:szCs w:val="21"/>
              </w:rPr>
              <w:t>、钻井</w:t>
            </w:r>
            <w:r>
              <w:rPr>
                <w:rFonts w:ascii="Times New Roman" w:cs="Times New Roman"/>
                <w:kern w:val="2"/>
                <w:sz w:val="21"/>
                <w:szCs w:val="21"/>
              </w:rPr>
              <w:t>施工</w:t>
            </w:r>
            <w:r>
              <w:rPr>
                <w:rFonts w:hint="eastAsia" w:ascii="Times New Roman" w:cs="Times New Roman"/>
                <w:kern w:val="2"/>
                <w:sz w:val="21"/>
                <w:szCs w:val="21"/>
                <w:lang w:eastAsia="zh-CN"/>
              </w:rPr>
              <w:t>如厕</w:t>
            </w:r>
            <w:r>
              <w:rPr>
                <w:rFonts w:ascii="Times New Roman" w:cs="Times New Roman"/>
                <w:kern w:val="2"/>
                <w:sz w:val="21"/>
                <w:szCs w:val="21"/>
              </w:rPr>
              <w:t>生活污水</w:t>
            </w:r>
            <w:r>
              <w:rPr>
                <w:rFonts w:hint="eastAsia" w:ascii="Times New Roman" w:cs="Times New Roman"/>
                <w:kern w:val="2"/>
                <w:sz w:val="21"/>
                <w:szCs w:val="21"/>
              </w:rPr>
              <w:t>经生态</w:t>
            </w:r>
            <w:r>
              <w:rPr>
                <w:rFonts w:ascii="Times New Roman" w:cs="Times New Roman"/>
                <w:kern w:val="2"/>
                <w:sz w:val="21"/>
                <w:szCs w:val="21"/>
              </w:rPr>
              <w:t>环保厕所收集后，用作周边农肥，不外排</w:t>
            </w:r>
            <w:r>
              <w:rPr>
                <w:rFonts w:hint="eastAsia" w:ascii="Times New Roman" w:cs="Times New Roman"/>
                <w:kern w:val="2"/>
                <w:sz w:val="21"/>
                <w:szCs w:val="21"/>
              </w:rPr>
              <w:t>，员工洗澡、食堂废水经单独收集后拉运至黄金镇场镇污水处理厂处理</w:t>
            </w:r>
            <w:r>
              <w:rPr>
                <w:rFonts w:ascii="Times New Roman" w:cs="Times New Roman"/>
                <w:kern w:val="2"/>
                <w:sz w:val="21"/>
                <w:szCs w:val="21"/>
              </w:rPr>
              <w:t>。</w:t>
            </w:r>
          </w:p>
        </w:tc>
        <w:tc>
          <w:tcPr>
            <w:tcW w:w="1497" w:type="pc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保护地表水环境</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4"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363" w:type="pct"/>
            <w:vMerge w:val="continue"/>
            <w:tcBorders>
              <w:right w:val="single" w:color="auto" w:sz="4" w:space="0"/>
            </w:tcBorders>
            <w:vAlign w:val="center"/>
          </w:tcPr>
          <w:p>
            <w:pPr>
              <w:pStyle w:val="101"/>
              <w:spacing w:line="240" w:lineRule="auto"/>
              <w:ind w:firstLine="0" w:firstLineChars="0"/>
              <w:rPr>
                <w:rFonts w:ascii="Times New Roman" w:cs="Times New Roman"/>
                <w:kern w:val="2"/>
                <w:sz w:val="21"/>
                <w:szCs w:val="21"/>
              </w:rPr>
            </w:pPr>
          </w:p>
        </w:tc>
        <w:tc>
          <w:tcPr>
            <w:tcW w:w="724" w:type="pct"/>
            <w:gridSpan w:val="2"/>
            <w:tcBorders>
              <w:left w:val="single" w:color="auto"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初期雨水</w:t>
            </w:r>
          </w:p>
        </w:tc>
        <w:tc>
          <w:tcPr>
            <w:tcW w:w="2202" w:type="pc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井场内四周设排水边沟，井场雨水随四周排水边沟汇至排放口，排放口设环保检测池，初期雨水收集进入</w:t>
            </w:r>
            <w:r>
              <w:rPr>
                <w:rFonts w:hint="eastAsia" w:ascii="Times New Roman" w:cs="Times New Roman"/>
                <w:kern w:val="2"/>
                <w:sz w:val="21"/>
                <w:szCs w:val="21"/>
              </w:rPr>
              <w:t>清洁化操作平台，与</w:t>
            </w:r>
            <w:r>
              <w:rPr>
                <w:rFonts w:ascii="Times New Roman" w:cs="Times New Roman"/>
                <w:kern w:val="2"/>
                <w:sz w:val="21"/>
                <w:szCs w:val="21"/>
              </w:rPr>
              <w:t>钻井废水</w:t>
            </w:r>
            <w:r>
              <w:rPr>
                <w:rFonts w:hint="eastAsia" w:ascii="Times New Roman" w:cs="Times New Roman"/>
                <w:kern w:val="2"/>
                <w:sz w:val="21"/>
                <w:szCs w:val="21"/>
              </w:rPr>
              <w:t>一同经清洁化操作平台</w:t>
            </w:r>
            <w:r>
              <w:rPr>
                <w:rFonts w:ascii="Times New Roman" w:cs="Times New Roman"/>
                <w:kern w:val="2"/>
                <w:sz w:val="21"/>
                <w:szCs w:val="21"/>
              </w:rPr>
              <w:t>预处理后达到毛开1井回注标准后，拉运至毛开1井回注。</w:t>
            </w:r>
          </w:p>
        </w:tc>
        <w:tc>
          <w:tcPr>
            <w:tcW w:w="1497" w:type="pc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保护地表水环境</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4"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363" w:type="pct"/>
            <w:vMerge w:val="continue"/>
            <w:tcBorders>
              <w:right w:val="single" w:color="auto" w:sz="4" w:space="0"/>
            </w:tcBorders>
            <w:vAlign w:val="center"/>
          </w:tcPr>
          <w:p>
            <w:pPr>
              <w:pStyle w:val="101"/>
              <w:spacing w:line="240" w:lineRule="auto"/>
              <w:ind w:firstLine="0" w:firstLineChars="0"/>
              <w:rPr>
                <w:rFonts w:ascii="Times New Roman" w:cs="Times New Roman"/>
                <w:kern w:val="2"/>
                <w:sz w:val="21"/>
                <w:szCs w:val="21"/>
              </w:rPr>
            </w:pPr>
          </w:p>
        </w:tc>
        <w:tc>
          <w:tcPr>
            <w:tcW w:w="724" w:type="pct"/>
            <w:gridSpan w:val="2"/>
            <w:tcBorders>
              <w:left w:val="single" w:color="auto" w:sz="4" w:space="0"/>
            </w:tcBorders>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钻井废水</w:t>
            </w:r>
          </w:p>
        </w:tc>
        <w:tc>
          <w:tcPr>
            <w:tcW w:w="2202" w:type="pc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钻井废水</w:t>
            </w:r>
            <w:r>
              <w:rPr>
                <w:rFonts w:hint="eastAsia" w:ascii="Times New Roman" w:cs="Times New Roman"/>
                <w:kern w:val="2"/>
                <w:sz w:val="21"/>
                <w:szCs w:val="21"/>
              </w:rPr>
              <w:t>经清洁化操作平台</w:t>
            </w:r>
            <w:r>
              <w:rPr>
                <w:rFonts w:ascii="Times New Roman" w:cs="Times New Roman"/>
                <w:kern w:val="2"/>
                <w:sz w:val="21"/>
                <w:szCs w:val="21"/>
              </w:rPr>
              <w:t>预处理后达到毛开1井回注标准后，拉运至毛开1井回注。</w:t>
            </w:r>
          </w:p>
        </w:tc>
        <w:tc>
          <w:tcPr>
            <w:tcW w:w="1497" w:type="pc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保护地表水环境</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4"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363" w:type="pct"/>
            <w:vMerge w:val="continue"/>
            <w:tcBorders>
              <w:right w:val="single" w:color="auto" w:sz="4" w:space="0"/>
            </w:tcBorders>
            <w:vAlign w:val="center"/>
          </w:tcPr>
          <w:p>
            <w:pPr>
              <w:pStyle w:val="101"/>
              <w:spacing w:line="240" w:lineRule="auto"/>
              <w:ind w:firstLine="0" w:firstLineChars="0"/>
              <w:rPr>
                <w:rFonts w:ascii="Times New Roman" w:cs="Times New Roman"/>
                <w:kern w:val="2"/>
                <w:sz w:val="21"/>
                <w:szCs w:val="21"/>
              </w:rPr>
            </w:pPr>
          </w:p>
        </w:tc>
        <w:tc>
          <w:tcPr>
            <w:tcW w:w="724" w:type="pct"/>
            <w:gridSpan w:val="2"/>
            <w:tcBorders>
              <w:left w:val="single" w:color="auto" w:sz="4" w:space="0"/>
            </w:tcBorders>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压裂、洗井废水</w:t>
            </w:r>
          </w:p>
        </w:tc>
        <w:tc>
          <w:tcPr>
            <w:tcW w:w="2202" w:type="pc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压裂废水和洗井废水</w:t>
            </w:r>
            <w:r>
              <w:rPr>
                <w:rFonts w:hint="eastAsia" w:ascii="Times New Roman" w:cs="Times New Roman"/>
                <w:kern w:val="2"/>
                <w:sz w:val="21"/>
                <w:szCs w:val="21"/>
              </w:rPr>
              <w:t>部分</w:t>
            </w:r>
            <w:r>
              <w:rPr>
                <w:rFonts w:ascii="Times New Roman" w:cs="Times New Roman"/>
                <w:kern w:val="2"/>
                <w:sz w:val="21"/>
                <w:szCs w:val="21"/>
              </w:rPr>
              <w:t>暂存</w:t>
            </w:r>
            <w:r>
              <w:rPr>
                <w:rFonts w:hint="eastAsia" w:ascii="Times New Roman" w:cs="Times New Roman"/>
                <w:kern w:val="2"/>
                <w:sz w:val="21"/>
                <w:szCs w:val="21"/>
              </w:rPr>
              <w:t>于现有污水池</w:t>
            </w:r>
            <w:r>
              <w:rPr>
                <w:rFonts w:ascii="Times New Roman" w:cs="Times New Roman"/>
                <w:kern w:val="2"/>
                <w:sz w:val="21"/>
                <w:szCs w:val="21"/>
              </w:rPr>
              <w:t>，并及时装车拉运至大湾403污水站处理达标后管输至毛开1井回注站回注</w:t>
            </w:r>
          </w:p>
        </w:tc>
        <w:tc>
          <w:tcPr>
            <w:tcW w:w="1497" w:type="pc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保护地表水环境</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4"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087" w:type="pct"/>
            <w:gridSpan w:val="3"/>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噪声</w:t>
            </w:r>
          </w:p>
        </w:tc>
        <w:tc>
          <w:tcPr>
            <w:tcW w:w="2202" w:type="pct"/>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管道、站场施工</w:t>
            </w:r>
            <w:r>
              <w:rPr>
                <w:rFonts w:ascii="Times New Roman" w:cs="Times New Roman"/>
                <w:kern w:val="2"/>
                <w:sz w:val="21"/>
                <w:szCs w:val="21"/>
              </w:rPr>
              <w:t>采取合理安排作业时间，合理布置施工机械等措施</w:t>
            </w:r>
            <w:r>
              <w:rPr>
                <w:rFonts w:hint="eastAsia" w:ascii="Times New Roman" w:cs="Times New Roman"/>
                <w:kern w:val="2"/>
                <w:sz w:val="21"/>
                <w:szCs w:val="21"/>
              </w:rPr>
              <w:t>，</w:t>
            </w:r>
            <w:r>
              <w:rPr>
                <w:rFonts w:ascii="Times New Roman" w:cs="Times New Roman"/>
                <w:kern w:val="2"/>
                <w:sz w:val="21"/>
                <w:szCs w:val="21"/>
              </w:rPr>
              <w:t>施工沿线居民集中点设挡声板</w:t>
            </w:r>
            <w:r>
              <w:rPr>
                <w:rFonts w:hint="eastAsia" w:ascii="Times New Roman" w:cs="Times New Roman"/>
                <w:kern w:val="2"/>
                <w:sz w:val="21"/>
                <w:szCs w:val="21"/>
              </w:rPr>
              <w:t>；钻井施工：</w:t>
            </w:r>
            <w:r>
              <w:rPr>
                <w:rFonts w:ascii="Times New Roman" w:cs="Times New Roman"/>
                <w:kern w:val="2"/>
                <w:sz w:val="21"/>
                <w:szCs w:val="21"/>
              </w:rPr>
              <w:t>合理布置高噪声设备；选用低噪声设备如网电钻井；泥浆泵安装弹性垫料；对周边500m范围内无关人员进行临时疏散。</w:t>
            </w:r>
          </w:p>
        </w:tc>
        <w:tc>
          <w:tcPr>
            <w:tcW w:w="1497" w:type="pc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《建筑施工场界环境噪声排放标准》（GB12523-2011）中的噪声排放限值。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4"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087" w:type="pct"/>
            <w:gridSpan w:val="3"/>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固体废物</w:t>
            </w:r>
          </w:p>
        </w:tc>
        <w:tc>
          <w:tcPr>
            <w:tcW w:w="2202" w:type="pc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生活垃圾、施工废料</w:t>
            </w:r>
            <w:r>
              <w:rPr>
                <w:rFonts w:hint="eastAsia" w:ascii="Times New Roman" w:cs="Times New Roman"/>
                <w:kern w:val="2"/>
                <w:sz w:val="21"/>
                <w:szCs w:val="21"/>
              </w:rPr>
              <w:t>经</w:t>
            </w:r>
            <w:r>
              <w:rPr>
                <w:rFonts w:ascii="Times New Roman" w:cs="Times New Roman"/>
                <w:kern w:val="2"/>
                <w:sz w:val="21"/>
                <w:szCs w:val="21"/>
              </w:rPr>
              <w:t>当地环卫部门统一清运处理</w:t>
            </w:r>
            <w:r>
              <w:rPr>
                <w:rFonts w:hint="eastAsia" w:ascii="Times New Roman" w:cs="Times New Roman"/>
                <w:kern w:val="2"/>
                <w:sz w:val="21"/>
                <w:szCs w:val="21"/>
              </w:rPr>
              <w:t>；</w:t>
            </w:r>
            <w:r>
              <w:rPr>
                <w:rFonts w:ascii="Times New Roman" w:cs="Times New Roman"/>
                <w:kern w:val="2"/>
                <w:sz w:val="21"/>
                <w:szCs w:val="21"/>
              </w:rPr>
              <w:t>本项目采取清洁化操作平台，</w:t>
            </w:r>
            <w:r>
              <w:rPr>
                <w:rFonts w:ascii="Times New Roman" w:cs="Times New Roman"/>
                <w:bCs/>
                <w:kern w:val="2"/>
                <w:sz w:val="21"/>
                <w:szCs w:val="21"/>
              </w:rPr>
              <w:t>并采取泥浆不落地措施</w:t>
            </w:r>
            <w:r>
              <w:rPr>
                <w:rFonts w:ascii="Times New Roman" w:cs="Times New Roman"/>
                <w:kern w:val="2"/>
                <w:sz w:val="21"/>
                <w:szCs w:val="21"/>
              </w:rPr>
              <w:t>，废</w:t>
            </w:r>
            <w:r>
              <w:rPr>
                <w:rFonts w:hint="eastAsia" w:ascii="Times New Roman" w:cs="Times New Roman"/>
                <w:kern w:val="2"/>
                <w:sz w:val="21"/>
                <w:szCs w:val="21"/>
              </w:rPr>
              <w:t>水基</w:t>
            </w:r>
            <w:r>
              <w:rPr>
                <w:rFonts w:ascii="Times New Roman" w:cs="Times New Roman"/>
                <w:kern w:val="2"/>
                <w:sz w:val="21"/>
                <w:szCs w:val="21"/>
              </w:rPr>
              <w:t>泥浆和</w:t>
            </w:r>
            <w:r>
              <w:rPr>
                <w:rFonts w:hint="eastAsia" w:ascii="Times New Roman" w:cs="Times New Roman"/>
                <w:kern w:val="2"/>
                <w:sz w:val="21"/>
                <w:szCs w:val="21"/>
              </w:rPr>
              <w:t>水基</w:t>
            </w:r>
            <w:r>
              <w:rPr>
                <w:rFonts w:ascii="Times New Roman" w:cs="Times New Roman"/>
                <w:kern w:val="2"/>
                <w:sz w:val="21"/>
                <w:szCs w:val="21"/>
              </w:rPr>
              <w:t>岩屑按照《达州市生态环境局办公室关于</w:t>
            </w:r>
            <w:r>
              <w:rPr>
                <w:rFonts w:hint="eastAsia" w:ascii="Times New Roman" w:cs="Times New Roman"/>
                <w:kern w:val="2"/>
                <w:sz w:val="21"/>
                <w:szCs w:val="21"/>
              </w:rPr>
              <w:t>进一步</w:t>
            </w:r>
            <w:r>
              <w:rPr>
                <w:rFonts w:ascii="Times New Roman" w:cs="Times New Roman"/>
                <w:kern w:val="2"/>
                <w:sz w:val="21"/>
                <w:szCs w:val="21"/>
              </w:rPr>
              <w:t>加强固体废物污染防治工作的通知》（达市环办发〔20</w:t>
            </w:r>
            <w:r>
              <w:rPr>
                <w:rFonts w:hint="eastAsia" w:ascii="Times New Roman" w:cs="Times New Roman"/>
                <w:kern w:val="2"/>
                <w:sz w:val="21"/>
                <w:szCs w:val="21"/>
              </w:rPr>
              <w:t>21</w:t>
            </w:r>
            <w:r>
              <w:rPr>
                <w:rFonts w:ascii="Times New Roman" w:cs="Times New Roman"/>
                <w:kern w:val="2"/>
                <w:sz w:val="21"/>
                <w:szCs w:val="21"/>
              </w:rPr>
              <w:t>〕</w:t>
            </w:r>
            <w:r>
              <w:rPr>
                <w:rFonts w:hint="eastAsia" w:ascii="Times New Roman" w:cs="Times New Roman"/>
                <w:kern w:val="2"/>
                <w:sz w:val="21"/>
                <w:szCs w:val="21"/>
              </w:rPr>
              <w:t>24</w:t>
            </w:r>
            <w:r>
              <w:rPr>
                <w:rFonts w:ascii="Times New Roman" w:cs="Times New Roman"/>
                <w:kern w:val="2"/>
                <w:sz w:val="21"/>
                <w:szCs w:val="21"/>
              </w:rPr>
              <w:t>号）要求，就近交给依法取得生态环境部门关于利用和处置相关工业固体废物项目环评批复、具有处理处置相应固体废物能力并配套建设有废气、废水、固废等污染物治理设施的单位</w:t>
            </w:r>
            <w:r>
              <w:rPr>
                <w:rFonts w:hint="eastAsia" w:ascii="Times New Roman" w:cs="Times New Roman"/>
                <w:kern w:val="2"/>
                <w:sz w:val="21"/>
                <w:szCs w:val="21"/>
              </w:rPr>
              <w:t>进行资源化利用；废油基泥浆、油基岩屑存于危废暂存间，定期交由资质单位处置；废油暂存于危废暂存间，面积约10m</w:t>
            </w:r>
            <w:r>
              <w:rPr>
                <w:rFonts w:hint="eastAsia" w:ascii="Times New Roman" w:cs="Times New Roman"/>
                <w:kern w:val="2"/>
                <w:sz w:val="21"/>
                <w:szCs w:val="21"/>
                <w:vertAlign w:val="superscript"/>
              </w:rPr>
              <w:t>2</w:t>
            </w:r>
            <w:r>
              <w:rPr>
                <w:rFonts w:hint="eastAsia" w:ascii="Times New Roman" w:cs="Times New Roman"/>
                <w:kern w:val="2"/>
                <w:sz w:val="21"/>
                <w:szCs w:val="21"/>
              </w:rPr>
              <w:t>，暂存间地面采取</w:t>
            </w:r>
            <w:r>
              <w:rPr>
                <w:rFonts w:hint="eastAsia" w:ascii="Times New Roman" w:hAnsi="宋体"/>
                <w:color w:val="0000FF"/>
                <w:sz w:val="21"/>
              </w:rPr>
              <w:t>六防措施（防风、防雨、防晒、防渗、防漏、防腐）</w:t>
            </w:r>
            <w:r>
              <w:rPr>
                <w:rFonts w:hint="eastAsia" w:ascii="Times New Roman" w:cs="Times New Roman"/>
                <w:kern w:val="2"/>
                <w:sz w:val="21"/>
                <w:szCs w:val="21"/>
              </w:rPr>
              <w:t>，并</w:t>
            </w:r>
            <w:r>
              <w:rPr>
                <w:rFonts w:ascii="Times New Roman" w:cs="Times New Roman"/>
                <w:kern w:val="2"/>
                <w:sz w:val="21"/>
                <w:szCs w:val="21"/>
              </w:rPr>
              <w:t>及时清运至企业</w:t>
            </w:r>
            <w:r>
              <w:rPr>
                <w:rFonts w:hint="eastAsia" w:ascii="Times New Roman" w:cs="Times New Roman"/>
                <w:kern w:val="2"/>
                <w:sz w:val="21"/>
                <w:szCs w:val="21"/>
              </w:rPr>
              <w:t>净化厂</w:t>
            </w:r>
            <w:r>
              <w:rPr>
                <w:rFonts w:ascii="Times New Roman" w:cs="Times New Roman"/>
                <w:kern w:val="2"/>
                <w:sz w:val="21"/>
                <w:szCs w:val="21"/>
              </w:rPr>
              <w:t>危险废物贮存仓库（运距约20km），定期委托有资质单位进行处理。</w:t>
            </w:r>
          </w:p>
        </w:tc>
        <w:tc>
          <w:tcPr>
            <w:tcW w:w="1497" w:type="pc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施工现场无遗留固废，处理率100%，无二次污染</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4"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087" w:type="pct"/>
            <w:gridSpan w:val="3"/>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生态</w:t>
            </w:r>
          </w:p>
        </w:tc>
        <w:tc>
          <w:tcPr>
            <w:tcW w:w="2202" w:type="pct"/>
            <w:vAlign w:val="center"/>
          </w:tcPr>
          <w:p>
            <w:pPr>
              <w:pStyle w:val="101"/>
              <w:spacing w:line="240" w:lineRule="auto"/>
              <w:ind w:firstLine="420"/>
              <w:rPr>
                <w:rFonts w:ascii="Times New Roman" w:cs="Times New Roman"/>
                <w:kern w:val="2"/>
                <w:sz w:val="21"/>
                <w:szCs w:val="21"/>
              </w:rPr>
            </w:pPr>
            <w:r>
              <w:rPr>
                <w:rFonts w:hint="eastAsia" w:ascii="Times New Roman" w:cs="Times New Roman"/>
                <w:kern w:val="2"/>
                <w:sz w:val="21"/>
                <w:szCs w:val="21"/>
              </w:rPr>
              <w:t>站场施工：井场、进场道路及临时堆土区分区采取相应的</w:t>
            </w:r>
            <w:r>
              <w:rPr>
                <w:rFonts w:ascii="Times New Roman" w:cs="Times New Roman"/>
                <w:kern w:val="2"/>
                <w:sz w:val="21"/>
                <w:szCs w:val="21"/>
              </w:rPr>
              <w:t>表土剥离、截排水沟、排污沟、井场边沟、植草等措施，覆土、土地整治及临时措施。</w:t>
            </w:r>
          </w:p>
          <w:p>
            <w:pPr>
              <w:pStyle w:val="101"/>
              <w:spacing w:line="240" w:lineRule="auto"/>
              <w:ind w:firstLine="420"/>
              <w:rPr>
                <w:rFonts w:ascii="Times New Roman" w:cs="Times New Roman"/>
                <w:kern w:val="2"/>
                <w:sz w:val="21"/>
                <w:szCs w:val="21"/>
              </w:rPr>
            </w:pPr>
            <w:r>
              <w:rPr>
                <w:rFonts w:ascii="Times New Roman" w:cs="Times New Roman"/>
                <w:kern w:val="2"/>
                <w:sz w:val="21"/>
                <w:szCs w:val="21"/>
              </w:rPr>
              <w:t>管线施工：（1）尽量避开雨季施工；分段施工，做到随挖、随运、随铺、随压，尽量不留疏松地面，减少风蚀导致的水土流失。</w:t>
            </w:r>
          </w:p>
          <w:p>
            <w:pPr>
              <w:pStyle w:val="101"/>
              <w:spacing w:line="240" w:lineRule="auto"/>
              <w:ind w:firstLine="420"/>
              <w:rPr>
                <w:rFonts w:ascii="Times New Roman" w:cs="Times New Roman"/>
                <w:kern w:val="2"/>
                <w:sz w:val="21"/>
                <w:szCs w:val="21"/>
              </w:rPr>
            </w:pPr>
            <w:r>
              <w:rPr>
                <w:rFonts w:ascii="Times New Roman" w:cs="Times New Roman"/>
                <w:kern w:val="2"/>
                <w:sz w:val="21"/>
                <w:szCs w:val="21"/>
              </w:rPr>
              <w:t>（2）划定施工作业带范围和路线，不随意扩大。并严格控制机械和车辆的作业范围，尽可能减少对土壤和农作物的破坏以及由此引发的水土流失。</w:t>
            </w:r>
          </w:p>
          <w:p>
            <w:pPr>
              <w:pStyle w:val="101"/>
              <w:spacing w:line="240" w:lineRule="auto"/>
              <w:ind w:firstLine="420"/>
              <w:rPr>
                <w:rFonts w:ascii="Times New Roman" w:cs="Times New Roman"/>
                <w:kern w:val="2"/>
                <w:sz w:val="21"/>
                <w:szCs w:val="21"/>
              </w:rPr>
            </w:pPr>
            <w:r>
              <w:rPr>
                <w:rFonts w:ascii="Times New Roman" w:cs="Times New Roman"/>
                <w:kern w:val="2"/>
                <w:sz w:val="21"/>
                <w:szCs w:val="21"/>
              </w:rPr>
              <w:t>（3）提高工程施工效率，缩短施工工期。</w:t>
            </w:r>
          </w:p>
          <w:p>
            <w:pPr>
              <w:pStyle w:val="101"/>
              <w:spacing w:line="240" w:lineRule="auto"/>
              <w:ind w:firstLine="420"/>
              <w:rPr>
                <w:rFonts w:ascii="Times New Roman" w:cs="Times New Roman"/>
                <w:kern w:val="2"/>
                <w:sz w:val="21"/>
                <w:szCs w:val="21"/>
              </w:rPr>
            </w:pPr>
            <w:r>
              <w:rPr>
                <w:rFonts w:ascii="Times New Roman" w:cs="Times New Roman"/>
                <w:kern w:val="2"/>
                <w:sz w:val="21"/>
                <w:szCs w:val="21"/>
              </w:rPr>
              <w:t>（4）施工时将禁止材料的随意堆放，划定统一的堆料场，防止对植物破坏范围扩大。</w:t>
            </w:r>
          </w:p>
          <w:p>
            <w:pPr>
              <w:pStyle w:val="101"/>
              <w:spacing w:line="240" w:lineRule="auto"/>
              <w:ind w:firstLine="420"/>
              <w:rPr>
                <w:rFonts w:ascii="Times New Roman" w:cs="Times New Roman"/>
                <w:kern w:val="2"/>
                <w:sz w:val="21"/>
                <w:szCs w:val="21"/>
              </w:rPr>
            </w:pPr>
            <w:r>
              <w:rPr>
                <w:rFonts w:ascii="Times New Roman" w:cs="Times New Roman"/>
                <w:kern w:val="2"/>
                <w:sz w:val="21"/>
                <w:szCs w:val="21"/>
              </w:rPr>
              <w:t>（</w:t>
            </w:r>
            <w:r>
              <w:rPr>
                <w:rFonts w:hint="eastAsia" w:ascii="Times New Roman" w:cs="Times New Roman"/>
                <w:kern w:val="2"/>
                <w:sz w:val="21"/>
                <w:szCs w:val="21"/>
              </w:rPr>
              <w:t>5</w:t>
            </w:r>
            <w:r>
              <w:rPr>
                <w:rFonts w:ascii="Times New Roman" w:cs="Times New Roman"/>
                <w:kern w:val="2"/>
                <w:sz w:val="21"/>
                <w:szCs w:val="21"/>
              </w:rPr>
              <w:t>）施工破坏的植被地带，施工结束后，及时恢复植被，减少水土流失。对于穿越的</w:t>
            </w:r>
            <w:r>
              <w:rPr>
                <w:rFonts w:hint="eastAsia" w:ascii="Times New Roman" w:cs="Times New Roman"/>
                <w:kern w:val="2"/>
                <w:sz w:val="21"/>
                <w:szCs w:val="21"/>
              </w:rPr>
              <w:t>一般</w:t>
            </w:r>
            <w:r>
              <w:rPr>
                <w:rFonts w:ascii="Times New Roman" w:cs="Times New Roman"/>
                <w:kern w:val="2"/>
                <w:sz w:val="21"/>
                <w:szCs w:val="21"/>
              </w:rPr>
              <w:t>林地，管线敷设后，土方回填不仅遵循设计规范要求，还将遵循下石上土、下粗上细、肥沃的在上贫瘠的在下的原则。回填后管线两侧5m范围内栽种根系不发达、生长性强的植被。对于耕地，施工结束后，遵循上述相同的原则，进行复耕。</w:t>
            </w:r>
          </w:p>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w:t>
            </w:r>
            <w:r>
              <w:rPr>
                <w:rFonts w:hint="eastAsia" w:ascii="Times New Roman" w:cs="Times New Roman"/>
                <w:kern w:val="2"/>
                <w:sz w:val="21"/>
                <w:szCs w:val="21"/>
              </w:rPr>
              <w:t>6</w:t>
            </w:r>
            <w:r>
              <w:rPr>
                <w:rFonts w:ascii="Times New Roman" w:cs="Times New Roman"/>
                <w:kern w:val="2"/>
                <w:sz w:val="21"/>
                <w:szCs w:val="21"/>
              </w:rPr>
              <w:t>）水土保持和水工保护措施相结合，工程措施和生物措施相互结合，分区进行布局。</w:t>
            </w:r>
          </w:p>
        </w:tc>
        <w:tc>
          <w:tcPr>
            <w:tcW w:w="1497" w:type="pc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满足环保要求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4"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087" w:type="pct"/>
            <w:gridSpan w:val="3"/>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环保培训、规章建立及实施</w:t>
            </w:r>
          </w:p>
        </w:tc>
        <w:tc>
          <w:tcPr>
            <w:tcW w:w="2202" w:type="pc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环境敏感区、村庄施工段设置环保警示牌，对施工队伍普及环保知识。</w:t>
            </w:r>
          </w:p>
        </w:tc>
        <w:tc>
          <w:tcPr>
            <w:tcW w:w="1497" w:type="pc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环保培训、规章建立及实施</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5" w:hRule="atLeast"/>
          <w:jc w:val="center"/>
        </w:trPr>
        <w:tc>
          <w:tcPr>
            <w:tcW w:w="214" w:type="pct"/>
            <w:vMerge w:val="restar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运行期</w:t>
            </w:r>
          </w:p>
        </w:tc>
        <w:tc>
          <w:tcPr>
            <w:tcW w:w="363" w:type="pct"/>
            <w:vMerge w:val="restart"/>
            <w:tcBorders>
              <w:right w:val="single" w:color="auto"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废气治理</w:t>
            </w:r>
          </w:p>
        </w:tc>
        <w:tc>
          <w:tcPr>
            <w:tcW w:w="724" w:type="pct"/>
            <w:gridSpan w:val="2"/>
            <w:tcBorders>
              <w:left w:val="single" w:color="auto" w:sz="4" w:space="0"/>
              <w:bottom w:val="single" w:color="auto"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水套炉燃烧废气</w:t>
            </w:r>
          </w:p>
        </w:tc>
        <w:tc>
          <w:tcPr>
            <w:tcW w:w="2202" w:type="pct"/>
            <w:tcBorders>
              <w:bottom w:val="single" w:color="auto"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设备自带</w:t>
            </w:r>
            <w:r>
              <w:rPr>
                <w:rFonts w:hint="eastAsia" w:ascii="Times New Roman" w:cs="Times New Roman"/>
                <w:kern w:val="2"/>
                <w:sz w:val="21"/>
                <w:szCs w:val="21"/>
              </w:rPr>
              <w:t>的8m高</w:t>
            </w:r>
            <w:r>
              <w:rPr>
                <w:rFonts w:ascii="Times New Roman" w:cs="Times New Roman"/>
                <w:kern w:val="2"/>
                <w:sz w:val="21"/>
                <w:szCs w:val="21"/>
              </w:rPr>
              <w:t>排气筒排放</w:t>
            </w:r>
          </w:p>
        </w:tc>
        <w:tc>
          <w:tcPr>
            <w:tcW w:w="1497" w:type="pct"/>
            <w:tcBorders>
              <w:bottom w:val="single" w:color="auto"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满足环保要求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7" w:hRule="atLeast"/>
          <w:jc w:val="center"/>
        </w:trPr>
        <w:tc>
          <w:tcPr>
            <w:tcW w:w="214" w:type="pct"/>
            <w:vMerge w:val="continue"/>
            <w:vAlign w:val="center"/>
          </w:tcPr>
          <w:p>
            <w:pPr>
              <w:pStyle w:val="101"/>
              <w:spacing w:line="240" w:lineRule="auto"/>
              <w:ind w:firstLine="0" w:firstLineChars="0"/>
              <w:rPr>
                <w:rFonts w:ascii="Times New Roman" w:cs="Times New Roman"/>
                <w:kern w:val="2"/>
                <w:sz w:val="21"/>
                <w:szCs w:val="21"/>
              </w:rPr>
            </w:pPr>
          </w:p>
        </w:tc>
        <w:tc>
          <w:tcPr>
            <w:tcW w:w="363" w:type="pct"/>
            <w:vMerge w:val="continue"/>
            <w:tcBorders>
              <w:bottom w:val="single" w:color="auto" w:sz="4" w:space="0"/>
              <w:right w:val="single" w:color="auto" w:sz="4" w:space="0"/>
            </w:tcBorders>
            <w:vAlign w:val="center"/>
          </w:tcPr>
          <w:p>
            <w:pPr>
              <w:pStyle w:val="101"/>
              <w:spacing w:line="240" w:lineRule="auto"/>
              <w:ind w:firstLine="0" w:firstLineChars="0"/>
              <w:rPr>
                <w:rFonts w:ascii="Times New Roman" w:cs="Times New Roman"/>
                <w:kern w:val="2"/>
                <w:sz w:val="21"/>
                <w:szCs w:val="21"/>
              </w:rPr>
            </w:pPr>
          </w:p>
        </w:tc>
        <w:tc>
          <w:tcPr>
            <w:tcW w:w="724" w:type="pct"/>
            <w:gridSpan w:val="2"/>
            <w:tcBorders>
              <w:top w:val="single" w:color="auto" w:sz="4" w:space="0"/>
              <w:left w:val="single" w:color="auto"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非正常工况放空废气</w:t>
            </w:r>
          </w:p>
        </w:tc>
        <w:tc>
          <w:tcPr>
            <w:tcW w:w="2202" w:type="pct"/>
            <w:tcBorders>
              <w:top w:val="single" w:color="auto" w:sz="4" w:space="0"/>
            </w:tcBorders>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事故或检修放空</w:t>
            </w:r>
            <w:r>
              <w:rPr>
                <w:rFonts w:ascii="Times New Roman" w:cs="Times New Roman"/>
                <w:kern w:val="2"/>
                <w:sz w:val="21"/>
                <w:szCs w:val="21"/>
              </w:rPr>
              <w:t>排放的天然气经新建放空火炬</w:t>
            </w:r>
            <w:r>
              <w:rPr>
                <w:rFonts w:hint="eastAsia" w:ascii="Times New Roman" w:cs="Times New Roman"/>
                <w:kern w:val="2"/>
                <w:sz w:val="21"/>
                <w:szCs w:val="21"/>
              </w:rPr>
              <w:t>（15m高）</w:t>
            </w:r>
            <w:r>
              <w:rPr>
                <w:rFonts w:ascii="Times New Roman" w:cs="Times New Roman"/>
                <w:kern w:val="2"/>
                <w:sz w:val="21"/>
                <w:szCs w:val="21"/>
              </w:rPr>
              <w:t>燃烧后排放。</w:t>
            </w:r>
          </w:p>
        </w:tc>
        <w:tc>
          <w:tcPr>
            <w:tcW w:w="1497" w:type="pct"/>
            <w:tcBorders>
              <w:top w:val="single" w:color="auto"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满足环保要求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7" w:hRule="atLeast"/>
          <w:jc w:val="center"/>
        </w:trPr>
        <w:tc>
          <w:tcPr>
            <w:tcW w:w="214"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363" w:type="pct"/>
            <w:vMerge w:val="restart"/>
            <w:tcBorders>
              <w:top w:val="single" w:color="auto" w:sz="4" w:space="0"/>
              <w:right w:val="single" w:color="auto" w:sz="4" w:space="0"/>
            </w:tcBorders>
            <w:vAlign w:val="center"/>
          </w:tcPr>
          <w:p>
            <w:pPr>
              <w:pStyle w:val="101"/>
              <w:ind w:firstLine="0" w:firstLineChars="0"/>
              <w:rPr>
                <w:rFonts w:ascii="Times New Roman" w:cs="Times New Roman"/>
                <w:kern w:val="2"/>
                <w:sz w:val="21"/>
                <w:szCs w:val="21"/>
              </w:rPr>
            </w:pPr>
            <w:r>
              <w:rPr>
                <w:rFonts w:hint="eastAsia" w:ascii="Times New Roman" w:cs="Times New Roman"/>
                <w:kern w:val="2"/>
                <w:sz w:val="21"/>
                <w:szCs w:val="21"/>
              </w:rPr>
              <w:t>废水治理</w:t>
            </w:r>
          </w:p>
        </w:tc>
        <w:tc>
          <w:tcPr>
            <w:tcW w:w="724" w:type="pct"/>
            <w:gridSpan w:val="2"/>
            <w:tcBorders>
              <w:top w:val="single" w:color="auto" w:sz="4" w:space="0"/>
              <w:left w:val="single" w:color="auto" w:sz="4" w:space="0"/>
            </w:tcBorders>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气田水</w:t>
            </w:r>
          </w:p>
        </w:tc>
        <w:tc>
          <w:tcPr>
            <w:tcW w:w="2202" w:type="pct"/>
            <w:tcBorders>
              <w:top w:val="single" w:color="auto"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本项目运营期产生的气田水</w:t>
            </w:r>
            <w:r>
              <w:rPr>
                <w:rFonts w:hint="eastAsia" w:ascii="Times New Roman" w:cs="Times New Roman"/>
                <w:kern w:val="2"/>
                <w:sz w:val="21"/>
                <w:szCs w:val="21"/>
              </w:rPr>
              <w:t>暂存于污水缓冲罐</w:t>
            </w:r>
            <w:r>
              <w:rPr>
                <w:rFonts w:ascii="Times New Roman" w:cs="Times New Roman"/>
                <w:kern w:val="2"/>
                <w:sz w:val="21"/>
                <w:szCs w:val="21"/>
              </w:rPr>
              <w:t>，然后通过密闭罐车拉运至大湾403污水站处理达到《气田水回注方法》（SY/T 6596</w:t>
            </w:r>
            <w:r>
              <w:rPr>
                <w:rFonts w:hint="eastAsia" w:ascii="Times New Roman" w:cs="Times New Roman"/>
                <w:kern w:val="2"/>
                <w:sz w:val="21"/>
                <w:szCs w:val="21"/>
              </w:rPr>
              <w:t>-</w:t>
            </w:r>
            <w:r>
              <w:rPr>
                <w:rFonts w:ascii="Times New Roman" w:cs="Times New Roman"/>
                <w:kern w:val="2"/>
                <w:sz w:val="21"/>
                <w:szCs w:val="21"/>
              </w:rPr>
              <w:t>2016）中注入水基本要求后管输至毛开1井回注站回注处理，不外排</w:t>
            </w:r>
            <w:r>
              <w:rPr>
                <w:rFonts w:hint="eastAsia" w:ascii="Times New Roman" w:cs="Times New Roman"/>
                <w:kern w:val="2"/>
                <w:sz w:val="21"/>
                <w:szCs w:val="21"/>
              </w:rPr>
              <w:t>。</w:t>
            </w:r>
          </w:p>
        </w:tc>
        <w:tc>
          <w:tcPr>
            <w:tcW w:w="1497" w:type="pct"/>
            <w:tcBorders>
              <w:top w:val="single" w:color="auto"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满足环保要求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7" w:hRule="atLeast"/>
          <w:jc w:val="center"/>
        </w:trPr>
        <w:tc>
          <w:tcPr>
            <w:tcW w:w="214"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363" w:type="pct"/>
            <w:vMerge w:val="continue"/>
            <w:tcBorders>
              <w:right w:val="single" w:color="auto" w:sz="4" w:space="0"/>
            </w:tcBorders>
            <w:vAlign w:val="center"/>
          </w:tcPr>
          <w:p>
            <w:pPr>
              <w:pStyle w:val="101"/>
              <w:ind w:firstLine="0" w:firstLineChars="0"/>
              <w:rPr>
                <w:rFonts w:ascii="Times New Roman" w:cs="Times New Roman"/>
                <w:kern w:val="2"/>
                <w:sz w:val="21"/>
                <w:szCs w:val="21"/>
              </w:rPr>
            </w:pPr>
          </w:p>
        </w:tc>
        <w:tc>
          <w:tcPr>
            <w:tcW w:w="724" w:type="pct"/>
            <w:gridSpan w:val="2"/>
            <w:tcBorders>
              <w:top w:val="single" w:color="auto" w:sz="4" w:space="0"/>
              <w:left w:val="single" w:color="auto" w:sz="4" w:space="0"/>
            </w:tcBorders>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生活污水</w:t>
            </w:r>
          </w:p>
        </w:tc>
        <w:tc>
          <w:tcPr>
            <w:tcW w:w="2202" w:type="pct"/>
            <w:tcBorders>
              <w:top w:val="single" w:color="auto" w:sz="4" w:space="0"/>
            </w:tcBorders>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值守</w:t>
            </w:r>
            <w:r>
              <w:rPr>
                <w:rFonts w:ascii="Times New Roman" w:cs="Times New Roman"/>
                <w:kern w:val="2"/>
                <w:sz w:val="21"/>
                <w:szCs w:val="21"/>
              </w:rPr>
              <w:t>人员生活</w:t>
            </w:r>
            <w:r>
              <w:rPr>
                <w:rFonts w:hint="eastAsia" w:ascii="Times New Roman" w:cs="Times New Roman"/>
                <w:kern w:val="2"/>
                <w:sz w:val="21"/>
                <w:szCs w:val="21"/>
              </w:rPr>
              <w:t>污水经</w:t>
            </w:r>
            <w:r>
              <w:rPr>
                <w:rFonts w:ascii="Times New Roman" w:cs="Times New Roman"/>
                <w:kern w:val="2"/>
                <w:sz w:val="21"/>
                <w:szCs w:val="21"/>
              </w:rPr>
              <w:t>生态环保厕所收集后，用作周边农肥，不外排。</w:t>
            </w:r>
          </w:p>
        </w:tc>
        <w:tc>
          <w:tcPr>
            <w:tcW w:w="1497" w:type="pct"/>
            <w:tcBorders>
              <w:top w:val="single" w:color="auto"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满足环保要求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7" w:hRule="atLeast"/>
          <w:jc w:val="center"/>
        </w:trPr>
        <w:tc>
          <w:tcPr>
            <w:tcW w:w="214"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087" w:type="pct"/>
            <w:gridSpan w:val="3"/>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地下水</w:t>
            </w:r>
          </w:p>
        </w:tc>
        <w:tc>
          <w:tcPr>
            <w:tcW w:w="2202" w:type="pct"/>
            <w:tcBorders>
              <w:top w:val="single" w:color="auto"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管道采用外防腐层和强制电流阴极保护联合方式；</w:t>
            </w:r>
            <w:r>
              <w:rPr>
                <w:rFonts w:hint="eastAsia" w:ascii="Times New Roman" w:cs="Times New Roman"/>
                <w:kern w:val="2"/>
                <w:sz w:val="21"/>
                <w:szCs w:val="21"/>
              </w:rPr>
              <w:t>柴油储罐、凝析油储罐、</w:t>
            </w:r>
            <w:r>
              <w:rPr>
                <w:rFonts w:ascii="Times New Roman" w:cs="Times New Roman"/>
                <w:kern w:val="2"/>
                <w:sz w:val="21"/>
                <w:szCs w:val="21"/>
              </w:rPr>
              <w:t>污水缓冲罐：四周设置防渗围堰。</w:t>
            </w:r>
          </w:p>
        </w:tc>
        <w:tc>
          <w:tcPr>
            <w:tcW w:w="1497" w:type="pct"/>
            <w:tcBorders>
              <w:top w:val="single" w:color="auto"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满足环保要求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4"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087" w:type="pct"/>
            <w:gridSpan w:val="3"/>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噪声治理</w:t>
            </w:r>
          </w:p>
        </w:tc>
        <w:tc>
          <w:tcPr>
            <w:tcW w:w="2202" w:type="pc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低噪声设备；管线地埋敷设。</w:t>
            </w:r>
          </w:p>
        </w:tc>
        <w:tc>
          <w:tcPr>
            <w:tcW w:w="1497" w:type="pc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满足区域《工业企业厂界噪声排放标准》（GB12348-2008）2类标准限值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4"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373" w:type="pct"/>
            <w:gridSpan w:val="2"/>
            <w:vMerge w:val="restart"/>
            <w:tcBorders>
              <w:right w:val="single" w:color="auto" w:sz="4" w:space="0"/>
            </w:tcBorders>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固体废物</w:t>
            </w:r>
          </w:p>
        </w:tc>
        <w:tc>
          <w:tcPr>
            <w:tcW w:w="714" w:type="pct"/>
            <w:tcBorders>
              <w:left w:val="single" w:color="auto"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生活垃圾</w:t>
            </w:r>
          </w:p>
        </w:tc>
        <w:tc>
          <w:tcPr>
            <w:tcW w:w="2202" w:type="pc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工作人员生活垃圾用垃圾桶收集，委托当地环卫部门清运处置。</w:t>
            </w:r>
          </w:p>
        </w:tc>
        <w:tc>
          <w:tcPr>
            <w:tcW w:w="1497" w:type="pc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去向明确，不造成二次污染</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4"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373" w:type="pct"/>
            <w:gridSpan w:val="2"/>
            <w:vMerge w:val="continue"/>
            <w:tcBorders>
              <w:right w:val="single" w:color="auto" w:sz="4" w:space="0"/>
            </w:tcBorders>
            <w:vAlign w:val="center"/>
          </w:tcPr>
          <w:p>
            <w:pPr>
              <w:pStyle w:val="101"/>
              <w:spacing w:line="240" w:lineRule="auto"/>
              <w:ind w:firstLine="0" w:firstLineChars="0"/>
              <w:rPr>
                <w:rFonts w:ascii="Times New Roman" w:cs="Times New Roman"/>
                <w:kern w:val="2"/>
                <w:sz w:val="21"/>
                <w:szCs w:val="21"/>
              </w:rPr>
            </w:pPr>
          </w:p>
        </w:tc>
        <w:tc>
          <w:tcPr>
            <w:tcW w:w="714" w:type="pct"/>
            <w:tcBorders>
              <w:left w:val="single" w:color="auto"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凝析油</w:t>
            </w:r>
          </w:p>
        </w:tc>
        <w:tc>
          <w:tcPr>
            <w:tcW w:w="2202" w:type="pc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进入凝析油</w:t>
            </w:r>
            <w:r>
              <w:rPr>
                <w:rFonts w:hint="eastAsia" w:ascii="Times New Roman" w:cs="Times New Roman"/>
                <w:kern w:val="2"/>
                <w:sz w:val="21"/>
                <w:szCs w:val="21"/>
              </w:rPr>
              <w:t>储存罐，</w:t>
            </w:r>
            <w:r>
              <w:rPr>
                <w:rFonts w:ascii="Times New Roman" w:cs="Times New Roman"/>
                <w:kern w:val="2"/>
                <w:sz w:val="21"/>
                <w:szCs w:val="21"/>
              </w:rPr>
              <w:t>凝析油作为副产品外售</w:t>
            </w:r>
            <w:r>
              <w:rPr>
                <w:rFonts w:hint="eastAsia" w:ascii="Times New Roman" w:cs="Times New Roman"/>
                <w:kern w:val="2"/>
                <w:sz w:val="21"/>
                <w:szCs w:val="21"/>
              </w:rPr>
              <w:t>。</w:t>
            </w:r>
          </w:p>
        </w:tc>
        <w:tc>
          <w:tcPr>
            <w:tcW w:w="1497" w:type="pc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去向明确，不造成二次污染</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4"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373" w:type="pct"/>
            <w:gridSpan w:val="2"/>
            <w:vMerge w:val="continue"/>
            <w:tcBorders>
              <w:right w:val="single" w:color="auto" w:sz="4" w:space="0"/>
            </w:tcBorders>
            <w:vAlign w:val="center"/>
          </w:tcPr>
          <w:p>
            <w:pPr>
              <w:pStyle w:val="101"/>
              <w:spacing w:line="240" w:lineRule="auto"/>
              <w:ind w:firstLine="0" w:firstLineChars="0"/>
              <w:rPr>
                <w:rFonts w:ascii="Times New Roman" w:cs="Times New Roman"/>
                <w:kern w:val="2"/>
                <w:sz w:val="21"/>
                <w:szCs w:val="21"/>
              </w:rPr>
            </w:pPr>
          </w:p>
        </w:tc>
        <w:tc>
          <w:tcPr>
            <w:tcW w:w="714" w:type="pct"/>
            <w:tcBorders>
              <w:left w:val="single" w:color="auto" w:sz="4" w:space="0"/>
            </w:tcBorders>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检修废渣、清管废渣</w:t>
            </w:r>
          </w:p>
        </w:tc>
        <w:tc>
          <w:tcPr>
            <w:tcW w:w="2202" w:type="pct"/>
            <w:vAlign w:val="center"/>
          </w:tcPr>
          <w:p>
            <w:pPr>
              <w:pStyle w:val="101"/>
              <w:spacing w:line="240" w:lineRule="auto"/>
              <w:ind w:firstLine="0" w:firstLineChars="0"/>
              <w:rPr>
                <w:rFonts w:ascii="Times New Roman" w:cs="Times New Roman"/>
                <w:color w:val="FF0000"/>
                <w:kern w:val="2"/>
                <w:sz w:val="21"/>
                <w:szCs w:val="21"/>
              </w:rPr>
            </w:pPr>
            <w:r>
              <w:rPr>
                <w:rFonts w:ascii="Times New Roman" w:cs="Times New Roman"/>
                <w:color w:val="FF0000"/>
                <w:kern w:val="2"/>
                <w:sz w:val="21"/>
                <w:szCs w:val="21"/>
              </w:rPr>
              <w:t>主要为机械杂质等，其主要成分为氧化铁粉末（</w:t>
            </w:r>
            <w:r>
              <w:rPr>
                <w:rFonts w:hint="eastAsia" w:ascii="Times New Roman" w:cs="Times New Roman"/>
                <w:color w:val="FF0000"/>
                <w:kern w:val="2"/>
                <w:sz w:val="21"/>
                <w:szCs w:val="21"/>
              </w:rPr>
              <w:t>含凝析油</w:t>
            </w:r>
            <w:r>
              <w:rPr>
                <w:rFonts w:ascii="Times New Roman" w:cs="Times New Roman"/>
                <w:color w:val="FF0000"/>
                <w:kern w:val="2"/>
                <w:sz w:val="21"/>
                <w:szCs w:val="21"/>
              </w:rPr>
              <w:t>），属危险废物，集中收集后交有资质单位集中处置。</w:t>
            </w:r>
          </w:p>
        </w:tc>
        <w:tc>
          <w:tcPr>
            <w:tcW w:w="1497" w:type="pc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去向明确，不造成二次污染</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14" w:hRule="atLeast"/>
          <w:jc w:val="center"/>
        </w:trPr>
        <w:tc>
          <w:tcPr>
            <w:tcW w:w="214"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087" w:type="pct"/>
            <w:gridSpan w:val="3"/>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环境风险</w:t>
            </w:r>
          </w:p>
        </w:tc>
        <w:tc>
          <w:tcPr>
            <w:tcW w:w="2202" w:type="pct"/>
            <w:vAlign w:val="center"/>
          </w:tcPr>
          <w:p>
            <w:pPr>
              <w:pStyle w:val="101"/>
              <w:spacing w:line="240" w:lineRule="auto"/>
              <w:ind w:firstLine="420"/>
              <w:rPr>
                <w:rFonts w:ascii="Times New Roman" w:cs="Times New Roman"/>
                <w:kern w:val="2"/>
                <w:sz w:val="21"/>
                <w:szCs w:val="21"/>
              </w:rPr>
            </w:pPr>
            <w:r>
              <w:rPr>
                <w:rFonts w:ascii="Times New Roman" w:cs="Times New Roman"/>
                <w:kern w:val="2"/>
                <w:sz w:val="21"/>
                <w:szCs w:val="21"/>
              </w:rPr>
              <w:t>事故放空：事故状态下管线及站场内天然气通过新建放</w:t>
            </w:r>
            <w:r>
              <w:rPr>
                <w:rFonts w:hint="eastAsia" w:ascii="Times New Roman" w:cs="Times New Roman"/>
                <w:kern w:val="2"/>
                <w:sz w:val="21"/>
                <w:szCs w:val="21"/>
              </w:rPr>
              <w:t>空系统燃烧</w:t>
            </w:r>
            <w:r>
              <w:rPr>
                <w:rFonts w:ascii="Times New Roman" w:cs="Times New Roman"/>
                <w:kern w:val="2"/>
                <w:sz w:val="21"/>
                <w:szCs w:val="21"/>
              </w:rPr>
              <w:t>排放。</w:t>
            </w:r>
          </w:p>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柴油储罐、凝析油储罐、</w:t>
            </w:r>
            <w:r>
              <w:rPr>
                <w:rFonts w:ascii="Times New Roman" w:cs="Times New Roman"/>
                <w:kern w:val="2"/>
                <w:sz w:val="21"/>
                <w:szCs w:val="21"/>
              </w:rPr>
              <w:t>污水缓冲罐：四周设置防渗围堰。</w:t>
            </w:r>
          </w:p>
        </w:tc>
        <w:tc>
          <w:tcPr>
            <w:tcW w:w="1497" w:type="pc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满足</w:t>
            </w:r>
            <w:r>
              <w:rPr>
                <w:rFonts w:hint="eastAsia" w:ascii="Times New Roman" w:cs="Times New Roman"/>
                <w:kern w:val="2"/>
                <w:sz w:val="21"/>
                <w:szCs w:val="21"/>
              </w:rPr>
              <w:t>环境</w:t>
            </w:r>
            <w:r>
              <w:rPr>
                <w:rFonts w:ascii="Times New Roman" w:cs="Times New Roman"/>
                <w:kern w:val="2"/>
                <w:sz w:val="21"/>
                <w:szCs w:val="21"/>
              </w:rPr>
              <w:t>风险防控要求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6" w:hRule="atLeast"/>
          <w:jc w:val="center"/>
        </w:trPr>
        <w:tc>
          <w:tcPr>
            <w:tcW w:w="214"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087" w:type="pct"/>
            <w:gridSpan w:val="3"/>
            <w:vAlign w:val="center"/>
          </w:tcPr>
          <w:p>
            <w:pPr>
              <w:widowControl/>
              <w:topLinePunct w:val="0"/>
              <w:adjustRightInd/>
              <w:spacing w:line="240" w:lineRule="auto"/>
              <w:ind w:firstLine="0" w:firstLineChars="0"/>
              <w:jc w:val="center"/>
              <w:rPr>
                <w:rFonts w:ascii="Times New Roman" w:cs="Times New Roman"/>
                <w:kern w:val="2"/>
                <w:sz w:val="21"/>
                <w:szCs w:val="21"/>
              </w:rPr>
            </w:pPr>
            <w:r>
              <w:rPr>
                <w:rFonts w:hint="eastAsia" w:ascii="Times New Roman" w:cs="Times New Roman"/>
                <w:kern w:val="2"/>
                <w:sz w:val="21"/>
                <w:szCs w:val="21"/>
              </w:rPr>
              <w:t>生态</w:t>
            </w:r>
          </w:p>
        </w:tc>
        <w:tc>
          <w:tcPr>
            <w:tcW w:w="2202" w:type="pct"/>
            <w:vAlign w:val="center"/>
          </w:tcPr>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（1）项目管沟及其施工作业带全线采取水土保持措施，包括工程措施、植物措施、管理措施，做好护坡、堡坎和排水设施。</w:t>
            </w:r>
          </w:p>
          <w:p>
            <w:pPr>
              <w:pStyle w:val="101"/>
              <w:spacing w:line="240" w:lineRule="auto"/>
              <w:ind w:firstLine="0" w:firstLineChars="0"/>
              <w:rPr>
                <w:rFonts w:ascii="Times New Roman" w:cs="Times New Roman"/>
                <w:kern w:val="2"/>
                <w:sz w:val="21"/>
                <w:szCs w:val="21"/>
              </w:rPr>
            </w:pPr>
            <w:r>
              <w:rPr>
                <w:rFonts w:hint="eastAsia" w:ascii="Times New Roman" w:cs="Times New Roman"/>
                <w:kern w:val="2"/>
                <w:sz w:val="21"/>
                <w:szCs w:val="21"/>
              </w:rPr>
              <w:t>（2）</w:t>
            </w:r>
            <w:r>
              <w:rPr>
                <w:rFonts w:ascii="Times New Roman" w:cs="Times New Roman"/>
                <w:kern w:val="2"/>
                <w:sz w:val="21"/>
                <w:szCs w:val="21"/>
              </w:rPr>
              <w:t>站场周边修建排水沟，进行绿化建设；管线通过陡坡地段，设置护坡、堡坎等。</w:t>
            </w:r>
          </w:p>
        </w:tc>
        <w:tc>
          <w:tcPr>
            <w:tcW w:w="1497" w:type="pct"/>
            <w:vAlign w:val="center"/>
          </w:tcPr>
          <w:p>
            <w:pPr>
              <w:pStyle w:val="101"/>
              <w:spacing w:line="240" w:lineRule="auto"/>
              <w:ind w:firstLine="0" w:firstLineChars="0"/>
              <w:rPr>
                <w:rFonts w:ascii="Times New Roman" w:cs="Times New Roman"/>
                <w:kern w:val="2"/>
                <w:sz w:val="21"/>
                <w:szCs w:val="21"/>
              </w:rPr>
            </w:pPr>
            <w:r>
              <w:rPr>
                <w:rFonts w:ascii="Times New Roman" w:cs="Times New Roman"/>
                <w:kern w:val="2"/>
                <w:sz w:val="21"/>
                <w:szCs w:val="21"/>
              </w:rPr>
              <w:t>满足环保要求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6" w:hRule="atLeast"/>
          <w:jc w:val="center"/>
        </w:trPr>
        <w:tc>
          <w:tcPr>
            <w:tcW w:w="214" w:type="pct"/>
            <w:vMerge w:val="continue"/>
            <w:vAlign w:val="center"/>
          </w:tcPr>
          <w:p>
            <w:pPr>
              <w:widowControl/>
              <w:topLinePunct w:val="0"/>
              <w:adjustRightInd/>
              <w:spacing w:line="240" w:lineRule="auto"/>
              <w:ind w:firstLine="0" w:firstLineChars="0"/>
              <w:jc w:val="center"/>
              <w:rPr>
                <w:rFonts w:ascii="Times New Roman" w:cs="Times New Roman"/>
                <w:kern w:val="2"/>
                <w:sz w:val="21"/>
                <w:szCs w:val="21"/>
              </w:rPr>
            </w:pPr>
          </w:p>
        </w:tc>
        <w:tc>
          <w:tcPr>
            <w:tcW w:w="1087" w:type="pct"/>
            <w:gridSpan w:val="3"/>
            <w:vAlign w:val="center"/>
          </w:tcPr>
          <w:p>
            <w:pPr>
              <w:widowControl/>
              <w:topLinePunct w:val="0"/>
              <w:adjustRightInd/>
              <w:spacing w:line="240" w:lineRule="auto"/>
              <w:ind w:firstLine="0" w:firstLineChars="0"/>
              <w:jc w:val="center"/>
              <w:rPr>
                <w:rFonts w:ascii="Times New Roman" w:cs="Times New Roman"/>
                <w:color w:val="FF0000"/>
                <w:kern w:val="2"/>
                <w:sz w:val="21"/>
                <w:szCs w:val="21"/>
              </w:rPr>
            </w:pPr>
            <w:r>
              <w:rPr>
                <w:rFonts w:hint="eastAsia" w:ascii="Times New Roman" w:cs="Times New Roman"/>
                <w:color w:val="FF0000"/>
                <w:kern w:val="2"/>
                <w:sz w:val="21"/>
                <w:szCs w:val="21"/>
              </w:rPr>
              <w:t>温室气体管控</w:t>
            </w:r>
          </w:p>
        </w:tc>
        <w:tc>
          <w:tcPr>
            <w:tcW w:w="2202" w:type="pct"/>
            <w:vAlign w:val="center"/>
          </w:tcPr>
          <w:p>
            <w:pPr>
              <w:pStyle w:val="101"/>
              <w:spacing w:line="240" w:lineRule="auto"/>
              <w:ind w:firstLine="0" w:firstLineChars="0"/>
              <w:rPr>
                <w:rFonts w:ascii="Times New Roman" w:cs="Times New Roman"/>
                <w:color w:val="FF0000"/>
                <w:kern w:val="2"/>
                <w:sz w:val="21"/>
                <w:szCs w:val="21"/>
              </w:rPr>
            </w:pPr>
            <w:r>
              <w:rPr>
                <w:rFonts w:ascii="Times New Roman" w:cs="Times New Roman"/>
                <w:color w:val="FF0000"/>
                <w:kern w:val="2"/>
                <w:sz w:val="21"/>
                <w:szCs w:val="21"/>
              </w:rPr>
              <w:t>水套炉所使用的天然气依托现有燃气返输管线输送的净化厂净化后天然气，不含硫化氢</w:t>
            </w:r>
            <w:r>
              <w:rPr>
                <w:rFonts w:hint="eastAsia" w:ascii="Times New Roman" w:cs="Times New Roman"/>
                <w:color w:val="FF0000"/>
                <w:kern w:val="2"/>
                <w:sz w:val="21"/>
                <w:szCs w:val="21"/>
              </w:rPr>
              <w:t>，</w:t>
            </w:r>
            <w:r>
              <w:rPr>
                <w:rFonts w:ascii="Times New Roman" w:cs="Times New Roman"/>
                <w:color w:val="FF0000"/>
                <w:kern w:val="2"/>
                <w:sz w:val="21"/>
                <w:szCs w:val="21"/>
              </w:rPr>
              <w:t>属于</w:t>
            </w:r>
            <w:r>
              <w:rPr>
                <w:rFonts w:hint="eastAsia" w:ascii="Times New Roman" w:cs="Times New Roman"/>
                <w:color w:val="FF0000"/>
                <w:kern w:val="2"/>
                <w:sz w:val="21"/>
                <w:szCs w:val="21"/>
              </w:rPr>
              <w:t>清洁燃料，减少温室气体排放。</w:t>
            </w:r>
          </w:p>
        </w:tc>
        <w:tc>
          <w:tcPr>
            <w:tcW w:w="1497" w:type="pct"/>
            <w:vAlign w:val="center"/>
          </w:tcPr>
          <w:p>
            <w:pPr>
              <w:pStyle w:val="101"/>
              <w:spacing w:line="240" w:lineRule="auto"/>
              <w:ind w:firstLine="0" w:firstLineChars="0"/>
              <w:rPr>
                <w:rFonts w:ascii="Times New Roman" w:cs="Times New Roman"/>
                <w:color w:val="FF0000"/>
                <w:kern w:val="2"/>
                <w:sz w:val="21"/>
                <w:szCs w:val="21"/>
              </w:rPr>
            </w:pPr>
            <w:r>
              <w:rPr>
                <w:rFonts w:hint="eastAsia" w:ascii="Times New Roman" w:cs="Times New Roman"/>
                <w:color w:val="FF0000"/>
                <w:kern w:val="2"/>
                <w:sz w:val="21"/>
                <w:szCs w:val="21"/>
              </w:rPr>
              <w:t>满足温室气体管控</w:t>
            </w:r>
          </w:p>
        </w:tc>
      </w:tr>
    </w:tbl>
    <w:p>
      <w:pPr>
        <w:pStyle w:val="6"/>
        <w:ind w:firstLine="480"/>
        <w:rPr>
          <w:rFonts w:ascii="Times New Roman" w:cs="Times New Roman"/>
        </w:rPr>
      </w:pPr>
    </w:p>
    <w:p>
      <w:pPr>
        <w:ind w:firstLine="0" w:firstLineChars="0"/>
        <w:jc w:val="center"/>
        <w:rPr>
          <w:rFonts w:hint="eastAsia"/>
        </w:rPr>
      </w:pPr>
    </w:p>
    <w:p>
      <w:pPr>
        <w:ind w:firstLine="480"/>
        <w:rPr>
          <w:rFonts w:hint="eastAsia"/>
        </w:rPr>
      </w:pPr>
    </w:p>
    <w:p>
      <w:pPr>
        <w:ind w:firstLine="480"/>
        <w:sectPr>
          <w:pgSz w:w="16838" w:h="11906" w:orient="landscape"/>
          <w:pgMar w:top="1797" w:right="1440" w:bottom="1797" w:left="1440" w:header="851" w:footer="992" w:gutter="0"/>
          <w:cols w:space="425" w:num="1"/>
          <w:docGrid w:type="linesAndChars" w:linePitch="312" w:charSpace="0"/>
        </w:sectPr>
      </w:pPr>
    </w:p>
    <w:p>
      <w:pPr>
        <w:pStyle w:val="2"/>
        <w:spacing w:before="0" w:beforeAutospacing="0" w:after="0" w:afterAutospacing="0"/>
        <w:rPr>
          <w:rFonts w:eastAsia="宋体"/>
          <w:kern w:val="0"/>
        </w:rPr>
      </w:pPr>
      <w:bookmarkStart w:id="678" w:name="_Toc19816152"/>
      <w:bookmarkStart w:id="679" w:name="_Toc81515316"/>
      <w:bookmarkStart w:id="680" w:name="_Toc12288838"/>
      <w:r>
        <w:rPr>
          <w:rFonts w:eastAsia="宋体"/>
          <w:kern w:val="0"/>
        </w:rPr>
        <w:t>11 结论与建议</w:t>
      </w:r>
      <w:bookmarkEnd w:id="678"/>
      <w:bookmarkEnd w:id="679"/>
    </w:p>
    <w:p>
      <w:pPr>
        <w:pStyle w:val="3"/>
        <w:spacing w:before="120"/>
        <w:rPr>
          <w:rFonts w:cs="Times New Roman"/>
        </w:rPr>
      </w:pPr>
      <w:bookmarkStart w:id="681" w:name="_Toc19816153"/>
      <w:bookmarkStart w:id="682" w:name="_Toc81515317"/>
      <w:r>
        <w:rPr>
          <w:rFonts w:cs="Times New Roman"/>
        </w:rPr>
        <w:t>11.1 项目基本情况</w:t>
      </w:r>
      <w:bookmarkEnd w:id="680"/>
      <w:bookmarkEnd w:id="681"/>
      <w:bookmarkEnd w:id="682"/>
    </w:p>
    <w:p>
      <w:pPr>
        <w:pStyle w:val="4"/>
        <w:rPr>
          <w:rFonts w:eastAsia="宋体"/>
        </w:rPr>
      </w:pPr>
      <w:bookmarkStart w:id="683" w:name="_Toc19816155"/>
      <w:r>
        <w:rPr>
          <w:rFonts w:eastAsia="宋体"/>
        </w:rPr>
        <w:t>11.1.1 项目规模</w:t>
      </w:r>
      <w:bookmarkEnd w:id="683"/>
    </w:p>
    <w:p>
      <w:pPr>
        <w:pStyle w:val="112"/>
        <w:ind w:firstLine="480"/>
      </w:pPr>
      <w:r>
        <w:rPr>
          <w:rFonts w:hint="eastAsia"/>
        </w:rPr>
        <w:t>普光气田位于四川省达州市宣汉县境内，是国内首个成功开发的高含硫千亿方大型气田，也是川气东送工程气源主产地。气田动用普光主体、大湾、毛坝、老君等气藏。</w:t>
      </w:r>
      <w:r>
        <w:t>2005</w:t>
      </w:r>
      <w:r>
        <w:rPr>
          <w:rFonts w:hint="eastAsia"/>
        </w:rPr>
        <w:t>年开始开发，</w:t>
      </w:r>
      <w:r>
        <w:t>2009</w:t>
      </w:r>
      <w:r>
        <w:rPr>
          <w:rFonts w:hint="eastAsia"/>
        </w:rPr>
        <w:t>年普光主体投产，已安全平稳高效运行</w:t>
      </w:r>
      <w:r>
        <w:t>13</w:t>
      </w:r>
      <w:r>
        <w:rPr>
          <w:rFonts w:hint="eastAsia"/>
        </w:rPr>
        <w:t>年，截至</w:t>
      </w:r>
      <w:r>
        <w:t>2023</w:t>
      </w:r>
      <w:r>
        <w:rPr>
          <w:rFonts w:hint="eastAsia"/>
        </w:rPr>
        <w:t>年</w:t>
      </w:r>
      <w:r>
        <w:t>5</w:t>
      </w:r>
      <w:r>
        <w:rPr>
          <w:rFonts w:hint="eastAsia"/>
        </w:rPr>
        <w:t>月底气田累计生产井口气</w:t>
      </w:r>
      <w:r>
        <w:t>1118</w:t>
      </w:r>
      <w:r>
        <w:rPr>
          <w:rFonts w:hint="eastAsia"/>
        </w:rPr>
        <w:t>亿方，累计投资</w:t>
      </w:r>
      <w:r>
        <w:t>471.21</w:t>
      </w:r>
      <w:r>
        <w:rPr>
          <w:rFonts w:hint="eastAsia"/>
        </w:rPr>
        <w:t>亿元。</w:t>
      </w:r>
    </w:p>
    <w:p>
      <w:pPr>
        <w:pStyle w:val="112"/>
        <w:ind w:firstLine="480"/>
        <w:rPr>
          <w:color w:val="FF0000"/>
        </w:rPr>
      </w:pPr>
      <w:r>
        <w:rPr>
          <w:rFonts w:hint="eastAsia"/>
          <w:color w:val="FF0000"/>
        </w:rPr>
        <w:t>普光陆相千佛崖组天然气产能建设项目区域位于勘查登记名称为“四川省四川盆地普光气田”及“四川省四川盆地达县－宣汉地区油气勘查”的矿权区块内，探矿权面积分别为</w:t>
      </w:r>
      <w:r>
        <w:rPr>
          <w:color w:val="FF0000"/>
        </w:rPr>
        <w:t>301.534km</w:t>
      </w:r>
      <w:r>
        <w:rPr>
          <w:color w:val="FF0000"/>
          <w:vertAlign w:val="superscript"/>
        </w:rPr>
        <w:t>2</w:t>
      </w:r>
      <w:r>
        <w:rPr>
          <w:rFonts w:hint="eastAsia"/>
          <w:color w:val="FF0000"/>
        </w:rPr>
        <w:t>及</w:t>
      </w:r>
      <w:r>
        <w:rPr>
          <w:color w:val="FF0000"/>
        </w:rPr>
        <w:t>814.475km</w:t>
      </w:r>
      <w:r>
        <w:rPr>
          <w:color w:val="FF0000"/>
          <w:vertAlign w:val="superscript"/>
        </w:rPr>
        <w:t>2</w:t>
      </w:r>
      <w:r>
        <w:rPr>
          <w:rFonts w:hint="eastAsia"/>
          <w:color w:val="FF0000"/>
        </w:rPr>
        <w:t>。</w:t>
      </w:r>
      <w:r>
        <w:rPr>
          <w:color w:val="FF0000"/>
        </w:rPr>
        <w:t>2021</w:t>
      </w:r>
      <w:r>
        <w:rPr>
          <w:rFonts w:hint="eastAsia"/>
          <w:color w:val="FF0000"/>
        </w:rPr>
        <w:t>年</w:t>
      </w:r>
      <w:r>
        <w:rPr>
          <w:color w:val="FF0000"/>
        </w:rPr>
        <w:t>3</w:t>
      </w:r>
      <w:r>
        <w:rPr>
          <w:rFonts w:hint="eastAsia"/>
          <w:color w:val="FF0000"/>
        </w:rPr>
        <w:t>月上报普光气田陆相千佛崖组千一段探明含气面积</w:t>
      </w:r>
      <w:r>
        <w:rPr>
          <w:color w:val="FF0000"/>
        </w:rPr>
        <w:t>8.47km</w:t>
      </w:r>
      <w:r>
        <w:rPr>
          <w:color w:val="FF0000"/>
          <w:vertAlign w:val="superscript"/>
        </w:rPr>
        <w:t>2</w:t>
      </w:r>
      <w:r>
        <w:rPr>
          <w:rFonts w:hint="eastAsia"/>
          <w:color w:val="FF0000"/>
        </w:rPr>
        <w:t>，天然气探明地质储量</w:t>
      </w:r>
      <w:r>
        <w:rPr>
          <w:color w:val="FF0000"/>
        </w:rPr>
        <w:t>8.75</w:t>
      </w:r>
      <w:r>
        <w:rPr>
          <w:rFonts w:hint="eastAsia"/>
          <w:color w:val="FF0000"/>
        </w:rPr>
        <w:t>×</w:t>
      </w:r>
      <w:r>
        <w:rPr>
          <w:color w:val="FF0000"/>
        </w:rPr>
        <w:t>10</w:t>
      </w:r>
      <w:r>
        <w:rPr>
          <w:color w:val="FF0000"/>
          <w:vertAlign w:val="superscript"/>
        </w:rPr>
        <w:t>8</w:t>
      </w:r>
      <w:r>
        <w:rPr>
          <w:color w:val="FF0000"/>
        </w:rPr>
        <w:t>m</w:t>
      </w:r>
      <w:r>
        <w:rPr>
          <w:color w:val="FF0000"/>
          <w:vertAlign w:val="superscript"/>
        </w:rPr>
        <w:t>3</w:t>
      </w:r>
      <w:r>
        <w:rPr>
          <w:rFonts w:hint="eastAsia"/>
          <w:color w:val="FF0000"/>
        </w:rPr>
        <w:t>。</w:t>
      </w:r>
    </w:p>
    <w:p>
      <w:pPr>
        <w:pStyle w:val="112"/>
        <w:ind w:firstLine="480"/>
        <w:rPr>
          <w:color w:val="FF0000"/>
        </w:rPr>
      </w:pPr>
      <w:r>
        <w:rPr>
          <w:rFonts w:hint="eastAsia"/>
          <w:color w:val="FF0000"/>
        </w:rPr>
        <w:t>为了配合开发部门完成气井产量等评估工作，满足普光陆相气藏勘探评价的需求，为后续普光陆相气井的规模性开发提供现场经验，也为提高气田产能贡献，满足气田稳产和可持续发展的需要，中国石油化工股份有限公司中原油田普光分公司拟在</w:t>
      </w:r>
      <w:r>
        <w:rPr>
          <w:rFonts w:hint="eastAsia"/>
          <w:bCs/>
          <w:color w:val="FF0000"/>
        </w:rPr>
        <w:t>四川省达州市宣汉县黄金镇沙场村实施普光气田普陆4-1H井产能建设项目（</w:t>
      </w:r>
      <w:r>
        <w:rPr>
          <w:bCs/>
          <w:color w:val="FF0000"/>
        </w:rPr>
        <w:t>本项目为</w:t>
      </w:r>
      <w:r>
        <w:rPr>
          <w:rFonts w:hint="eastAsia"/>
          <w:bCs/>
          <w:color w:val="FF0000"/>
        </w:rPr>
        <w:t>天然气开采，</w:t>
      </w:r>
      <w:r>
        <w:rPr>
          <w:bCs/>
          <w:color w:val="FF0000"/>
        </w:rPr>
        <w:t>不属于区块建设项目</w:t>
      </w:r>
      <w:r>
        <w:rPr>
          <w:rFonts w:hint="eastAsia"/>
          <w:bCs/>
          <w:color w:val="FF0000"/>
        </w:rPr>
        <w:t>）</w:t>
      </w:r>
      <w:r>
        <w:rPr>
          <w:color w:val="FF0000"/>
        </w:rPr>
        <w:t>。</w:t>
      </w:r>
    </w:p>
    <w:p>
      <w:pPr>
        <w:pStyle w:val="6"/>
        <w:ind w:firstLine="480"/>
        <w:rPr>
          <w:rFonts w:ascii="Times New Roman" w:cs="Times New Roman"/>
          <w:bCs/>
        </w:rPr>
      </w:pPr>
      <w:r>
        <w:rPr>
          <w:rFonts w:hint="eastAsia" w:ascii="Times New Roman" w:cs="Times New Roman"/>
          <w:bCs/>
        </w:rPr>
        <w:t>（1）气藏地质与气藏工程</w:t>
      </w:r>
    </w:p>
    <w:p>
      <w:pPr>
        <w:pStyle w:val="6"/>
        <w:ind w:firstLine="480"/>
        <w:rPr>
          <w:rFonts w:ascii="Times New Roman" w:cs="Times New Roman"/>
          <w:bCs/>
        </w:rPr>
      </w:pPr>
      <w:r>
        <w:rPr>
          <w:rFonts w:hint="eastAsia" w:ascii="Times New Roman" w:cs="Times New Roman"/>
          <w:bCs/>
        </w:rPr>
        <w:t>普光东向斜构造是毛坝东断层和东岳寨断层控制下的单斜构造，为动用东部浊积砂体储量、最大限度提高储量动用程度。预计增加井控储量3.31亿立方米，凝析油地质储量2.37万吨。新增经济可采储量1.03亿立方米，新建产能0.172亿立方米。</w:t>
      </w:r>
    </w:p>
    <w:p>
      <w:pPr>
        <w:pStyle w:val="6"/>
        <w:ind w:firstLine="480"/>
        <w:rPr>
          <w:rFonts w:ascii="Times New Roman" w:cs="Times New Roman"/>
          <w:bCs/>
        </w:rPr>
      </w:pPr>
      <w:r>
        <w:rPr>
          <w:rFonts w:hint="eastAsia" w:ascii="Times New Roman" w:cs="Times New Roman"/>
          <w:bCs/>
        </w:rPr>
        <w:t>普陆4-1H井配产5.27万方/天，日产油4吨/天。稳产期为2年，预计15年期末累产气1.03亿立方米，凝析油0.72万吨。</w:t>
      </w:r>
    </w:p>
    <w:p>
      <w:pPr>
        <w:pStyle w:val="6"/>
        <w:ind w:firstLine="480"/>
        <w:rPr>
          <w:rFonts w:ascii="Times New Roman" w:cs="Times New Roman"/>
          <w:bCs/>
        </w:rPr>
      </w:pPr>
      <w:r>
        <w:rPr>
          <w:rFonts w:hint="eastAsia" w:ascii="Times New Roman" w:cs="Times New Roman"/>
          <w:bCs/>
        </w:rPr>
        <w:t>（2）钻前工程</w:t>
      </w:r>
    </w:p>
    <w:p>
      <w:pPr>
        <w:pStyle w:val="6"/>
        <w:ind w:firstLine="480"/>
        <w:rPr>
          <w:rFonts w:ascii="Times New Roman" w:cs="Times New Roman"/>
          <w:bCs/>
        </w:rPr>
      </w:pPr>
      <w:r>
        <w:rPr>
          <w:rFonts w:hint="eastAsia" w:ascii="Times New Roman" w:cs="Times New Roman"/>
          <w:bCs/>
        </w:rPr>
        <w:t>利旧井场1座，新建方井1座、加长井架基础1座、利旧放喷池1座、清水池1座、循环罐、储备罐等设备基础，新建井场配套设施、进场道路100米等。</w:t>
      </w:r>
    </w:p>
    <w:p>
      <w:pPr>
        <w:pStyle w:val="6"/>
        <w:ind w:firstLine="480"/>
        <w:rPr>
          <w:rFonts w:ascii="Times New Roman" w:cs="Times New Roman"/>
          <w:bCs/>
        </w:rPr>
      </w:pPr>
      <w:r>
        <w:rPr>
          <w:rFonts w:hint="eastAsia" w:ascii="Times New Roman" w:cs="Times New Roman"/>
          <w:bCs/>
        </w:rPr>
        <w:t>（3）钻井工程</w:t>
      </w:r>
    </w:p>
    <w:p>
      <w:pPr>
        <w:pStyle w:val="6"/>
        <w:ind w:firstLine="480"/>
        <w:rPr>
          <w:rFonts w:ascii="Times New Roman" w:cs="Times New Roman"/>
          <w:bCs/>
        </w:rPr>
      </w:pPr>
      <w:r>
        <w:rPr>
          <w:rFonts w:hint="eastAsia" w:ascii="Times New Roman" w:cs="Times New Roman"/>
          <w:bCs/>
        </w:rPr>
        <w:t>设计井深5552米，井型为水平井，水平段长1851米，造斜点2730米。采用三开井身结构：一开选用φ406.4毫米钻头钻至井深351米，下φ339.7毫米套管；二开选用φ311.2毫米钻头钻至井深3088米，下入φ244.5毫米套管；三开采用旋转导向，φ215.9毫米钻头钻至完钻井深，下入139.7毫米套管。自造斜段至井底采用随钻导向系列的自然伽马和井斜方位测井。</w:t>
      </w:r>
    </w:p>
    <w:p>
      <w:pPr>
        <w:pStyle w:val="6"/>
        <w:ind w:firstLine="480"/>
        <w:rPr>
          <w:rFonts w:ascii="Times New Roman" w:cs="Times New Roman"/>
          <w:bCs/>
        </w:rPr>
      </w:pPr>
      <w:r>
        <w:rPr>
          <w:rFonts w:hint="eastAsia" w:ascii="Times New Roman" w:cs="Times New Roman"/>
          <w:bCs/>
        </w:rPr>
        <w:t>（4）采气工程</w:t>
      </w:r>
    </w:p>
    <w:p>
      <w:pPr>
        <w:pStyle w:val="6"/>
        <w:ind w:firstLine="480"/>
        <w:rPr>
          <w:rFonts w:ascii="Times New Roman" w:cs="Times New Roman"/>
          <w:bCs/>
        </w:rPr>
      </w:pPr>
      <w:r>
        <w:rPr>
          <w:rFonts w:hint="eastAsia" w:ascii="Times New Roman" w:cs="Times New Roman"/>
          <w:bCs/>
        </w:rPr>
        <w:t>采用桥塞分段、套管注入体积压裂工艺，开展二氧化碳前置压裂先导试验，二氧化碳注入排量2-4立方米/分钟，总量2100立方米。设计分14段压裂改造，施工压力89.6兆帕，施工排量18立方米/分钟，总液量23060立方米，总砂量1832立方米。首段采用连续油管射孔，后续采用泵送桥塞+电缆射孔联作工艺。完井采用φ60.3</w:t>
      </w:r>
      <w:r>
        <w:rPr>
          <w:rFonts w:ascii="Times New Roman" w:cs="Times New Roman"/>
          <w:bCs/>
        </w:rPr>
        <w:t>×</w:t>
      </w:r>
      <w:r>
        <w:rPr>
          <w:rFonts w:hint="eastAsia" w:ascii="Times New Roman" w:cs="Times New Roman"/>
          <w:bCs/>
        </w:rPr>
        <w:t>4.83毫米N80EU扣油管，DD级70兆帕采气井口，配套70兆帕地面控制系统。设计开展地面微地震人工裂缝监测，各压裂段开展分段改造产能评价。</w:t>
      </w:r>
    </w:p>
    <w:p>
      <w:pPr>
        <w:pStyle w:val="6"/>
        <w:ind w:firstLine="480"/>
        <w:rPr>
          <w:rFonts w:ascii="Times New Roman" w:cs="Times New Roman"/>
          <w:bCs/>
        </w:rPr>
      </w:pPr>
      <w:r>
        <w:rPr>
          <w:rFonts w:hint="eastAsia" w:ascii="Times New Roman" w:cs="Times New Roman"/>
          <w:bCs/>
        </w:rPr>
        <w:t>（5）地面集输工程</w:t>
      </w:r>
    </w:p>
    <w:p>
      <w:pPr>
        <w:pStyle w:val="6"/>
        <w:ind w:firstLine="480"/>
        <w:rPr>
          <w:rFonts w:ascii="Times New Roman" w:cs="Times New Roman"/>
        </w:rPr>
      </w:pPr>
      <w:r>
        <w:rPr>
          <w:rFonts w:hint="eastAsia" w:ascii="Times New Roman" w:cs="Times New Roman"/>
          <w:bCs/>
        </w:rPr>
        <w:t>新建普陆4-1H井地面集输装置1套，采用湿气外输工艺，井口来气经除砂、加热荣流、气液分离、闪蒸分离后气、水分输进P107集气站，凝析油在站内拉运；配套地面流程及自控、电力、通讯等设施。普陆4-1H井因采用注二氧化碳采气工艺，地面采用加注缓蚀剂、站内设备采用内涂层等抗腐蚀工艺。拆除并恢复站内普陆4井已建的井口流程、水套加热炉、乙二醇加注撬、管网等设施。预计永久性征地13. 08亩</w:t>
      </w:r>
      <w:r>
        <w:rPr>
          <w:rFonts w:hint="eastAsia" w:ascii="Times New Roman" w:cs="Times New Roman"/>
        </w:rPr>
        <w:t>。</w:t>
      </w:r>
    </w:p>
    <w:p>
      <w:pPr>
        <w:pStyle w:val="6"/>
        <w:ind w:firstLine="480"/>
        <w:rPr>
          <w:rFonts w:ascii="Times New Roman" w:cs="Times New Roman"/>
        </w:rPr>
      </w:pPr>
      <w:r>
        <w:rPr>
          <w:rFonts w:hint="eastAsia" w:ascii="Times New Roman" w:cs="Times New Roman"/>
        </w:rPr>
        <w:t>本</w:t>
      </w:r>
      <w:r>
        <w:rPr>
          <w:rFonts w:ascii="Times New Roman" w:cs="Times New Roman"/>
        </w:rPr>
        <w:t>项目总投资为</w:t>
      </w:r>
      <w:r>
        <w:rPr>
          <w:rFonts w:hint="eastAsia" w:ascii="Times New Roman" w:cs="Times New Roman"/>
        </w:rPr>
        <w:t>7765万</w:t>
      </w:r>
      <w:r>
        <w:rPr>
          <w:rFonts w:ascii="Times New Roman" w:cs="Times New Roman"/>
        </w:rPr>
        <w:t>元，其中环保投资</w:t>
      </w:r>
      <w:r>
        <w:rPr>
          <w:rFonts w:hint="eastAsia" w:ascii="Times New Roman" w:cs="Times New Roman"/>
        </w:rPr>
        <w:t>45</w:t>
      </w:r>
      <w:r>
        <w:rPr>
          <w:rFonts w:ascii="Times New Roman" w:cs="Times New Roman"/>
        </w:rPr>
        <w:t>0万元，占项目总投资的</w:t>
      </w:r>
      <w:r>
        <w:rPr>
          <w:rFonts w:hint="eastAsia" w:ascii="Times New Roman" w:cs="Times New Roman"/>
        </w:rPr>
        <w:t>5.8</w:t>
      </w:r>
      <w:r>
        <w:rPr>
          <w:rFonts w:ascii="Times New Roman" w:cs="Times New Roman"/>
        </w:rPr>
        <w:t>%</w:t>
      </w:r>
      <w:r>
        <w:rPr>
          <w:rFonts w:hint="eastAsia" w:ascii="Times New Roman" w:cs="Times New Roman"/>
        </w:rPr>
        <w:t>。</w:t>
      </w:r>
    </w:p>
    <w:p>
      <w:pPr>
        <w:pStyle w:val="3"/>
        <w:spacing w:before="120"/>
        <w:rPr>
          <w:rFonts w:cs="Times New Roman"/>
        </w:rPr>
      </w:pPr>
      <w:bookmarkStart w:id="684" w:name="bookmark86"/>
      <w:bookmarkEnd w:id="684"/>
      <w:bookmarkStart w:id="685" w:name="_Toc12288839"/>
      <w:bookmarkStart w:id="686" w:name="_Toc19816157"/>
      <w:bookmarkStart w:id="687" w:name="_Toc81515318"/>
      <w:r>
        <w:rPr>
          <w:rFonts w:cs="Times New Roman"/>
        </w:rPr>
        <w:t xml:space="preserve">11.2 </w:t>
      </w:r>
      <w:bookmarkEnd w:id="685"/>
      <w:bookmarkEnd w:id="686"/>
      <w:r>
        <w:rPr>
          <w:rFonts w:cs="Times New Roman"/>
        </w:rPr>
        <w:t>产业政策符合性分析</w:t>
      </w:r>
      <w:bookmarkEnd w:id="687"/>
    </w:p>
    <w:p>
      <w:pPr>
        <w:ind w:firstLine="480"/>
        <w:rPr>
          <w:rFonts w:ascii="Times New Roman" w:cs="Times New Roman"/>
        </w:rPr>
      </w:pPr>
      <w:r>
        <w:rPr>
          <w:rFonts w:ascii="Times New Roman" w:cs="Times New Roman"/>
          <w:color w:val="FF0000"/>
        </w:rPr>
        <w:t>根据《产业结构调整指导目录》（20</w:t>
      </w:r>
      <w:r>
        <w:rPr>
          <w:rFonts w:hint="eastAsia" w:ascii="Times New Roman" w:cs="Times New Roman"/>
          <w:color w:val="FF0000"/>
        </w:rPr>
        <w:t>24</w:t>
      </w:r>
      <w:r>
        <w:rPr>
          <w:rFonts w:ascii="Times New Roman" w:cs="Times New Roman"/>
          <w:color w:val="FF0000"/>
        </w:rPr>
        <w:t>年本），本项目属于《产业结构调整指导目录》（20</w:t>
      </w:r>
      <w:r>
        <w:rPr>
          <w:rFonts w:hint="eastAsia" w:ascii="Times New Roman" w:cs="Times New Roman"/>
          <w:color w:val="FF0000"/>
        </w:rPr>
        <w:t>24</w:t>
      </w:r>
      <w:r>
        <w:rPr>
          <w:rFonts w:ascii="Times New Roman" w:cs="Times New Roman"/>
          <w:color w:val="FF0000"/>
        </w:rPr>
        <w:t>年本）鼓励类中第七条“石油天然气”中的</w:t>
      </w:r>
      <w:r>
        <w:rPr>
          <w:rFonts w:hint="eastAsia" w:ascii="Times New Roman" w:cs="Times New Roman"/>
          <w:color w:val="FF0000"/>
        </w:rPr>
        <w:t>1、</w:t>
      </w:r>
      <w:r>
        <w:rPr>
          <w:rFonts w:ascii="Times New Roman" w:cs="Times New Roman"/>
          <w:color w:val="FF0000"/>
        </w:rPr>
        <w:t>“</w:t>
      </w:r>
      <w:r>
        <w:rPr>
          <w:rFonts w:hint="eastAsia" w:ascii="Times New Roman" w:cs="Times New Roman"/>
          <w:color w:val="FF0000"/>
        </w:rPr>
        <w:t>石油天然气开采：常规石油、天然气勘探与开采，页岩气、页岩油、致密油（气）、油砂、天然气水合物等非常规资源勘探开发</w:t>
      </w:r>
      <w:r>
        <w:rPr>
          <w:rFonts w:ascii="Times New Roman" w:cs="Times New Roman"/>
          <w:color w:val="FF0000"/>
        </w:rPr>
        <w:t>”。</w:t>
      </w:r>
    </w:p>
    <w:p>
      <w:pPr>
        <w:ind w:firstLine="480"/>
        <w:rPr>
          <w:rFonts w:ascii="Times New Roman" w:cs="Times New Roman"/>
        </w:rPr>
      </w:pPr>
      <w:r>
        <w:rPr>
          <w:rFonts w:ascii="Times New Roman" w:cs="Times New Roman"/>
        </w:rPr>
        <w:t>因此本项目建设符合国家产业政策。</w:t>
      </w:r>
    </w:p>
    <w:p>
      <w:pPr>
        <w:pStyle w:val="3"/>
        <w:spacing w:before="120"/>
        <w:rPr>
          <w:rFonts w:cs="Times New Roman"/>
        </w:rPr>
      </w:pPr>
      <w:bookmarkStart w:id="688" w:name="bookmark87"/>
      <w:bookmarkEnd w:id="688"/>
      <w:bookmarkStart w:id="689" w:name="_Toc19816160"/>
      <w:bookmarkStart w:id="690" w:name="_Toc12288840"/>
      <w:bookmarkStart w:id="691" w:name="_Toc81515319"/>
      <w:r>
        <w:rPr>
          <w:rFonts w:cs="Times New Roman"/>
        </w:rPr>
        <w:t>11.3 清洁生产</w:t>
      </w:r>
      <w:bookmarkEnd w:id="689"/>
      <w:bookmarkEnd w:id="690"/>
      <w:bookmarkEnd w:id="691"/>
    </w:p>
    <w:p>
      <w:pPr>
        <w:pStyle w:val="112"/>
        <w:ind w:firstLine="480"/>
      </w:pPr>
      <w:r>
        <w:t>本项目输送介质为天然气，属清洁能源；通过采用先进的输送工艺，减少了“三废”排放源，从工艺技术、能耗、防腐、节水、施工管理、污染物的排放、运营管理等方面均符合清洁生产原则。工程从输气工艺及施工工艺来看，均</w:t>
      </w:r>
      <w:r>
        <w:rPr>
          <w:rFonts w:hint="eastAsia"/>
          <w:lang w:eastAsia="zh-CN"/>
        </w:rPr>
        <w:t>最大限度地</w:t>
      </w:r>
      <w:r>
        <w:t>减少了生态破坏、污染物排放及能源消耗，</w:t>
      </w:r>
      <w:r>
        <w:rPr>
          <w:rFonts w:hint="eastAsia"/>
          <w:lang w:eastAsia="zh-CN"/>
        </w:rPr>
        <w:t>最大限度地</w:t>
      </w:r>
      <w:r>
        <w:t>保证了管道的安全运行及管输能力，降低事故的发生和对环境的危害，达到了国内先进的清洁生产水平。因此，本次评价认为，本项目贯彻了清洁生产的原则。</w:t>
      </w:r>
    </w:p>
    <w:p>
      <w:pPr>
        <w:pStyle w:val="3"/>
        <w:spacing w:before="120"/>
        <w:rPr>
          <w:rFonts w:cs="Times New Roman"/>
        </w:rPr>
      </w:pPr>
      <w:bookmarkStart w:id="692" w:name="bookmark88"/>
      <w:bookmarkEnd w:id="692"/>
      <w:bookmarkStart w:id="693" w:name="_Toc81515320"/>
      <w:bookmarkStart w:id="694" w:name="_Toc12288841"/>
      <w:bookmarkStart w:id="695" w:name="_Toc19816161"/>
      <w:r>
        <w:rPr>
          <w:rFonts w:cs="Times New Roman"/>
        </w:rPr>
        <w:t>11.4 总量控制</w:t>
      </w:r>
      <w:bookmarkEnd w:id="693"/>
      <w:bookmarkEnd w:id="694"/>
      <w:bookmarkEnd w:id="695"/>
    </w:p>
    <w:p>
      <w:pPr>
        <w:pStyle w:val="112"/>
        <w:ind w:firstLine="480"/>
      </w:pPr>
      <w:r>
        <w:t>工程投产后，正常运行时天然气处于密闭输送状态，一般无气体污染物外排；正常工况条件下，仅有水套炉燃料气（不含硫）燃烧产生的NO</w:t>
      </w:r>
      <w:r>
        <w:rPr>
          <w:sz w:val="16"/>
          <w:szCs w:val="16"/>
        </w:rPr>
        <w:t>X</w:t>
      </w:r>
      <w:r>
        <w:t>排放，其排放量为NO</w:t>
      </w:r>
      <w:r>
        <w:rPr>
          <w:sz w:val="16"/>
          <w:szCs w:val="16"/>
        </w:rPr>
        <w:t>X</w:t>
      </w:r>
      <w:r>
        <w:t>：</w:t>
      </w:r>
      <w:r>
        <w:rPr>
          <w:rFonts w:hint="eastAsia"/>
        </w:rPr>
        <w:t>35.56</w:t>
      </w:r>
      <w:r>
        <w:t>kg/a；营运期不产生生产废水和生活污水。</w:t>
      </w:r>
    </w:p>
    <w:p>
      <w:pPr>
        <w:pStyle w:val="112"/>
        <w:ind w:firstLine="480"/>
      </w:pPr>
      <w:r>
        <w:t>综上，项目的建设虽有NO</w:t>
      </w:r>
      <w:r>
        <w:rPr>
          <w:sz w:val="16"/>
          <w:szCs w:val="16"/>
        </w:rPr>
        <w:t>X</w:t>
      </w:r>
      <w:r>
        <w:t>产生，燃料气来自净化厂净化后天然气，不含硫化氢，且氮氧化物排放量很小，因此本次评价建议不设总量控制指标。</w:t>
      </w:r>
    </w:p>
    <w:p>
      <w:pPr>
        <w:pStyle w:val="3"/>
        <w:spacing w:before="120"/>
        <w:rPr>
          <w:rFonts w:cs="Times New Roman"/>
        </w:rPr>
      </w:pPr>
      <w:bookmarkStart w:id="696" w:name="bookmark89"/>
      <w:bookmarkEnd w:id="696"/>
      <w:bookmarkStart w:id="697" w:name="_Toc12288842"/>
      <w:bookmarkStart w:id="698" w:name="_Toc19816162"/>
      <w:bookmarkStart w:id="699" w:name="_Toc81515321"/>
      <w:r>
        <w:rPr>
          <w:rFonts w:cs="Times New Roman"/>
        </w:rPr>
        <w:t>11.5 环境现状评价结论</w:t>
      </w:r>
      <w:bookmarkEnd w:id="697"/>
      <w:bookmarkEnd w:id="698"/>
      <w:bookmarkEnd w:id="699"/>
    </w:p>
    <w:p>
      <w:pPr>
        <w:pStyle w:val="4"/>
        <w:rPr>
          <w:rFonts w:eastAsia="宋体"/>
        </w:rPr>
      </w:pPr>
      <w:bookmarkStart w:id="700" w:name="_Toc12288844"/>
      <w:bookmarkStart w:id="701" w:name="_Toc19816164"/>
      <w:r>
        <w:rPr>
          <w:rFonts w:eastAsia="宋体"/>
        </w:rPr>
        <w:t>11.5.1 环境空气</w:t>
      </w:r>
      <w:bookmarkEnd w:id="700"/>
      <w:bookmarkEnd w:id="701"/>
    </w:p>
    <w:p>
      <w:pPr>
        <w:pStyle w:val="112"/>
        <w:ind w:firstLine="480"/>
      </w:pPr>
      <w:r>
        <w:t>根据达州市</w:t>
      </w:r>
      <w:r>
        <w:rPr>
          <w:rFonts w:hint="eastAsia"/>
        </w:rPr>
        <w:t>生态环境</w:t>
      </w:r>
      <w:r>
        <w:t>局</w:t>
      </w:r>
      <w:r>
        <w:rPr>
          <w:rFonts w:hint="eastAsia"/>
        </w:rPr>
        <w:t>（</w:t>
      </w:r>
      <w:r>
        <w:t>http://sthjj.dazhou.gov.cn/</w:t>
      </w:r>
      <w:r>
        <w:rPr>
          <w:rFonts w:hint="eastAsia"/>
        </w:rPr>
        <w:t>）</w:t>
      </w:r>
      <w:r>
        <w:t>发布《</w:t>
      </w:r>
      <w:r>
        <w:rPr>
          <w:shd w:val="clear" w:color="auto" w:fill="FFFFFF"/>
        </w:rPr>
        <w:t>202</w:t>
      </w:r>
      <w:r>
        <w:rPr>
          <w:rFonts w:hint="eastAsia"/>
          <w:shd w:val="clear" w:color="auto" w:fill="FFFFFF"/>
        </w:rPr>
        <w:t>2</w:t>
      </w:r>
      <w:r>
        <w:rPr>
          <w:shd w:val="clear" w:color="auto" w:fill="FFFFFF"/>
        </w:rPr>
        <w:t>年</w:t>
      </w:r>
      <w:r>
        <w:rPr>
          <w:rFonts w:hint="eastAsia"/>
          <w:shd w:val="clear" w:color="auto" w:fill="FFFFFF"/>
        </w:rPr>
        <w:t>1~12月</w:t>
      </w:r>
      <w:r>
        <w:rPr>
          <w:shd w:val="clear" w:color="auto" w:fill="FFFFFF"/>
        </w:rPr>
        <w:t>达州市</w:t>
      </w:r>
      <w:r>
        <w:rPr>
          <w:rFonts w:hint="eastAsia"/>
          <w:shd w:val="clear" w:color="auto" w:fill="FFFFFF"/>
        </w:rPr>
        <w:t>各县（市、区）环境空气质量月报</w:t>
      </w:r>
      <w:r>
        <w:t>》，项目所在区</w:t>
      </w:r>
      <w:r>
        <w:rPr>
          <w:szCs w:val="24"/>
        </w:rPr>
        <w:t>SO</w:t>
      </w:r>
      <w:r>
        <w:rPr>
          <w:szCs w:val="24"/>
          <w:vertAlign w:val="subscript"/>
        </w:rPr>
        <w:t>2</w:t>
      </w:r>
      <w:r>
        <w:rPr>
          <w:szCs w:val="24"/>
        </w:rPr>
        <w:t>、NO</w:t>
      </w:r>
      <w:r>
        <w:rPr>
          <w:szCs w:val="24"/>
          <w:vertAlign w:val="subscript"/>
        </w:rPr>
        <w:t>2</w:t>
      </w:r>
      <w:r>
        <w:rPr>
          <w:szCs w:val="24"/>
        </w:rPr>
        <w:t>、PM</w:t>
      </w:r>
      <w:r>
        <w:rPr>
          <w:szCs w:val="24"/>
          <w:vertAlign w:val="subscript"/>
        </w:rPr>
        <w:t>10</w:t>
      </w:r>
      <w:r>
        <w:rPr>
          <w:szCs w:val="24"/>
        </w:rPr>
        <w:t>、CO、O</w:t>
      </w:r>
      <w:r>
        <w:rPr>
          <w:szCs w:val="24"/>
          <w:vertAlign w:val="subscript"/>
        </w:rPr>
        <w:t>3</w:t>
      </w:r>
      <w:r>
        <w:t>、</w:t>
      </w:r>
      <w:r>
        <w:rPr>
          <w:szCs w:val="24"/>
        </w:rPr>
        <w:t>PM</w:t>
      </w:r>
      <w:r>
        <w:rPr>
          <w:szCs w:val="24"/>
          <w:vertAlign w:val="subscript"/>
        </w:rPr>
        <w:t>2.5</w:t>
      </w:r>
      <w:r>
        <w:t>均达标，项目所在区为达标区。</w:t>
      </w:r>
      <w:r>
        <w:rPr>
          <w:rFonts w:hint="eastAsia"/>
          <w:lang w:val="zh-TW"/>
        </w:rPr>
        <w:t>项目所在地</w:t>
      </w:r>
      <w:r>
        <w:rPr>
          <w:lang w:val="zh-TW"/>
        </w:rPr>
        <w:t>环境空气中特征污染物硫化氢现状监测值</w:t>
      </w:r>
      <w:r>
        <w:rPr>
          <w:rFonts w:hint="eastAsia"/>
          <w:lang w:val="zh-TW"/>
        </w:rPr>
        <w:t>满足</w:t>
      </w:r>
      <w:r>
        <w:rPr>
          <w:lang w:val="zh-TW"/>
        </w:rPr>
        <w:t>《环境影响评价技术导则大气环境》（HJ2.2-2018）中附录D标准限值</w:t>
      </w:r>
      <w:r>
        <w:rPr>
          <w:rFonts w:hint="eastAsia"/>
          <w:lang w:val="zh-TW"/>
        </w:rPr>
        <w:t>；</w:t>
      </w:r>
      <w:r>
        <w:rPr>
          <w:rFonts w:hint="eastAsia"/>
        </w:rPr>
        <w:t>非甲烷总烃满足《大气污染物综合排放标准详解》浓度限值</w:t>
      </w:r>
      <w:r>
        <w:rPr>
          <w:lang w:val="zh-TW"/>
        </w:rPr>
        <w:t>。</w:t>
      </w:r>
    </w:p>
    <w:p>
      <w:pPr>
        <w:pStyle w:val="4"/>
        <w:rPr>
          <w:rFonts w:eastAsia="宋体"/>
        </w:rPr>
      </w:pPr>
      <w:bookmarkStart w:id="702" w:name="_Toc19816165"/>
      <w:bookmarkStart w:id="703" w:name="_Toc12288845"/>
      <w:r>
        <w:rPr>
          <w:rFonts w:eastAsia="宋体"/>
        </w:rPr>
        <w:t>11.5.2 地表水环境</w:t>
      </w:r>
      <w:bookmarkEnd w:id="702"/>
      <w:bookmarkEnd w:id="703"/>
    </w:p>
    <w:p>
      <w:pPr>
        <w:pStyle w:val="112"/>
        <w:ind w:firstLine="480"/>
      </w:pPr>
      <w:r>
        <w:rPr>
          <w:rFonts w:hint="eastAsia"/>
        </w:rPr>
        <w:t>根据《2022年1~12月月达州市地表水水质月报》（</w:t>
      </w:r>
      <w:r>
        <w:t>http://sthjj.dazhou.gov.cn/</w:t>
      </w:r>
      <w:r>
        <w:rPr>
          <w:rFonts w:hint="eastAsia"/>
        </w:rPr>
        <w:t>），后河漩坑坝断面和渠江白兔乡断面水质均符合《地表水环境质量标准》（GB3838-2002）中Ⅲ类水质标准限值要求</w:t>
      </w:r>
      <w:r>
        <w:t>，区域地表水环境质量较好。</w:t>
      </w:r>
    </w:p>
    <w:p>
      <w:pPr>
        <w:pStyle w:val="4"/>
        <w:rPr>
          <w:rFonts w:eastAsia="宋体"/>
        </w:rPr>
      </w:pPr>
      <w:bookmarkStart w:id="704" w:name="_Toc12288846"/>
      <w:bookmarkStart w:id="705" w:name="_Toc19816166"/>
      <w:r>
        <w:rPr>
          <w:rFonts w:eastAsia="宋体"/>
        </w:rPr>
        <w:t>11.5.3 地下水环境</w:t>
      </w:r>
      <w:bookmarkEnd w:id="704"/>
      <w:bookmarkEnd w:id="705"/>
    </w:p>
    <w:p>
      <w:pPr>
        <w:pStyle w:val="112"/>
        <w:ind w:firstLine="480"/>
      </w:pPr>
      <w:r>
        <w:t>根据地下水监测统计结果可知，项目</w:t>
      </w:r>
      <w:r>
        <w:rPr>
          <w:rFonts w:hint="eastAsia"/>
        </w:rPr>
        <w:t>所在地</w:t>
      </w:r>
      <w:r>
        <w:t>地下水监测点各监测因子标准指数均小于1，满足《地下水质量标准》（GB/T14848-93）Ⅲ类标准要求，石油类满足《地表水环境质量标准》（GB3838-2002）Ⅲ类标准要求。</w:t>
      </w:r>
    </w:p>
    <w:p>
      <w:pPr>
        <w:pStyle w:val="4"/>
        <w:rPr>
          <w:rFonts w:eastAsia="宋体"/>
        </w:rPr>
      </w:pPr>
      <w:bookmarkStart w:id="706" w:name="_Toc12288847"/>
      <w:bookmarkStart w:id="707" w:name="_Toc19816167"/>
      <w:r>
        <w:rPr>
          <w:rFonts w:eastAsia="宋体"/>
        </w:rPr>
        <w:t>11.5.4 声环境</w:t>
      </w:r>
      <w:bookmarkEnd w:id="706"/>
      <w:bookmarkEnd w:id="707"/>
    </w:p>
    <w:p>
      <w:pPr>
        <w:pStyle w:val="112"/>
        <w:ind w:firstLine="480"/>
      </w:pPr>
      <w:r>
        <w:t>根据</w:t>
      </w:r>
      <w:r>
        <w:rPr>
          <w:rFonts w:hint="eastAsia"/>
        </w:rPr>
        <w:t>声环境</w:t>
      </w:r>
      <w:r>
        <w:t>监测结果可知，本项目</w:t>
      </w:r>
      <w:r>
        <w:rPr>
          <w:rFonts w:hint="eastAsia"/>
        </w:rPr>
        <w:t>所在的</w:t>
      </w:r>
      <w:r>
        <w:t>昼间和夜间声环境质量现状值均满足《声环境质量标准》（GB3096-2008）中2类环境噪声限值要求。</w:t>
      </w:r>
    </w:p>
    <w:p>
      <w:pPr>
        <w:pStyle w:val="4"/>
        <w:rPr>
          <w:rFonts w:eastAsia="宋体"/>
        </w:rPr>
      </w:pPr>
      <w:r>
        <w:rPr>
          <w:rFonts w:eastAsia="宋体"/>
        </w:rPr>
        <w:t>11.5.</w:t>
      </w:r>
      <w:r>
        <w:rPr>
          <w:rFonts w:hint="eastAsia" w:eastAsia="宋体"/>
        </w:rPr>
        <w:t>5</w:t>
      </w:r>
      <w:r>
        <w:rPr>
          <w:rFonts w:eastAsia="宋体"/>
        </w:rPr>
        <w:t xml:space="preserve"> </w:t>
      </w:r>
      <w:r>
        <w:rPr>
          <w:rFonts w:hint="eastAsia" w:eastAsia="宋体"/>
        </w:rPr>
        <w:t>土壤</w:t>
      </w:r>
      <w:r>
        <w:rPr>
          <w:rFonts w:eastAsia="宋体"/>
        </w:rPr>
        <w:t>环境</w:t>
      </w:r>
    </w:p>
    <w:p>
      <w:pPr>
        <w:pStyle w:val="112"/>
        <w:ind w:firstLine="480"/>
      </w:pPr>
      <w:r>
        <w:t>根据监测结果可知，</w:t>
      </w:r>
      <w:r>
        <w:rPr>
          <w:rFonts w:hint="eastAsia"/>
        </w:rPr>
        <w:t>项目</w:t>
      </w:r>
      <w:r>
        <w:t>站场</w:t>
      </w:r>
      <w:r>
        <w:rPr>
          <w:rFonts w:hint="eastAsia"/>
        </w:rPr>
        <w:t>内土壤中各项监测指标均符合《土壤环境质量 建设用地土壤污染风险管控标准（试行）》（GB 36600-2018）中风险筛选值；</w:t>
      </w:r>
      <w:r>
        <w:t>站场周边耕地土壤环境质量良好，各因子均满足《土壤环境质量 农用地土壤污染风险管控标准（试行）》（GB-15618-2018）中农用地土壤污染风险筛选值。土壤环境质量良好。</w:t>
      </w:r>
    </w:p>
    <w:p>
      <w:pPr>
        <w:pStyle w:val="3"/>
        <w:spacing w:before="120"/>
        <w:rPr>
          <w:rFonts w:cs="Times New Roman"/>
        </w:rPr>
      </w:pPr>
      <w:bookmarkStart w:id="708" w:name="bookmark37"/>
      <w:bookmarkEnd w:id="708"/>
      <w:bookmarkStart w:id="709" w:name="bookmark90"/>
      <w:bookmarkEnd w:id="709"/>
      <w:bookmarkStart w:id="710" w:name="_Toc12288848"/>
      <w:bookmarkStart w:id="711" w:name="_Toc19816168"/>
      <w:bookmarkStart w:id="712" w:name="_Toc81515322"/>
      <w:r>
        <w:rPr>
          <w:rFonts w:cs="Times New Roman"/>
        </w:rPr>
        <w:t>11.6 环境影响评价结论</w:t>
      </w:r>
      <w:bookmarkEnd w:id="710"/>
      <w:bookmarkEnd w:id="711"/>
      <w:bookmarkEnd w:id="712"/>
    </w:p>
    <w:p>
      <w:pPr>
        <w:pStyle w:val="4"/>
        <w:rPr>
          <w:rFonts w:eastAsia="宋体"/>
        </w:rPr>
      </w:pPr>
      <w:bookmarkStart w:id="713" w:name="_Toc19816169"/>
      <w:bookmarkStart w:id="714" w:name="_Toc12288849"/>
      <w:r>
        <w:rPr>
          <w:rFonts w:eastAsia="宋体"/>
        </w:rPr>
        <w:t>11.6.1 环境空气</w:t>
      </w:r>
      <w:bookmarkEnd w:id="713"/>
      <w:bookmarkEnd w:id="714"/>
    </w:p>
    <w:p>
      <w:pPr>
        <w:pStyle w:val="112"/>
        <w:ind w:firstLine="480"/>
      </w:pPr>
      <w:bookmarkStart w:id="715" w:name="_Hlk82897008"/>
      <w:r>
        <w:t>施工期地面开挖、回填、土石堆放和运输车辆行驶产生的扬尘（粉尘）、及施工机械、运输车辆排放的烟气、焊接</w:t>
      </w:r>
      <w:r>
        <w:rPr>
          <w:rFonts w:hint="eastAsia"/>
        </w:rPr>
        <w:t>烟尘、气体钻粉尘、测试放喷废气</w:t>
      </w:r>
      <w:r>
        <w:t>以及放空废气将对大气环境产生轻微、暂时的影响。</w:t>
      </w:r>
    </w:p>
    <w:p>
      <w:pPr>
        <w:pStyle w:val="112"/>
        <w:ind w:firstLine="480"/>
      </w:pPr>
      <w:r>
        <w:t>项目正常生产时，天然气处于完全密闭系统内，输气管道在正常生产时无废气产生和排放。</w:t>
      </w:r>
      <w:r>
        <w:rPr>
          <w:rFonts w:hint="eastAsia"/>
        </w:rPr>
        <w:t>普陆4集气平台</w:t>
      </w:r>
      <w:r>
        <w:t>正常工况下仅有水套炉废气产生，该水套炉所使用的天然气来源于净化厂净化后的天然气（不含硫），其主要污染物为NO</w:t>
      </w:r>
      <w:r>
        <w:rPr>
          <w:sz w:val="16"/>
          <w:szCs w:val="16"/>
        </w:rPr>
        <w:t>X</w:t>
      </w:r>
      <w:r>
        <w:t>，对周围大气环境影响较小。</w:t>
      </w:r>
    </w:p>
    <w:p>
      <w:pPr>
        <w:pStyle w:val="4"/>
        <w:rPr>
          <w:rFonts w:eastAsia="宋体"/>
        </w:rPr>
      </w:pPr>
      <w:bookmarkStart w:id="716" w:name="_Toc19816170"/>
      <w:bookmarkStart w:id="717" w:name="_Toc12288850"/>
      <w:r>
        <w:rPr>
          <w:rFonts w:eastAsia="宋体"/>
        </w:rPr>
        <w:t>11.6.2 地表水环境</w:t>
      </w:r>
      <w:bookmarkEnd w:id="716"/>
      <w:bookmarkEnd w:id="717"/>
    </w:p>
    <w:p>
      <w:pPr>
        <w:pStyle w:val="112"/>
        <w:ind w:firstLine="480"/>
      </w:pPr>
      <w:r>
        <w:t>施工期：施工期管线施工人员生活污水依托租用附近居民房收集处理，井场</w:t>
      </w:r>
      <w:r>
        <w:rPr>
          <w:rFonts w:hint="eastAsia"/>
        </w:rPr>
        <w:t>、钻井</w:t>
      </w:r>
      <w:r>
        <w:t>施工</w:t>
      </w:r>
      <w:r>
        <w:rPr>
          <w:rFonts w:hint="eastAsia"/>
          <w:lang w:eastAsia="zh-CN"/>
        </w:rPr>
        <w:t>如厕</w:t>
      </w:r>
      <w:r>
        <w:t>生活污水</w:t>
      </w:r>
      <w:r>
        <w:rPr>
          <w:rFonts w:hint="eastAsia"/>
        </w:rPr>
        <w:t>经生态</w:t>
      </w:r>
      <w:r>
        <w:t>环保厕所收集后，用作周边农肥，不外排</w:t>
      </w:r>
      <w:r>
        <w:rPr>
          <w:rFonts w:hint="eastAsia"/>
        </w:rPr>
        <w:t>，员工洗澡、食堂废水经单独收集后拉运至黄金镇场镇污水处理厂处理</w:t>
      </w:r>
      <w:r>
        <w:t>；清管试压废水经沉淀后</w:t>
      </w:r>
      <w:r>
        <w:rPr>
          <w:rFonts w:hint="eastAsia"/>
        </w:rPr>
        <w:t>回用，不外排</w:t>
      </w:r>
      <w:r>
        <w:t>。对周边地表水环境影响较小</w:t>
      </w:r>
      <w:r>
        <w:rPr>
          <w:rFonts w:hint="eastAsia"/>
        </w:rPr>
        <w:t>；</w:t>
      </w:r>
      <w:r>
        <w:t>初期雨水</w:t>
      </w:r>
      <w:r>
        <w:rPr>
          <w:rFonts w:hint="eastAsia"/>
        </w:rPr>
        <w:t>经清洁化操作平台</w:t>
      </w:r>
      <w:r>
        <w:t>处理达到毛开1井回注标准后回注</w:t>
      </w:r>
      <w:r>
        <w:rPr>
          <w:rFonts w:hint="eastAsia"/>
        </w:rPr>
        <w:t>；钻井废水经清洁化操作平台</w:t>
      </w:r>
      <w:r>
        <w:t>预处理后达到毛开1井回注标准后，拉运至毛开1井回注</w:t>
      </w:r>
      <w:r>
        <w:rPr>
          <w:rFonts w:hint="eastAsia"/>
        </w:rPr>
        <w:t>；</w:t>
      </w:r>
      <w:r>
        <w:rPr>
          <w:spacing w:val="-8"/>
          <w:szCs w:val="21"/>
        </w:rPr>
        <w:t>压裂废水和洗井废水</w:t>
      </w:r>
      <w:r>
        <w:rPr>
          <w:rFonts w:hint="eastAsia"/>
          <w:spacing w:val="-8"/>
          <w:szCs w:val="21"/>
        </w:rPr>
        <w:t>暂存于现有污水池</w:t>
      </w:r>
      <w:r>
        <w:rPr>
          <w:spacing w:val="-8"/>
          <w:szCs w:val="21"/>
        </w:rPr>
        <w:t>，并及时装车拉运至大湾403污水站处理达标后管输至毛开1井回注站回注</w:t>
      </w:r>
      <w:r>
        <w:t>。</w:t>
      </w:r>
    </w:p>
    <w:p>
      <w:pPr>
        <w:pStyle w:val="112"/>
        <w:ind w:firstLine="480"/>
      </w:pPr>
      <w:r>
        <w:t>运营期：本项目运营期产生的气田水</w:t>
      </w:r>
      <w:r>
        <w:rPr>
          <w:rFonts w:hint="eastAsia"/>
        </w:rPr>
        <w:t>暂存于污水缓冲罐</w:t>
      </w:r>
      <w:r>
        <w:t>，然后通过密闭罐车拉运至大湾403污水站处理达到《气田水回注方法》（SY/T 6596</w:t>
      </w:r>
      <w:r>
        <w:rPr>
          <w:rFonts w:hint="eastAsia"/>
        </w:rPr>
        <w:t>-</w:t>
      </w:r>
      <w:r>
        <w:t>2016）中注入水基本要求后管输至毛开1井回注站回注处理，不外排</w:t>
      </w:r>
      <w:r>
        <w:rPr>
          <w:rFonts w:hint="eastAsia"/>
        </w:rPr>
        <w:t>；值守</w:t>
      </w:r>
      <w:r>
        <w:t>人员生活</w:t>
      </w:r>
      <w:r>
        <w:rPr>
          <w:rFonts w:hint="eastAsia"/>
        </w:rPr>
        <w:t>污水经</w:t>
      </w:r>
      <w:r>
        <w:t>生态环保厕所收集后，用作周边农肥，不外排。</w:t>
      </w:r>
    </w:p>
    <w:p>
      <w:pPr>
        <w:pStyle w:val="4"/>
        <w:rPr>
          <w:rFonts w:eastAsia="宋体"/>
        </w:rPr>
      </w:pPr>
      <w:bookmarkStart w:id="718" w:name="_Toc19816171"/>
      <w:bookmarkStart w:id="719" w:name="_Toc12288851"/>
      <w:r>
        <w:rPr>
          <w:rFonts w:eastAsia="宋体"/>
        </w:rPr>
        <w:t>11.6.3 地下水环境</w:t>
      </w:r>
      <w:bookmarkEnd w:id="718"/>
      <w:bookmarkEnd w:id="719"/>
    </w:p>
    <w:p>
      <w:pPr>
        <w:pStyle w:val="112"/>
        <w:ind w:firstLine="480"/>
      </w:pPr>
      <w:r>
        <w:t>施工期：本工程集气管线施工时开挖地表深度不超过1m，主要以砂土、粘土和碎块石为主，不涉及地下水。</w:t>
      </w:r>
      <w:r>
        <w:rPr>
          <w:rFonts w:hint="eastAsia"/>
        </w:rPr>
        <w:t>钻井施工期，对柴油储罐、凝析油储罐、污水缓冲罐</w:t>
      </w:r>
      <w:r>
        <w:t>和</w:t>
      </w:r>
      <w:r>
        <w:rPr>
          <w:rFonts w:hint="eastAsia"/>
        </w:rPr>
        <w:t>放喷</w:t>
      </w:r>
      <w:r>
        <w:t>池的防渗处理，渗透系数≤10</w:t>
      </w:r>
      <w:r>
        <w:rPr>
          <w:vertAlign w:val="superscript"/>
        </w:rPr>
        <w:t>-7</w:t>
      </w:r>
      <w:r>
        <w:t>cm/s，</w:t>
      </w:r>
      <w:r>
        <w:rPr>
          <w:rFonts w:hint="eastAsia"/>
        </w:rPr>
        <w:t>柴油储罐、凝析油储罐、污水缓冲罐</w:t>
      </w:r>
      <w:r>
        <w:t>设置围堰，及时收集处理事故废水，杜绝事故废水流入周边环境。因此，本工程施工期不会对区域地下水环境造成影响。</w:t>
      </w:r>
    </w:p>
    <w:p>
      <w:pPr>
        <w:pStyle w:val="112"/>
        <w:ind w:firstLine="480"/>
      </w:pPr>
      <w:r>
        <w:t>营运期：井站采取相应防渗措施后，确保不对周边地下水造成污染。集输过程中，加强各项措施落实情况的监督和管理，防止造成地下水水质污染。项目运营期间不会对区域地下水环境造成影响。</w:t>
      </w:r>
    </w:p>
    <w:p>
      <w:pPr>
        <w:pStyle w:val="4"/>
        <w:rPr>
          <w:rFonts w:eastAsia="宋体"/>
        </w:rPr>
      </w:pPr>
      <w:bookmarkStart w:id="720" w:name="_Toc19816172"/>
      <w:bookmarkStart w:id="721" w:name="_Toc12288852"/>
      <w:r>
        <w:rPr>
          <w:rFonts w:eastAsia="宋体"/>
        </w:rPr>
        <w:t>11.6.4 声环境</w:t>
      </w:r>
      <w:bookmarkEnd w:id="720"/>
      <w:bookmarkEnd w:id="721"/>
    </w:p>
    <w:p>
      <w:pPr>
        <w:pStyle w:val="112"/>
        <w:ind w:firstLine="480"/>
      </w:pPr>
      <w:r>
        <w:t>施工期：施工噪声对周边环境的影响有一定影响，但时间较短，影响可接受。</w:t>
      </w:r>
    </w:p>
    <w:p>
      <w:pPr>
        <w:pStyle w:val="112"/>
        <w:ind w:firstLine="480"/>
      </w:pPr>
      <w:r>
        <w:t>营运期：工程完工后井站内噪声源经基础减振和距离衰减后，各场界噪声均满足噪声《工业企业厂界环境噪声排放标准》</w:t>
      </w:r>
      <w:r>
        <w:rPr>
          <w:rFonts w:hint="eastAsia"/>
        </w:rPr>
        <w:t>（</w:t>
      </w:r>
      <w:r>
        <w:t>GB12348-2008</w:t>
      </w:r>
      <w:r>
        <w:rPr>
          <w:rFonts w:hint="eastAsia"/>
        </w:rPr>
        <w:t>）</w:t>
      </w:r>
      <w:r>
        <w:t>中2类标准限值要求，</w:t>
      </w:r>
      <w:r>
        <w:rPr>
          <w:rFonts w:hint="eastAsia"/>
        </w:rPr>
        <w:t>放空时及时疏散附近居民，</w:t>
      </w:r>
      <w:r>
        <w:t>对环境影响较小。</w:t>
      </w:r>
    </w:p>
    <w:p>
      <w:pPr>
        <w:pStyle w:val="4"/>
        <w:rPr>
          <w:rFonts w:eastAsia="宋体"/>
        </w:rPr>
      </w:pPr>
      <w:bookmarkStart w:id="722" w:name="_Toc19816173"/>
      <w:bookmarkStart w:id="723" w:name="_Toc12288853"/>
      <w:r>
        <w:rPr>
          <w:rFonts w:eastAsia="宋体"/>
        </w:rPr>
        <w:t>11.6.5 固体废物</w:t>
      </w:r>
      <w:bookmarkEnd w:id="722"/>
      <w:bookmarkEnd w:id="723"/>
    </w:p>
    <w:p>
      <w:pPr>
        <w:pStyle w:val="6"/>
        <w:ind w:firstLine="480"/>
        <w:rPr>
          <w:rFonts w:ascii="Times New Roman" w:cs="Times New Roman"/>
        </w:rPr>
      </w:pPr>
      <w:r>
        <w:rPr>
          <w:rFonts w:ascii="Times New Roman" w:cs="Times New Roman"/>
        </w:rPr>
        <w:t>施工期：施工人员生活垃圾交由环卫部门处理；</w:t>
      </w:r>
      <w:r>
        <w:rPr>
          <w:rFonts w:hint="eastAsia" w:ascii="Times New Roman" w:cs="Times New Roman"/>
        </w:rPr>
        <w:t>管沟开挖</w:t>
      </w:r>
      <w:r>
        <w:rPr>
          <w:rFonts w:ascii="Times New Roman" w:cs="Times New Roman"/>
        </w:rPr>
        <w:t>全部回填，无弃方产生，施工废料部分回收利用，剩余废料依托当地环卫部门处置</w:t>
      </w:r>
      <w:r>
        <w:rPr>
          <w:rFonts w:hint="eastAsia" w:ascii="Times New Roman" w:cs="Times New Roman"/>
        </w:rPr>
        <w:t>，</w:t>
      </w:r>
      <w:r>
        <w:rPr>
          <w:rFonts w:ascii="Times New Roman" w:cs="Times New Roman"/>
        </w:rPr>
        <w:t>本项目采取清洁化操作平台，</w:t>
      </w:r>
      <w:r>
        <w:rPr>
          <w:rFonts w:ascii="Times New Roman" w:cs="Times New Roman"/>
          <w:bCs/>
        </w:rPr>
        <w:t>并采取泥浆不落地措施</w:t>
      </w:r>
      <w:r>
        <w:rPr>
          <w:rFonts w:ascii="Times New Roman" w:cs="Times New Roman"/>
        </w:rPr>
        <w:t>，</w:t>
      </w:r>
      <w:r>
        <w:rPr>
          <w:rFonts w:hint="eastAsia" w:ascii="Times New Roman" w:cs="Times New Roman"/>
        </w:rPr>
        <w:t>废水基泥浆、水基岩屑</w:t>
      </w:r>
      <w:r>
        <w:rPr>
          <w:rFonts w:ascii="Times New Roman" w:cs="Times New Roman"/>
        </w:rPr>
        <w:t>按照《达州市生态环境局办公室关于</w:t>
      </w:r>
      <w:r>
        <w:rPr>
          <w:rFonts w:hint="eastAsia" w:ascii="Times New Roman" w:cs="Times New Roman"/>
        </w:rPr>
        <w:t>进一步</w:t>
      </w:r>
      <w:r>
        <w:rPr>
          <w:rFonts w:ascii="Times New Roman" w:cs="Times New Roman"/>
        </w:rPr>
        <w:t>加强固体废物污染防治工作的通知》（达市环办发〔20</w:t>
      </w:r>
      <w:r>
        <w:rPr>
          <w:rFonts w:hint="eastAsia" w:ascii="Times New Roman" w:cs="Times New Roman"/>
        </w:rPr>
        <w:t>21</w:t>
      </w:r>
      <w:r>
        <w:rPr>
          <w:rFonts w:ascii="Times New Roman" w:cs="Times New Roman"/>
        </w:rPr>
        <w:t>〕</w:t>
      </w:r>
      <w:r>
        <w:rPr>
          <w:rFonts w:hint="eastAsia" w:ascii="Times New Roman" w:cs="Times New Roman"/>
        </w:rPr>
        <w:t>24</w:t>
      </w:r>
      <w:r>
        <w:rPr>
          <w:rFonts w:ascii="Times New Roman" w:cs="Times New Roman"/>
        </w:rPr>
        <w:t>号）要求，就近交给依法取得生态环境部门关于利用和处置相关工业固体废物项目环评批复、具有处理处置相应固体废物能力并配套建设有废气、废水、固废等污染物治理设施的单位</w:t>
      </w:r>
      <w:r>
        <w:rPr>
          <w:rFonts w:hint="eastAsia" w:ascii="Times New Roman" w:cs="Times New Roman"/>
        </w:rPr>
        <w:t>进行资源化利用；废油基泥浆、油基岩屑、废油</w:t>
      </w:r>
      <w:r>
        <w:rPr>
          <w:rFonts w:ascii="Times New Roman" w:cs="Times New Roman"/>
        </w:rPr>
        <w:t>委托有资质单位进行处理。</w:t>
      </w:r>
    </w:p>
    <w:p>
      <w:pPr>
        <w:pStyle w:val="112"/>
        <w:ind w:firstLine="480"/>
      </w:pPr>
      <w:r>
        <w:t>营运期：清管废渣、检修废渣主要为机械杂质等，</w:t>
      </w:r>
      <w:r>
        <w:rPr>
          <w:color w:val="FF0000"/>
        </w:rPr>
        <w:t>其主要成分为氧化铁粉末</w:t>
      </w:r>
      <w:r>
        <w:rPr>
          <w:rFonts w:hint="eastAsia"/>
          <w:color w:val="FF0000"/>
        </w:rPr>
        <w:t>（含凝析油）</w:t>
      </w:r>
      <w:r>
        <w:rPr>
          <w:color w:val="FF0000"/>
        </w:rPr>
        <w:t>，属</w:t>
      </w:r>
      <w:r>
        <w:rPr>
          <w:rFonts w:hint="eastAsia"/>
          <w:color w:val="FF0000"/>
        </w:rPr>
        <w:t>危险</w:t>
      </w:r>
      <w:r>
        <w:rPr>
          <w:color w:val="FF0000"/>
        </w:rPr>
        <w:t>废物，集中收集后交</w:t>
      </w:r>
      <w:r>
        <w:rPr>
          <w:rFonts w:hint="eastAsia"/>
          <w:color w:val="FF0000"/>
        </w:rPr>
        <w:t>有资质</w:t>
      </w:r>
      <w:r>
        <w:rPr>
          <w:color w:val="FF0000"/>
        </w:rPr>
        <w:t>单位集中处置</w:t>
      </w:r>
      <w:r>
        <w:rPr>
          <w:rFonts w:hint="eastAsia"/>
        </w:rPr>
        <w:t>；凝析油作为副产品外售</w:t>
      </w:r>
      <w:r>
        <w:t>；</w:t>
      </w:r>
      <w:r>
        <w:rPr>
          <w:rFonts w:hint="eastAsia"/>
        </w:rPr>
        <w:t>普陆4集气平台</w:t>
      </w:r>
      <w:r>
        <w:t>工作人员生活垃圾用垃圾桶收集，委托当地环卫部门清运处置。</w:t>
      </w:r>
    </w:p>
    <w:p>
      <w:pPr>
        <w:pStyle w:val="4"/>
        <w:rPr>
          <w:rFonts w:eastAsia="宋体"/>
        </w:rPr>
      </w:pPr>
      <w:bookmarkStart w:id="724" w:name="_Toc19816174"/>
      <w:bookmarkStart w:id="725" w:name="_Toc12288854"/>
      <w:r>
        <w:rPr>
          <w:rFonts w:eastAsia="宋体"/>
        </w:rPr>
        <w:t>11.6.6 生态环境</w:t>
      </w:r>
      <w:bookmarkEnd w:id="724"/>
      <w:bookmarkEnd w:id="725"/>
    </w:p>
    <w:p>
      <w:pPr>
        <w:pStyle w:val="112"/>
        <w:ind w:firstLine="480"/>
      </w:pPr>
      <w:r>
        <w:t>施工期对环境的影响主要表现为输气管道开挖和站场永久占地对土壤、植被、水土流失等的影响。工程的建设将改变了项目区部分土地的利用性质。造成生物量的减少；管道施工开挖土方引起土壤结构、土壤紧实度、土壤养分变化，同时，防腐材料和施工废弃物也会对土壤的理化性质产生影响。管线评价范围内无珍稀野生动物分布，也没有涉及野生动物的通道、栖息地等敏感场所。永久占地不涉及永久基本农田，不会对农业生态系统有明显影响。工程建成后不会对整个评价区的生态完整性产生影响，生物多样性的影响也很小，属可接受范围；工程的建设不会造成物种缺失，不会影响生物</w:t>
      </w:r>
      <w:r>
        <w:rPr>
          <w:rFonts w:hint="eastAsia"/>
          <w:lang w:eastAsia="zh-CN"/>
        </w:rPr>
        <w:t>迁徙</w:t>
      </w:r>
      <w:r>
        <w:t>和物质能量流，也无须预留通道。该项目涉及的生态系统的结构和功能没有受到影响，在干扰之后可以较好的恢复，没有显著的生态问题。</w:t>
      </w:r>
    </w:p>
    <w:bookmarkEnd w:id="715"/>
    <w:p>
      <w:pPr>
        <w:pStyle w:val="3"/>
        <w:spacing w:before="120"/>
        <w:rPr>
          <w:rFonts w:cs="Times New Roman"/>
        </w:rPr>
      </w:pPr>
      <w:bookmarkStart w:id="726" w:name="bookmark91"/>
      <w:bookmarkEnd w:id="726"/>
      <w:bookmarkStart w:id="727" w:name="_Toc12288856"/>
      <w:bookmarkStart w:id="728" w:name="_Toc19816176"/>
      <w:bookmarkStart w:id="729" w:name="_Toc81515323"/>
      <w:r>
        <w:rPr>
          <w:rFonts w:cs="Times New Roman"/>
        </w:rPr>
        <w:t>11.7 环保措施及经济技术论证</w:t>
      </w:r>
      <w:bookmarkEnd w:id="727"/>
      <w:bookmarkEnd w:id="728"/>
      <w:bookmarkEnd w:id="729"/>
    </w:p>
    <w:p>
      <w:pPr>
        <w:pStyle w:val="6"/>
        <w:ind w:firstLine="480"/>
        <w:rPr>
          <w:rFonts w:ascii="Times New Roman" w:cs="Times New Roman"/>
        </w:rPr>
      </w:pPr>
      <w:r>
        <w:rPr>
          <w:rFonts w:ascii="Times New Roman" w:cs="Times New Roman"/>
        </w:rPr>
        <w:t>在本报告书的第8章就本项目的生态、大气、地表水、声环境、固体废物等几个方面对本工程拟采用的环保措施进行了分析，分析认为工程拟采用的各项环保措施能够满足环境保护的要求，经济技术可行。本项目环保投资</w:t>
      </w:r>
      <w:r>
        <w:rPr>
          <w:rFonts w:hint="eastAsia" w:ascii="Times New Roman" w:cs="Times New Roman"/>
        </w:rPr>
        <w:t>45</w:t>
      </w:r>
      <w:r>
        <w:rPr>
          <w:rFonts w:ascii="Times New Roman" w:cs="Times New Roman"/>
        </w:rPr>
        <w:t>0万元，占项目总投资的</w:t>
      </w:r>
      <w:r>
        <w:rPr>
          <w:rFonts w:hint="eastAsia" w:ascii="Times New Roman" w:cs="Times New Roman"/>
        </w:rPr>
        <w:t>5.8</w:t>
      </w:r>
      <w:r>
        <w:rPr>
          <w:rFonts w:ascii="Times New Roman" w:cs="Times New Roman"/>
        </w:rPr>
        <w:t>%。</w:t>
      </w:r>
    </w:p>
    <w:p>
      <w:pPr>
        <w:pStyle w:val="3"/>
        <w:spacing w:before="120"/>
        <w:rPr>
          <w:rFonts w:cs="Times New Roman"/>
        </w:rPr>
      </w:pPr>
      <w:bookmarkStart w:id="730" w:name="bookmark92"/>
      <w:bookmarkEnd w:id="730"/>
      <w:bookmarkStart w:id="731" w:name="_Toc19816177"/>
      <w:bookmarkStart w:id="732" w:name="_Toc12288857"/>
      <w:bookmarkStart w:id="733" w:name="_Toc81515324"/>
      <w:r>
        <w:rPr>
          <w:rFonts w:cs="Times New Roman"/>
        </w:rPr>
        <w:t>11.8 环境风险</w:t>
      </w:r>
      <w:bookmarkEnd w:id="731"/>
      <w:bookmarkEnd w:id="732"/>
      <w:r>
        <w:rPr>
          <w:rFonts w:cs="Times New Roman"/>
        </w:rPr>
        <w:t>评价结论</w:t>
      </w:r>
      <w:bookmarkEnd w:id="733"/>
    </w:p>
    <w:p>
      <w:pPr>
        <w:pStyle w:val="6"/>
        <w:ind w:firstLine="480"/>
        <w:rPr>
          <w:rFonts w:ascii="Times New Roman" w:cs="Times New Roman"/>
        </w:rPr>
      </w:pPr>
      <w:r>
        <w:rPr>
          <w:rFonts w:ascii="Times New Roman" w:cs="Times New Roman"/>
        </w:rPr>
        <w:t>本工程通过采取报告中提出的各项环境风险防范措施，其发生事故的概率较低，在落实应急预案后，能将事故危害降至最低。因此，从环境风险的角度分析，本项目的风险水平是可以接受的。</w:t>
      </w:r>
    </w:p>
    <w:p>
      <w:pPr>
        <w:pStyle w:val="3"/>
        <w:spacing w:before="120"/>
        <w:rPr>
          <w:rFonts w:cs="Times New Roman"/>
        </w:rPr>
      </w:pPr>
      <w:bookmarkStart w:id="734" w:name="bookmark93"/>
      <w:bookmarkEnd w:id="734"/>
      <w:bookmarkStart w:id="735" w:name="_Toc12288858"/>
      <w:bookmarkStart w:id="736" w:name="_Toc19816178"/>
      <w:bookmarkStart w:id="737" w:name="_Toc81515325"/>
      <w:r>
        <w:rPr>
          <w:rFonts w:cs="Times New Roman"/>
        </w:rPr>
        <w:t>11.9 选线、选址的环境可行性</w:t>
      </w:r>
      <w:bookmarkEnd w:id="735"/>
      <w:bookmarkEnd w:id="736"/>
      <w:bookmarkEnd w:id="737"/>
    </w:p>
    <w:p>
      <w:pPr>
        <w:pStyle w:val="112"/>
        <w:ind w:firstLine="480"/>
      </w:pPr>
      <w:r>
        <w:t>本项目的选址、选线符合国家的相关法律法规，符合国家的产业政策和相关规划，本工程管道沿线交通发达，评价区域内不涉及风景名胜和文物古迹，拟建管道沿线200m带宽范围内未发现不良地质构造。项目建成后所在区域的环境功能不会发生大的改变，对环境敏感目标的影响属可接受的范围。因此，本项目的选址、选线从环保角度认为可行。</w:t>
      </w:r>
    </w:p>
    <w:p>
      <w:pPr>
        <w:pStyle w:val="3"/>
        <w:spacing w:before="120"/>
        <w:rPr>
          <w:rFonts w:cs="Times New Roman"/>
        </w:rPr>
      </w:pPr>
      <w:bookmarkStart w:id="738" w:name="bookmark94"/>
      <w:bookmarkEnd w:id="738"/>
      <w:bookmarkStart w:id="739" w:name="_Toc12288859"/>
      <w:bookmarkStart w:id="740" w:name="_Toc19816179"/>
      <w:bookmarkStart w:id="741" w:name="_Toc81515326"/>
      <w:r>
        <w:rPr>
          <w:rFonts w:cs="Times New Roman"/>
        </w:rPr>
        <w:t>11.10 环境影响经济损益分析</w:t>
      </w:r>
      <w:bookmarkEnd w:id="739"/>
      <w:bookmarkEnd w:id="740"/>
      <w:bookmarkEnd w:id="741"/>
    </w:p>
    <w:p>
      <w:pPr>
        <w:pStyle w:val="112"/>
        <w:ind w:firstLine="480"/>
      </w:pPr>
      <w:r>
        <w:t>工程实施后，从长远角度考虑，本项目的建设有利于环境质量改善，区域长久稳定、安全的发展。对于工程在施工期产生的各类污染物及对生态环境的影响采取了相应的环境保护措施，减轻工程建设所带来的不利影响。由此可见，本工程实施后所带来的环境经济效益，比工程在施工中所造成的直接环境经济损失要大的多。因此，本工程实施后，产生的环境经济效益是显著的，项目建设符合社会效益、经济效益和环境效益统一的原则。</w:t>
      </w:r>
    </w:p>
    <w:p>
      <w:pPr>
        <w:pStyle w:val="3"/>
        <w:spacing w:before="120"/>
        <w:rPr>
          <w:rFonts w:cs="Times New Roman"/>
        </w:rPr>
      </w:pPr>
      <w:bookmarkStart w:id="742" w:name="bookmark95"/>
      <w:bookmarkEnd w:id="742"/>
      <w:bookmarkStart w:id="743" w:name="_Toc12288860"/>
      <w:bookmarkStart w:id="744" w:name="_Toc19816180"/>
      <w:bookmarkStart w:id="745" w:name="_Toc81515327"/>
      <w:r>
        <w:rPr>
          <w:rFonts w:cs="Times New Roman"/>
        </w:rPr>
        <w:t>11.11 公众参与调查</w:t>
      </w:r>
      <w:bookmarkEnd w:id="743"/>
      <w:bookmarkEnd w:id="744"/>
      <w:bookmarkEnd w:id="745"/>
    </w:p>
    <w:p>
      <w:pPr>
        <w:pStyle w:val="6"/>
        <w:ind w:firstLine="480"/>
        <w:rPr>
          <w:rFonts w:ascii="Times New Roman" w:cs="Times New Roman"/>
        </w:rPr>
      </w:pPr>
      <w:r>
        <w:rPr>
          <w:rFonts w:ascii="Times New Roman" w:cs="Times New Roman"/>
        </w:rPr>
        <w:t>建设单位根据《环境影响评价公众参与办法》（生态环境部令部令 第4号）要求</w:t>
      </w:r>
      <w:r>
        <w:rPr>
          <w:rFonts w:hint="eastAsia" w:ascii="Times New Roman" w:cs="Times New Roman"/>
        </w:rPr>
        <w:t>对本</w:t>
      </w:r>
      <w:r>
        <w:rPr>
          <w:rFonts w:ascii="Times New Roman" w:cs="Times New Roman"/>
        </w:rPr>
        <w:t>项目进行了</w:t>
      </w:r>
      <w:r>
        <w:rPr>
          <w:rFonts w:hint="eastAsia" w:ascii="Times New Roman" w:cs="Times New Roman"/>
        </w:rPr>
        <w:t>三次公示（包含网络</w:t>
      </w:r>
      <w:r>
        <w:rPr>
          <w:rFonts w:ascii="Times New Roman" w:cs="Times New Roman"/>
        </w:rPr>
        <w:t>公示</w:t>
      </w:r>
      <w:r>
        <w:rPr>
          <w:rFonts w:hint="eastAsia" w:ascii="Times New Roman" w:cs="Times New Roman"/>
        </w:rPr>
        <w:t>、登报和现场公示、报批前公示等）</w:t>
      </w:r>
      <w:r>
        <w:rPr>
          <w:rFonts w:ascii="Times New Roman" w:cs="Times New Roman"/>
        </w:rPr>
        <w:t>，</w:t>
      </w:r>
      <w:r>
        <w:rPr>
          <w:rFonts w:hint="eastAsia" w:ascii="Times New Roman" w:cs="Times New Roman"/>
        </w:rPr>
        <w:t>三次</w:t>
      </w:r>
      <w:r>
        <w:rPr>
          <w:rFonts w:ascii="Times New Roman" w:cs="Times New Roman"/>
        </w:rPr>
        <w:t>公示期间，建设单位及评价单位未收到来自公众、企业、单位反馈的针对</w:t>
      </w:r>
      <w:r>
        <w:rPr>
          <w:rFonts w:hint="eastAsia" w:ascii="Times New Roman" w:cs="Times New Roman"/>
        </w:rPr>
        <w:t>本</w:t>
      </w:r>
      <w:r>
        <w:rPr>
          <w:rFonts w:ascii="Times New Roman" w:cs="Times New Roman"/>
        </w:rPr>
        <w:t>项目环境保护方面的意见信息，无人致电建设单位及评价单位、无人反馈公众意见表，没有公众、企业、单位反对</w:t>
      </w:r>
      <w:r>
        <w:rPr>
          <w:rFonts w:hint="eastAsia" w:ascii="Times New Roman" w:cs="Times New Roman"/>
        </w:rPr>
        <w:t>本</w:t>
      </w:r>
      <w:r>
        <w:rPr>
          <w:rFonts w:ascii="Times New Roman" w:cs="Times New Roman"/>
        </w:rPr>
        <w:t>项目的建设。</w:t>
      </w:r>
    </w:p>
    <w:p>
      <w:pPr>
        <w:pStyle w:val="6"/>
        <w:ind w:firstLine="480"/>
        <w:rPr>
          <w:rFonts w:ascii="Times New Roman" w:cs="Times New Roman"/>
        </w:rPr>
      </w:pPr>
      <w:r>
        <w:rPr>
          <w:rFonts w:ascii="Times New Roman" w:cs="Times New Roman"/>
        </w:rPr>
        <w:t>总体而言，只要建设单位切实采取环评提出的污染防治措施，可以最大程度</w:t>
      </w:r>
      <w:r>
        <w:rPr>
          <w:rFonts w:hint="eastAsia" w:ascii="Times New Roman" w:cs="Times New Roman"/>
          <w:lang w:eastAsia="zh-CN"/>
        </w:rPr>
        <w:t>地</w:t>
      </w:r>
      <w:r>
        <w:rPr>
          <w:rFonts w:ascii="Times New Roman" w:cs="Times New Roman"/>
        </w:rPr>
        <w:t>减轻项目建设所带来的环境污染，公众参与工作程序合法、工作过程透明有效、调查结果真实可靠。建设单位已将环境影响报告书编制过程中公众参与的相关原始资料存档备查</w:t>
      </w:r>
      <w:r>
        <w:rPr>
          <w:rFonts w:hint="eastAsia" w:ascii="Times New Roman" w:cs="Times New Roman"/>
        </w:rPr>
        <w:t>。</w:t>
      </w:r>
    </w:p>
    <w:p>
      <w:pPr>
        <w:pStyle w:val="3"/>
        <w:spacing w:before="120"/>
        <w:rPr>
          <w:rFonts w:cs="Times New Roman"/>
        </w:rPr>
      </w:pPr>
      <w:bookmarkStart w:id="746" w:name="bookmark96"/>
      <w:bookmarkEnd w:id="746"/>
      <w:bookmarkStart w:id="747" w:name="_Toc12288861"/>
      <w:bookmarkStart w:id="748" w:name="_Toc19816181"/>
      <w:bookmarkStart w:id="749" w:name="_Toc81515328"/>
      <w:r>
        <w:rPr>
          <w:rFonts w:cs="Times New Roman"/>
        </w:rPr>
        <w:t>11.12 评价结论</w:t>
      </w:r>
      <w:bookmarkEnd w:id="747"/>
      <w:bookmarkEnd w:id="748"/>
      <w:bookmarkEnd w:id="749"/>
    </w:p>
    <w:p>
      <w:pPr>
        <w:pStyle w:val="6"/>
        <w:ind w:firstLine="480"/>
        <w:rPr>
          <w:rFonts w:ascii="Times New Roman" w:cs="Times New Roman"/>
        </w:rPr>
      </w:pPr>
      <w:r>
        <w:rPr>
          <w:rFonts w:ascii="Times New Roman" w:cs="Times New Roman"/>
        </w:rPr>
        <w:t>中国石油化工股份有限公司中原油田普光分公司建设的普光气田普陆4-1H井产能建设项目，符合国家产业政策，符合当地规划要求。项目贯彻了</w:t>
      </w:r>
      <w:r>
        <w:rPr>
          <w:rFonts w:hint="eastAsia" w:ascii="Times New Roman" w:cs="Times New Roman"/>
        </w:rPr>
        <w:t>“</w:t>
      </w:r>
      <w:r>
        <w:rPr>
          <w:rFonts w:ascii="Times New Roman" w:cs="Times New Roman"/>
        </w:rPr>
        <w:t>清洁生产、总量控制、达标排放</w:t>
      </w:r>
      <w:r>
        <w:rPr>
          <w:rFonts w:hint="eastAsia" w:ascii="Times New Roman" w:cs="Times New Roman"/>
        </w:rPr>
        <w:t>”</w:t>
      </w:r>
      <w:r>
        <w:rPr>
          <w:rFonts w:ascii="Times New Roman" w:cs="Times New Roman"/>
        </w:rPr>
        <w:t>原则；采取的生态保护和恢复措施可行，污染治理措施经济技术可行；风险防范措施可靠。在施工期和营运期，只要认真落实本报告提出的各项污染防治、生态恢复、水土保持措施，风险防范措施，并建立突发事故应急预案后，对环境的影响能降到最低，环境风险属可接受水平。</w:t>
      </w:r>
    </w:p>
    <w:p>
      <w:pPr>
        <w:pStyle w:val="6"/>
        <w:ind w:firstLine="480"/>
        <w:rPr>
          <w:rFonts w:ascii="Times New Roman" w:cs="Times New Roman"/>
        </w:rPr>
      </w:pPr>
      <w:r>
        <w:rPr>
          <w:rFonts w:ascii="Times New Roman" w:cs="Times New Roman"/>
        </w:rPr>
        <w:t>因此，从环境保护角度论证，在落实报告书中提出的各项污染防治和风险防范措施的前提下，本项目在该地建设是可行的。</w:t>
      </w:r>
    </w:p>
    <w:p>
      <w:pPr>
        <w:pStyle w:val="3"/>
        <w:spacing w:before="120"/>
        <w:rPr>
          <w:rFonts w:cs="Times New Roman"/>
        </w:rPr>
      </w:pPr>
      <w:bookmarkStart w:id="750" w:name="bookmark97"/>
      <w:bookmarkEnd w:id="750"/>
      <w:bookmarkStart w:id="751" w:name="_Toc12288862"/>
      <w:bookmarkStart w:id="752" w:name="_Toc19816182"/>
      <w:bookmarkStart w:id="753" w:name="_Toc81515329"/>
      <w:r>
        <w:rPr>
          <w:rFonts w:cs="Times New Roman"/>
        </w:rPr>
        <w:t>11.13 建议</w:t>
      </w:r>
      <w:bookmarkEnd w:id="751"/>
      <w:bookmarkEnd w:id="752"/>
      <w:bookmarkEnd w:id="753"/>
    </w:p>
    <w:p>
      <w:pPr>
        <w:pStyle w:val="6"/>
        <w:ind w:firstLine="480"/>
        <w:rPr>
          <w:rFonts w:ascii="Times New Roman" w:cs="Times New Roman"/>
        </w:rPr>
      </w:pPr>
      <w:r>
        <w:rPr>
          <w:rFonts w:ascii="Times New Roman" w:cs="Times New Roman"/>
        </w:rPr>
        <w:t>1、加强施工队伍的管理，严格控制施工作业带，减少对沿线生态环境的影响，施工结束后应及时进行生态恢复。</w:t>
      </w:r>
    </w:p>
    <w:p>
      <w:pPr>
        <w:pStyle w:val="6"/>
        <w:ind w:firstLine="480"/>
        <w:rPr>
          <w:rFonts w:ascii="Times New Roman" w:cs="Times New Roman"/>
        </w:rPr>
      </w:pPr>
      <w:r>
        <w:rPr>
          <w:rFonts w:ascii="Times New Roman" w:cs="Times New Roman"/>
        </w:rPr>
        <w:t>2、</w:t>
      </w:r>
      <w:r>
        <w:rPr>
          <w:rFonts w:hint="eastAsia" w:ascii="Times New Roman" w:cs="Times New Roman"/>
        </w:rPr>
        <w:t>加强钻井施工过程中的环境管理，确保污染物达标排放</w:t>
      </w:r>
      <w:r>
        <w:rPr>
          <w:rFonts w:ascii="Times New Roman" w:cs="Times New Roman"/>
        </w:rPr>
        <w:t>。</w:t>
      </w:r>
    </w:p>
    <w:p>
      <w:pPr>
        <w:pStyle w:val="6"/>
        <w:ind w:firstLine="480"/>
        <w:rPr>
          <w:rFonts w:ascii="Times New Roman" w:cs="Times New Roman"/>
        </w:rPr>
      </w:pPr>
      <w:r>
        <w:rPr>
          <w:rFonts w:hint="eastAsia" w:ascii="Times New Roman" w:cs="Times New Roman"/>
        </w:rPr>
        <w:t>3</w:t>
      </w:r>
      <w:r>
        <w:rPr>
          <w:rFonts w:ascii="Times New Roman" w:cs="Times New Roman"/>
        </w:rPr>
        <w:t>、建设单位应随时与当地规划部门保持联系，确保管道安全。</w:t>
      </w:r>
    </w:p>
    <w:p>
      <w:pPr>
        <w:pStyle w:val="6"/>
        <w:ind w:firstLine="480"/>
        <w:rPr>
          <w:rFonts w:ascii="Times New Roman" w:cs="Times New Roman"/>
        </w:rPr>
      </w:pPr>
      <w:r>
        <w:rPr>
          <w:rFonts w:hint="eastAsia" w:ascii="Times New Roman" w:cs="Times New Roman"/>
        </w:rPr>
        <w:t>4</w:t>
      </w:r>
      <w:r>
        <w:rPr>
          <w:rFonts w:ascii="Times New Roman" w:cs="Times New Roman"/>
        </w:rPr>
        <w:t>、建议建设单位对周边居民大力宣传管道保护法律、法规，使沿线群众熟悉和了解管道保护的意义和方法。重点宣传《中华人民共和国石油天然气管道保护法》。</w:t>
      </w:r>
    </w:p>
    <w:p>
      <w:pPr>
        <w:pStyle w:val="6"/>
        <w:ind w:firstLine="480"/>
        <w:rPr>
          <w:rFonts w:ascii="Times New Roman" w:cs="Times New Roman"/>
        </w:rPr>
      </w:pPr>
      <w:r>
        <w:rPr>
          <w:rFonts w:hint="eastAsia" w:ascii="Times New Roman" w:cs="Times New Roman"/>
        </w:rPr>
        <w:t>5</w:t>
      </w:r>
      <w:r>
        <w:rPr>
          <w:rFonts w:ascii="Times New Roman" w:cs="Times New Roman"/>
        </w:rPr>
        <w:t>、建议加强外部联系，积极与地方环保部门和安全部门紧密结合，避免第三方对管道的破坏，保障管道运行安全，并以地方医疗、消防、社会保障系统为依托，建立健全应急保障系统。</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Arial Unicode MS">
    <w:panose1 w:val="020B0604020202020204"/>
    <w:charset w:val="86"/>
    <w:family w:val="swiss"/>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Arial Narrow">
    <w:panose1 w:val="020B0606020202030204"/>
    <w:charset w:val="00"/>
    <w:family w:val="swiss"/>
    <w:pitch w:val="default"/>
    <w:sig w:usb0="00000287" w:usb1="00000800" w:usb2="00000000" w:usb3="00000000" w:csb0="2000009F" w:csb1="DFD7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TimesNewRomanPSMT">
    <w:altName w:val="Times New Roman"/>
    <w:panose1 w:val="00000000000000000000"/>
    <w:charset w:val="00"/>
    <w:family w:val="auto"/>
    <w:pitch w:val="default"/>
    <w:sig w:usb0="00000000" w:usb1="00000000" w:usb2="00000010" w:usb3="00000000" w:csb0="00060001"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S Gothic">
    <w:panose1 w:val="020B0609070205080204"/>
    <w:charset w:val="80"/>
    <w:family w:val="modern"/>
    <w:pitch w:val="default"/>
    <w:sig w:usb0="E00002FF" w:usb1="6AC7FDFB" w:usb2="00000012" w:usb3="00000000" w:csb0="4002009F" w:csb1="DFD70000"/>
  </w:font>
  <w:font w:name="等线">
    <w:altName w:val="Arial Unicode MS"/>
    <w:panose1 w:val="02010600030101010101"/>
    <w:charset w:val="86"/>
    <w:family w:val="auto"/>
    <w:pitch w:val="default"/>
    <w:sig w:usb0="00000000" w:usb1="00000000" w:usb2="00000016" w:usb3="00000000" w:csb0="0004000F" w:csb1="00000000"/>
  </w:font>
  <w:font w:name="Cambria Math">
    <w:panose1 w:val="02040503050406030204"/>
    <w:charset w:val="00"/>
    <w:family w:val="roman"/>
    <w:pitch w:val="default"/>
    <w:sig w:usb0="E00002FF" w:usb1="420024FF" w:usb2="00000000" w:usb3="00000000" w:csb0="2000019F" w:csb1="00000000"/>
  </w:font>
  <w:font w:name="MS Mincho">
    <w:panose1 w:val="020206090402050803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Fonts w:ascii="Times New Roman" w:cs="Times New Roman"/>
      </w:rPr>
    </w:pPr>
    <w:r>
      <w:rPr>
        <w:rFonts w:ascii="Times New Roman" w:cs="Times New Roman"/>
      </w:rPr>
      <w:fldChar w:fldCharType="begin"/>
    </w:r>
    <w:r>
      <w:rPr>
        <w:rFonts w:ascii="Times New Roman" w:cs="Times New Roman"/>
      </w:rPr>
      <w:instrText xml:space="preserve">PAGE   \* MERGEFORMAT</w:instrText>
    </w:r>
    <w:r>
      <w:rPr>
        <w:rFonts w:ascii="Times New Roman" w:cs="Times New Roman"/>
      </w:rPr>
      <w:fldChar w:fldCharType="separate"/>
    </w:r>
    <w:r>
      <w:rPr>
        <w:rFonts w:ascii="Times New Roman" w:cs="Times New Roman"/>
        <w:lang w:val="zh-CN"/>
      </w:rPr>
      <w:t>103</w:t>
    </w:r>
    <w:r>
      <w:rPr>
        <w:rFonts w:ascii="Times New Roman" w:cs="Times New Roman"/>
      </w:rPr>
      <w:fldChar w:fldCharType="end"/>
    </w:r>
  </w:p>
  <w:p>
    <w:pPr>
      <w:pStyle w:val="35"/>
      <w:ind w:left="2400"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Fonts w:ascii="Times New Roman" w:cs="Times New Roman"/>
      </w:rPr>
    </w:pPr>
    <w:r>
      <w:rPr>
        <w:rFonts w:ascii="Times New Roman" w:cs="Times New Roman"/>
      </w:rPr>
      <w:fldChar w:fldCharType="begin"/>
    </w:r>
    <w:r>
      <w:rPr>
        <w:rFonts w:ascii="Times New Roman" w:cs="Times New Roman"/>
      </w:rPr>
      <w:instrText xml:space="preserve">PAGE   \* MERGEFORMAT</w:instrText>
    </w:r>
    <w:r>
      <w:rPr>
        <w:rFonts w:ascii="Times New Roman" w:cs="Times New Roman"/>
      </w:rPr>
      <w:fldChar w:fldCharType="separate"/>
    </w:r>
    <w:r>
      <w:rPr>
        <w:rFonts w:ascii="Times New Roman" w:cs="Times New Roman"/>
        <w:lang w:val="zh-CN"/>
      </w:rPr>
      <w:t>229</w:t>
    </w:r>
    <w:r>
      <w:rPr>
        <w:rFonts w:ascii="Times New Roman" w:cs="Times New Roman"/>
      </w:rPr>
      <w:fldChar w:fldCharType="end"/>
    </w:r>
  </w:p>
  <w:p>
    <w:pPr>
      <w:pStyle w:val="35"/>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Fonts w:ascii="Times New Roman" w:cs="Times New Roman"/>
      </w:rPr>
    </w:pPr>
    <w:r>
      <w:rPr>
        <w:rFonts w:ascii="Times New Roman" w:cs="Times New Roman"/>
      </w:rPr>
      <w:fldChar w:fldCharType="begin"/>
    </w:r>
    <w:r>
      <w:rPr>
        <w:rFonts w:ascii="Times New Roman" w:cs="Times New Roman"/>
      </w:rPr>
      <w:instrText xml:space="preserve">PAGE   \* MERGEFORMAT</w:instrText>
    </w:r>
    <w:r>
      <w:rPr>
        <w:rFonts w:ascii="Times New Roman" w:cs="Times New Roman"/>
      </w:rPr>
      <w:fldChar w:fldCharType="separate"/>
    </w:r>
    <w:r>
      <w:rPr>
        <w:rFonts w:ascii="Times New Roman" w:cs="Times New Roman"/>
        <w:lang w:val="zh-CN"/>
      </w:rPr>
      <w:t>282</w:t>
    </w:r>
    <w:r>
      <w:rPr>
        <w:rFonts w:ascii="Times New Roman" w:cs="Times New Roman"/>
      </w:rPr>
      <w:fldChar w:fldCharType="end"/>
    </w:r>
  </w:p>
  <w:p>
    <w:pPr>
      <w:pStyle w:val="35"/>
      <w:ind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Fonts w:ascii="Times New Roman" w:cs="Times New Roman"/>
      </w:rPr>
    </w:pPr>
    <w:r>
      <w:rPr>
        <w:rFonts w:ascii="Times New Roman" w:cs="Times New Roman"/>
      </w:rPr>
      <w:fldChar w:fldCharType="begin"/>
    </w:r>
    <w:r>
      <w:rPr>
        <w:rFonts w:ascii="Times New Roman" w:cs="Times New Roman"/>
      </w:rPr>
      <w:instrText xml:space="preserve">PAGE   \* MERGEFORMAT</w:instrText>
    </w:r>
    <w:r>
      <w:rPr>
        <w:rFonts w:ascii="Times New Roman" w:cs="Times New Roman"/>
      </w:rPr>
      <w:fldChar w:fldCharType="separate"/>
    </w:r>
    <w:r>
      <w:rPr>
        <w:rFonts w:ascii="Times New Roman" w:cs="Times New Roman"/>
        <w:lang w:val="zh-CN"/>
      </w:rPr>
      <w:t>305</w:t>
    </w:r>
    <w:r>
      <w:rPr>
        <w:rFonts w:ascii="Times New Roman" w:cs="Times New Roman"/>
      </w:rPr>
      <w:fldChar w:fldCharType="end"/>
    </w:r>
  </w:p>
  <w:p>
    <w:pPr>
      <w:pStyle w:val="35"/>
      <w:ind w:firstLine="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Fonts w:ascii="Times New Roman" w:cs="Times New Roman"/>
      </w:rPr>
    </w:pPr>
    <w:r>
      <w:rPr>
        <w:rFonts w:ascii="Times New Roman" w:cs="Times New Roman"/>
      </w:rPr>
      <w:fldChar w:fldCharType="begin"/>
    </w:r>
    <w:r>
      <w:rPr>
        <w:rFonts w:ascii="Times New Roman" w:cs="Times New Roman"/>
      </w:rPr>
      <w:instrText xml:space="preserve">PAGE   \* MERGEFORMAT</w:instrText>
    </w:r>
    <w:r>
      <w:rPr>
        <w:rFonts w:ascii="Times New Roman" w:cs="Times New Roman"/>
      </w:rPr>
      <w:fldChar w:fldCharType="separate"/>
    </w:r>
    <w:r>
      <w:rPr>
        <w:rFonts w:ascii="Times New Roman" w:cs="Times New Roman"/>
        <w:lang w:val="zh-CN"/>
      </w:rPr>
      <w:t>1</w:t>
    </w:r>
    <w:r>
      <w:rPr>
        <w:rFonts w:ascii="Times New Roman" w:cs="Times New Roman"/>
      </w:rPr>
      <w:fldChar w:fldCharType="end"/>
    </w:r>
  </w:p>
  <w:p>
    <w:pPr>
      <w:pStyle w:val="3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left="482"/>
      <w:rPr>
        <w:rFonts w:ascii="Times New Roman" w:cs="Times New Roman"/>
      </w:rPr>
    </w:pPr>
    <w:r>
      <w:rPr>
        <w:rFonts w:ascii="Times New Roman" w:cs="Times New Roman"/>
      </w:rPr>
      <w:fldChar w:fldCharType="begin"/>
    </w:r>
    <w:r>
      <w:rPr>
        <w:rFonts w:ascii="Times New Roman" w:cs="Times New Roman"/>
      </w:rPr>
      <w:instrText xml:space="preserve">PAGE   \* MERGEFORMAT</w:instrText>
    </w:r>
    <w:r>
      <w:rPr>
        <w:rFonts w:ascii="Times New Roman" w:cs="Times New Roman"/>
      </w:rPr>
      <w:fldChar w:fldCharType="separate"/>
    </w:r>
    <w:r>
      <w:rPr>
        <w:rFonts w:ascii="Times New Roman" w:cs="Times New Roman"/>
      </w:rPr>
      <w:t>74</w:t>
    </w:r>
    <w:r>
      <w:rPr>
        <w:rFonts w:ascii="Times New Roman" w:cs="Times New Roma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ind w:left="1440" w:firstLine="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2"/>
      <w:ind w:firstLine="42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ind w:firstLine="3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36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36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2"/>
      <w:ind w:firstLine="42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3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ind w:firstLine="0" w:firstLineChars="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E19F8B"/>
    <w:multiLevelType w:val="singleLevel"/>
    <w:tmpl w:val="83E19F8B"/>
    <w:lvl w:ilvl="0" w:tentative="0">
      <w:start w:val="4"/>
      <w:numFmt w:val="decimal"/>
      <w:suff w:val="nothing"/>
      <w:lvlText w:val="（%1）"/>
      <w:lvlJc w:val="left"/>
    </w:lvl>
  </w:abstractNum>
  <w:abstractNum w:abstractNumId="1">
    <w:nsid w:val="71B21497"/>
    <w:multiLevelType w:val="multilevel"/>
    <w:tmpl w:val="71B21497"/>
    <w:lvl w:ilvl="0" w:tentative="0">
      <w:start w:val="1"/>
      <w:numFmt w:val="decimal"/>
      <w:pStyle w:val="562"/>
      <w:isLgl/>
      <w:suff w:val="nothing"/>
      <w:lvlText w:val="（%1）"/>
      <w:lvlJc w:val="left"/>
      <w:pPr>
        <w:ind w:left="0" w:firstLine="476"/>
      </w:pPr>
      <w:rPr>
        <w:rFonts w:hint="eastAsia" w:ascii="宋体" w:eastAsia="宋体"/>
      </w:rPr>
    </w:lvl>
    <w:lvl w:ilvl="1" w:tentative="0">
      <w:start w:val="1"/>
      <w:numFmt w:val="decimal"/>
      <w:isLgl/>
      <w:suff w:val="nothing"/>
      <w:lvlText w:val="%2）"/>
      <w:lvlJc w:val="left"/>
      <w:pPr>
        <w:ind w:left="0" w:firstLine="476"/>
      </w:pPr>
      <w:rPr>
        <w:rFonts w:hint="eastAsia" w:ascii="宋体" w:eastAsia="宋体"/>
      </w:rPr>
    </w:lvl>
    <w:lvl w:ilvl="2" w:tentative="0">
      <w:start w:val="1"/>
      <w:numFmt w:val="decimalEnclosedCircle"/>
      <w:suff w:val="nothing"/>
      <w:lvlText w:val="%3"/>
      <w:lvlJc w:val="left"/>
      <w:pPr>
        <w:ind w:left="0" w:firstLine="476"/>
      </w:pPr>
      <w:rPr>
        <w:rFonts w:hint="eastAsia" w:ascii="宋体" w:eastAsia="宋体"/>
      </w:rPr>
    </w:lvl>
    <w:lvl w:ilvl="3" w:tentative="0">
      <w:start w:val="1"/>
      <w:numFmt w:val="lowerLetter"/>
      <w:suff w:val="nothing"/>
      <w:lvlText w:val="%4."/>
      <w:lvlJc w:val="left"/>
      <w:pPr>
        <w:ind w:left="0" w:firstLine="476"/>
      </w:pPr>
      <w:rPr>
        <w:rFonts w:hint="eastAsia" w:ascii="宋体" w:eastAsia="宋体"/>
        <w:b w:val="0"/>
      </w:rPr>
    </w:lvl>
    <w:lvl w:ilvl="4" w:tentative="0">
      <w:start w:val="1"/>
      <w:numFmt w:val="lowerLetter"/>
      <w:suff w:val="nothing"/>
      <w:lvlText w:val="%5）"/>
      <w:lvlJc w:val="left"/>
      <w:pPr>
        <w:ind w:left="1509" w:firstLine="476"/>
      </w:pPr>
      <w:rPr>
        <w:rFonts w:hint="eastAsia" w:ascii="宋体" w:eastAsia="宋体"/>
        <w:b w:val="0"/>
      </w:rPr>
    </w:lvl>
    <w:lvl w:ilvl="5" w:tentative="0">
      <w:start w:val="1"/>
      <w:numFmt w:val="upperRoman"/>
      <w:suff w:val="nothing"/>
      <w:lvlText w:val="%6"/>
      <w:lvlJc w:val="left"/>
      <w:pPr>
        <w:ind w:left="0" w:firstLine="476"/>
      </w:pPr>
      <w:rPr>
        <w:rFonts w:hint="eastAsia" w:ascii="宋体" w:eastAsia="宋体"/>
      </w:rPr>
    </w:lvl>
    <w:lvl w:ilvl="6" w:tentative="0">
      <w:start w:val="1"/>
      <w:numFmt w:val="lowerRoman"/>
      <w:suff w:val="nothing"/>
      <w:lvlText w:val="%7."/>
      <w:lvlJc w:val="left"/>
      <w:pPr>
        <w:ind w:left="0" w:firstLine="476"/>
      </w:pPr>
      <w:rPr>
        <w:rFonts w:hint="eastAsia"/>
      </w:rPr>
    </w:lvl>
    <w:lvl w:ilvl="7" w:tentative="0">
      <w:start w:val="1"/>
      <w:numFmt w:val="upperRoman"/>
      <w:suff w:val="nothing"/>
      <w:lvlText w:val="%8"/>
      <w:lvlJc w:val="left"/>
      <w:pPr>
        <w:ind w:left="0" w:firstLine="476"/>
      </w:pPr>
      <w:rPr>
        <w:rFonts w:hint="eastAsia"/>
      </w:rPr>
    </w:lvl>
    <w:lvl w:ilvl="8" w:tentative="0">
      <w:start w:val="1"/>
      <w:numFmt w:val="lowerRoman"/>
      <w:suff w:val="nothing"/>
      <w:lvlText w:val="%9"/>
      <w:lvlJc w:val="left"/>
      <w:pPr>
        <w:ind w:left="0" w:firstLine="476"/>
      </w:pPr>
      <w:rPr>
        <w:rFonts w:hint="eastAsia"/>
      </w:rPr>
    </w:lvl>
  </w:abstractNum>
  <w:abstractNum w:abstractNumId="2">
    <w:nsid w:val="7ABC514E"/>
    <w:multiLevelType w:val="multilevel"/>
    <w:tmpl w:val="7ABC514E"/>
    <w:lvl w:ilvl="0" w:tentative="0">
      <w:start w:val="1"/>
      <w:numFmt w:val="decimalEnclosedCircle"/>
      <w:pStyle w:val="261"/>
      <w:lvlText w:val="%1"/>
      <w:lvlJc w:val="left"/>
      <w:pPr>
        <w:ind w:left="840" w:hanging="360"/>
      </w:pPr>
      <w:rPr>
        <w:rFonts w:hint="default" w:ascii="宋体" w:hAnsi="宋体" w:eastAsia="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pStyle w:val="212"/>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1"/>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QyMjhkYTYyOTE5MzZkNTk3MjI4ZjVjYWI2MzM3NjkifQ=="/>
  </w:docVars>
  <w:rsids>
    <w:rsidRoot w:val="002F6860"/>
    <w:rsid w:val="00000A9D"/>
    <w:rsid w:val="00001757"/>
    <w:rsid w:val="00002647"/>
    <w:rsid w:val="000033AA"/>
    <w:rsid w:val="00003D80"/>
    <w:rsid w:val="00006097"/>
    <w:rsid w:val="00006F4A"/>
    <w:rsid w:val="00011028"/>
    <w:rsid w:val="000113A8"/>
    <w:rsid w:val="000127FE"/>
    <w:rsid w:val="0001315C"/>
    <w:rsid w:val="00016A5F"/>
    <w:rsid w:val="00017303"/>
    <w:rsid w:val="00020DA9"/>
    <w:rsid w:val="000215DE"/>
    <w:rsid w:val="000241F4"/>
    <w:rsid w:val="0002420D"/>
    <w:rsid w:val="00024BF9"/>
    <w:rsid w:val="00024CC8"/>
    <w:rsid w:val="000255B6"/>
    <w:rsid w:val="0002625A"/>
    <w:rsid w:val="00030601"/>
    <w:rsid w:val="00031D6F"/>
    <w:rsid w:val="00032123"/>
    <w:rsid w:val="000327C3"/>
    <w:rsid w:val="00032CF1"/>
    <w:rsid w:val="00033D3A"/>
    <w:rsid w:val="00034734"/>
    <w:rsid w:val="000357C8"/>
    <w:rsid w:val="00035E91"/>
    <w:rsid w:val="00036505"/>
    <w:rsid w:val="00042195"/>
    <w:rsid w:val="00043E39"/>
    <w:rsid w:val="00044303"/>
    <w:rsid w:val="00051B44"/>
    <w:rsid w:val="00052C45"/>
    <w:rsid w:val="00053203"/>
    <w:rsid w:val="00053AE5"/>
    <w:rsid w:val="00055EC3"/>
    <w:rsid w:val="00057F74"/>
    <w:rsid w:val="00062F6D"/>
    <w:rsid w:val="000637D9"/>
    <w:rsid w:val="0006480A"/>
    <w:rsid w:val="00064D98"/>
    <w:rsid w:val="00067C6D"/>
    <w:rsid w:val="00067DBE"/>
    <w:rsid w:val="0007009A"/>
    <w:rsid w:val="000713CB"/>
    <w:rsid w:val="00072471"/>
    <w:rsid w:val="00072F4D"/>
    <w:rsid w:val="00074CB2"/>
    <w:rsid w:val="00075350"/>
    <w:rsid w:val="00081032"/>
    <w:rsid w:val="00081889"/>
    <w:rsid w:val="000819D9"/>
    <w:rsid w:val="00082066"/>
    <w:rsid w:val="00082D90"/>
    <w:rsid w:val="00084015"/>
    <w:rsid w:val="000846A1"/>
    <w:rsid w:val="00084DD2"/>
    <w:rsid w:val="00084FA3"/>
    <w:rsid w:val="000851B1"/>
    <w:rsid w:val="00091F65"/>
    <w:rsid w:val="0009382D"/>
    <w:rsid w:val="00095B51"/>
    <w:rsid w:val="00096FB9"/>
    <w:rsid w:val="00097B2C"/>
    <w:rsid w:val="000A03DA"/>
    <w:rsid w:val="000A2E7B"/>
    <w:rsid w:val="000A3853"/>
    <w:rsid w:val="000A4AB5"/>
    <w:rsid w:val="000A55F2"/>
    <w:rsid w:val="000A5965"/>
    <w:rsid w:val="000A6257"/>
    <w:rsid w:val="000B193E"/>
    <w:rsid w:val="000B2F07"/>
    <w:rsid w:val="000B2F10"/>
    <w:rsid w:val="000B4BFB"/>
    <w:rsid w:val="000B68BB"/>
    <w:rsid w:val="000B7A10"/>
    <w:rsid w:val="000C0F0D"/>
    <w:rsid w:val="000C44C6"/>
    <w:rsid w:val="000C4E8D"/>
    <w:rsid w:val="000C5DAE"/>
    <w:rsid w:val="000C6323"/>
    <w:rsid w:val="000C65A8"/>
    <w:rsid w:val="000C6E05"/>
    <w:rsid w:val="000D06B4"/>
    <w:rsid w:val="000D0A68"/>
    <w:rsid w:val="000D1B44"/>
    <w:rsid w:val="000D2CA4"/>
    <w:rsid w:val="000D389E"/>
    <w:rsid w:val="000D3DA5"/>
    <w:rsid w:val="000D3DD2"/>
    <w:rsid w:val="000D4243"/>
    <w:rsid w:val="000D4303"/>
    <w:rsid w:val="000D4CF7"/>
    <w:rsid w:val="000D775D"/>
    <w:rsid w:val="000E3D17"/>
    <w:rsid w:val="000E4591"/>
    <w:rsid w:val="000E4973"/>
    <w:rsid w:val="000E5160"/>
    <w:rsid w:val="000F012A"/>
    <w:rsid w:val="000F232E"/>
    <w:rsid w:val="000F28EC"/>
    <w:rsid w:val="000F2E61"/>
    <w:rsid w:val="000F57FD"/>
    <w:rsid w:val="000F6BEF"/>
    <w:rsid w:val="000F705A"/>
    <w:rsid w:val="000F7383"/>
    <w:rsid w:val="0010055E"/>
    <w:rsid w:val="001007F2"/>
    <w:rsid w:val="001009BC"/>
    <w:rsid w:val="001011F2"/>
    <w:rsid w:val="00101FE1"/>
    <w:rsid w:val="00102095"/>
    <w:rsid w:val="00102E33"/>
    <w:rsid w:val="00104961"/>
    <w:rsid w:val="00104CE9"/>
    <w:rsid w:val="00110F02"/>
    <w:rsid w:val="0011144B"/>
    <w:rsid w:val="0011179D"/>
    <w:rsid w:val="00112504"/>
    <w:rsid w:val="00112738"/>
    <w:rsid w:val="00117C3D"/>
    <w:rsid w:val="001205FA"/>
    <w:rsid w:val="001231CF"/>
    <w:rsid w:val="00124375"/>
    <w:rsid w:val="00124F3E"/>
    <w:rsid w:val="00126822"/>
    <w:rsid w:val="00126D01"/>
    <w:rsid w:val="00127710"/>
    <w:rsid w:val="00130544"/>
    <w:rsid w:val="0013064A"/>
    <w:rsid w:val="00130EF0"/>
    <w:rsid w:val="001318DC"/>
    <w:rsid w:val="00132EE5"/>
    <w:rsid w:val="0013448D"/>
    <w:rsid w:val="001364E0"/>
    <w:rsid w:val="00137B2F"/>
    <w:rsid w:val="00143564"/>
    <w:rsid w:val="0014362B"/>
    <w:rsid w:val="00143A4D"/>
    <w:rsid w:val="0014404A"/>
    <w:rsid w:val="0014487A"/>
    <w:rsid w:val="00146A53"/>
    <w:rsid w:val="00146FCA"/>
    <w:rsid w:val="00147EAE"/>
    <w:rsid w:val="00150DB2"/>
    <w:rsid w:val="00152DD1"/>
    <w:rsid w:val="001533B5"/>
    <w:rsid w:val="001540E2"/>
    <w:rsid w:val="0015431B"/>
    <w:rsid w:val="001549F6"/>
    <w:rsid w:val="001600C0"/>
    <w:rsid w:val="00160364"/>
    <w:rsid w:val="00160BE4"/>
    <w:rsid w:val="00161567"/>
    <w:rsid w:val="00162134"/>
    <w:rsid w:val="001626C7"/>
    <w:rsid w:val="00162952"/>
    <w:rsid w:val="00163678"/>
    <w:rsid w:val="00165EAC"/>
    <w:rsid w:val="00165FC3"/>
    <w:rsid w:val="0016641A"/>
    <w:rsid w:val="00166EC3"/>
    <w:rsid w:val="00172FF3"/>
    <w:rsid w:val="00173715"/>
    <w:rsid w:val="001737E6"/>
    <w:rsid w:val="00174753"/>
    <w:rsid w:val="0017546F"/>
    <w:rsid w:val="0017585A"/>
    <w:rsid w:val="0018209F"/>
    <w:rsid w:val="001824FC"/>
    <w:rsid w:val="0018459E"/>
    <w:rsid w:val="0018583F"/>
    <w:rsid w:val="001862BD"/>
    <w:rsid w:val="00187AAF"/>
    <w:rsid w:val="00187B2E"/>
    <w:rsid w:val="0019193E"/>
    <w:rsid w:val="001921D7"/>
    <w:rsid w:val="001927D1"/>
    <w:rsid w:val="00194517"/>
    <w:rsid w:val="001947C2"/>
    <w:rsid w:val="00194AFC"/>
    <w:rsid w:val="001950D0"/>
    <w:rsid w:val="001964D5"/>
    <w:rsid w:val="00196A53"/>
    <w:rsid w:val="001A0F3A"/>
    <w:rsid w:val="001A254A"/>
    <w:rsid w:val="001A28CE"/>
    <w:rsid w:val="001A42C7"/>
    <w:rsid w:val="001A48A3"/>
    <w:rsid w:val="001A4D50"/>
    <w:rsid w:val="001A6093"/>
    <w:rsid w:val="001A683F"/>
    <w:rsid w:val="001A7776"/>
    <w:rsid w:val="001B1B3B"/>
    <w:rsid w:val="001B2E6D"/>
    <w:rsid w:val="001B2F69"/>
    <w:rsid w:val="001B32FD"/>
    <w:rsid w:val="001B6E46"/>
    <w:rsid w:val="001B764A"/>
    <w:rsid w:val="001B7678"/>
    <w:rsid w:val="001C15BE"/>
    <w:rsid w:val="001C43F5"/>
    <w:rsid w:val="001C4BC6"/>
    <w:rsid w:val="001C7921"/>
    <w:rsid w:val="001D1643"/>
    <w:rsid w:val="001D3574"/>
    <w:rsid w:val="001D3F0F"/>
    <w:rsid w:val="001D4A49"/>
    <w:rsid w:val="001D5C63"/>
    <w:rsid w:val="001D642B"/>
    <w:rsid w:val="001D7628"/>
    <w:rsid w:val="001E45AD"/>
    <w:rsid w:val="001E48DD"/>
    <w:rsid w:val="001E4C1E"/>
    <w:rsid w:val="001E7766"/>
    <w:rsid w:val="001E79D3"/>
    <w:rsid w:val="001F01B0"/>
    <w:rsid w:val="001F1370"/>
    <w:rsid w:val="001F1394"/>
    <w:rsid w:val="001F1679"/>
    <w:rsid w:val="001F4A69"/>
    <w:rsid w:val="001F5B9C"/>
    <w:rsid w:val="001F63EB"/>
    <w:rsid w:val="001F7814"/>
    <w:rsid w:val="002009DD"/>
    <w:rsid w:val="00200C3C"/>
    <w:rsid w:val="00200E4A"/>
    <w:rsid w:val="002016A1"/>
    <w:rsid w:val="00202B75"/>
    <w:rsid w:val="00202BCF"/>
    <w:rsid w:val="00203BAA"/>
    <w:rsid w:val="00203FCF"/>
    <w:rsid w:val="00205574"/>
    <w:rsid w:val="002055B5"/>
    <w:rsid w:val="002062D5"/>
    <w:rsid w:val="00206626"/>
    <w:rsid w:val="0021079D"/>
    <w:rsid w:val="00211A77"/>
    <w:rsid w:val="00213A2B"/>
    <w:rsid w:val="00214B41"/>
    <w:rsid w:val="00214E53"/>
    <w:rsid w:val="0021697D"/>
    <w:rsid w:val="002169CB"/>
    <w:rsid w:val="00216A66"/>
    <w:rsid w:val="00216A74"/>
    <w:rsid w:val="00217AE8"/>
    <w:rsid w:val="002209D1"/>
    <w:rsid w:val="00221617"/>
    <w:rsid w:val="00221E85"/>
    <w:rsid w:val="0022383C"/>
    <w:rsid w:val="00223E81"/>
    <w:rsid w:val="00224317"/>
    <w:rsid w:val="002246E4"/>
    <w:rsid w:val="00226CA6"/>
    <w:rsid w:val="00227D7D"/>
    <w:rsid w:val="00230D2D"/>
    <w:rsid w:val="00231D5B"/>
    <w:rsid w:val="0023209D"/>
    <w:rsid w:val="002330C4"/>
    <w:rsid w:val="002344CF"/>
    <w:rsid w:val="0023542E"/>
    <w:rsid w:val="00235D61"/>
    <w:rsid w:val="00240248"/>
    <w:rsid w:val="002408F4"/>
    <w:rsid w:val="002409BF"/>
    <w:rsid w:val="00240DD3"/>
    <w:rsid w:val="00241B86"/>
    <w:rsid w:val="00245667"/>
    <w:rsid w:val="00246531"/>
    <w:rsid w:val="00246ABB"/>
    <w:rsid w:val="00251CEC"/>
    <w:rsid w:val="002528C5"/>
    <w:rsid w:val="00252FD0"/>
    <w:rsid w:val="00253AF1"/>
    <w:rsid w:val="002548A4"/>
    <w:rsid w:val="002554E9"/>
    <w:rsid w:val="00256996"/>
    <w:rsid w:val="00262163"/>
    <w:rsid w:val="002622A7"/>
    <w:rsid w:val="00263096"/>
    <w:rsid w:val="002641F6"/>
    <w:rsid w:val="00264D2E"/>
    <w:rsid w:val="00265A8C"/>
    <w:rsid w:val="00265C62"/>
    <w:rsid w:val="00272065"/>
    <w:rsid w:val="00272A45"/>
    <w:rsid w:val="00272B1E"/>
    <w:rsid w:val="0027458E"/>
    <w:rsid w:val="00275035"/>
    <w:rsid w:val="00277566"/>
    <w:rsid w:val="00280A35"/>
    <w:rsid w:val="0028375E"/>
    <w:rsid w:val="00283BF3"/>
    <w:rsid w:val="00284647"/>
    <w:rsid w:val="002869D5"/>
    <w:rsid w:val="002871C9"/>
    <w:rsid w:val="00287CE3"/>
    <w:rsid w:val="0029055C"/>
    <w:rsid w:val="00290D1D"/>
    <w:rsid w:val="00292BF2"/>
    <w:rsid w:val="002941D3"/>
    <w:rsid w:val="002944C0"/>
    <w:rsid w:val="0029461C"/>
    <w:rsid w:val="002957A2"/>
    <w:rsid w:val="00295D36"/>
    <w:rsid w:val="00297479"/>
    <w:rsid w:val="002A0385"/>
    <w:rsid w:val="002A1C47"/>
    <w:rsid w:val="002A3528"/>
    <w:rsid w:val="002A4396"/>
    <w:rsid w:val="002B0BB1"/>
    <w:rsid w:val="002B0F01"/>
    <w:rsid w:val="002B1398"/>
    <w:rsid w:val="002B1712"/>
    <w:rsid w:val="002B3E0C"/>
    <w:rsid w:val="002B5579"/>
    <w:rsid w:val="002B7CAC"/>
    <w:rsid w:val="002C00AE"/>
    <w:rsid w:val="002C08DC"/>
    <w:rsid w:val="002C0965"/>
    <w:rsid w:val="002C36C4"/>
    <w:rsid w:val="002C3D53"/>
    <w:rsid w:val="002C62CA"/>
    <w:rsid w:val="002C63AC"/>
    <w:rsid w:val="002C6900"/>
    <w:rsid w:val="002C7DE6"/>
    <w:rsid w:val="002D10F1"/>
    <w:rsid w:val="002D5153"/>
    <w:rsid w:val="002D58E8"/>
    <w:rsid w:val="002D6259"/>
    <w:rsid w:val="002D730E"/>
    <w:rsid w:val="002E0D4A"/>
    <w:rsid w:val="002E1C3B"/>
    <w:rsid w:val="002E1DBF"/>
    <w:rsid w:val="002E3390"/>
    <w:rsid w:val="002E40B1"/>
    <w:rsid w:val="002E6511"/>
    <w:rsid w:val="002E691B"/>
    <w:rsid w:val="002E779E"/>
    <w:rsid w:val="002E7EEF"/>
    <w:rsid w:val="002F00DB"/>
    <w:rsid w:val="002F0C6A"/>
    <w:rsid w:val="002F2873"/>
    <w:rsid w:val="002F2C1D"/>
    <w:rsid w:val="002F5050"/>
    <w:rsid w:val="002F6860"/>
    <w:rsid w:val="002F70C4"/>
    <w:rsid w:val="002F7292"/>
    <w:rsid w:val="00300933"/>
    <w:rsid w:val="00300BA0"/>
    <w:rsid w:val="00302320"/>
    <w:rsid w:val="003030B4"/>
    <w:rsid w:val="003049FF"/>
    <w:rsid w:val="00304FD7"/>
    <w:rsid w:val="00305DB0"/>
    <w:rsid w:val="00311E26"/>
    <w:rsid w:val="00312119"/>
    <w:rsid w:val="00312435"/>
    <w:rsid w:val="00314C06"/>
    <w:rsid w:val="00314CB3"/>
    <w:rsid w:val="00315747"/>
    <w:rsid w:val="003163DE"/>
    <w:rsid w:val="003171EC"/>
    <w:rsid w:val="0031720E"/>
    <w:rsid w:val="0032084F"/>
    <w:rsid w:val="00321EEC"/>
    <w:rsid w:val="003228E0"/>
    <w:rsid w:val="003229D8"/>
    <w:rsid w:val="00323202"/>
    <w:rsid w:val="003251F0"/>
    <w:rsid w:val="00325348"/>
    <w:rsid w:val="003262CF"/>
    <w:rsid w:val="0032654A"/>
    <w:rsid w:val="00326579"/>
    <w:rsid w:val="00327691"/>
    <w:rsid w:val="00330BDA"/>
    <w:rsid w:val="00332450"/>
    <w:rsid w:val="003345B2"/>
    <w:rsid w:val="003371DA"/>
    <w:rsid w:val="00337B64"/>
    <w:rsid w:val="00344757"/>
    <w:rsid w:val="00345AF9"/>
    <w:rsid w:val="00350739"/>
    <w:rsid w:val="00351256"/>
    <w:rsid w:val="00351C0A"/>
    <w:rsid w:val="003530C3"/>
    <w:rsid w:val="003536F6"/>
    <w:rsid w:val="00353B08"/>
    <w:rsid w:val="00354D39"/>
    <w:rsid w:val="003608BC"/>
    <w:rsid w:val="0036092F"/>
    <w:rsid w:val="00362106"/>
    <w:rsid w:val="00362D50"/>
    <w:rsid w:val="003655DE"/>
    <w:rsid w:val="00365D81"/>
    <w:rsid w:val="003706B8"/>
    <w:rsid w:val="00370C33"/>
    <w:rsid w:val="00370DF5"/>
    <w:rsid w:val="0037392F"/>
    <w:rsid w:val="00377CAA"/>
    <w:rsid w:val="00380568"/>
    <w:rsid w:val="00380F96"/>
    <w:rsid w:val="00381CA3"/>
    <w:rsid w:val="00382C6A"/>
    <w:rsid w:val="00383319"/>
    <w:rsid w:val="00383D53"/>
    <w:rsid w:val="00384099"/>
    <w:rsid w:val="003857F5"/>
    <w:rsid w:val="00386B13"/>
    <w:rsid w:val="00390E60"/>
    <w:rsid w:val="003916F6"/>
    <w:rsid w:val="00392E67"/>
    <w:rsid w:val="00394F8A"/>
    <w:rsid w:val="003975B2"/>
    <w:rsid w:val="003A013C"/>
    <w:rsid w:val="003A0A1F"/>
    <w:rsid w:val="003A12C9"/>
    <w:rsid w:val="003A4E34"/>
    <w:rsid w:val="003A7AD2"/>
    <w:rsid w:val="003A7CE8"/>
    <w:rsid w:val="003B23E9"/>
    <w:rsid w:val="003B38AE"/>
    <w:rsid w:val="003B52A6"/>
    <w:rsid w:val="003B58A5"/>
    <w:rsid w:val="003B6DBD"/>
    <w:rsid w:val="003C05C7"/>
    <w:rsid w:val="003C1FBC"/>
    <w:rsid w:val="003C2664"/>
    <w:rsid w:val="003C2923"/>
    <w:rsid w:val="003C3D81"/>
    <w:rsid w:val="003C3F3A"/>
    <w:rsid w:val="003C4CAF"/>
    <w:rsid w:val="003C5A27"/>
    <w:rsid w:val="003C6AD6"/>
    <w:rsid w:val="003D1F10"/>
    <w:rsid w:val="003D21D0"/>
    <w:rsid w:val="003D3D79"/>
    <w:rsid w:val="003D3F73"/>
    <w:rsid w:val="003D6310"/>
    <w:rsid w:val="003D7C96"/>
    <w:rsid w:val="003E1BEF"/>
    <w:rsid w:val="003E2A7C"/>
    <w:rsid w:val="003E327E"/>
    <w:rsid w:val="003E3737"/>
    <w:rsid w:val="003E3DE7"/>
    <w:rsid w:val="003E4F1C"/>
    <w:rsid w:val="003E5D6B"/>
    <w:rsid w:val="003E7A8B"/>
    <w:rsid w:val="003F0C16"/>
    <w:rsid w:val="003F128D"/>
    <w:rsid w:val="003F1619"/>
    <w:rsid w:val="003F1710"/>
    <w:rsid w:val="003F5E50"/>
    <w:rsid w:val="00401740"/>
    <w:rsid w:val="00403672"/>
    <w:rsid w:val="00403916"/>
    <w:rsid w:val="004039BA"/>
    <w:rsid w:val="00403C6A"/>
    <w:rsid w:val="00403D70"/>
    <w:rsid w:val="00404320"/>
    <w:rsid w:val="00404445"/>
    <w:rsid w:val="00405131"/>
    <w:rsid w:val="00407966"/>
    <w:rsid w:val="00407A52"/>
    <w:rsid w:val="004106A3"/>
    <w:rsid w:val="0041271A"/>
    <w:rsid w:val="004127D5"/>
    <w:rsid w:val="004131A0"/>
    <w:rsid w:val="00413A18"/>
    <w:rsid w:val="00417585"/>
    <w:rsid w:val="004210B7"/>
    <w:rsid w:val="00422077"/>
    <w:rsid w:val="00422112"/>
    <w:rsid w:val="00422512"/>
    <w:rsid w:val="00423978"/>
    <w:rsid w:val="00423BD9"/>
    <w:rsid w:val="00424573"/>
    <w:rsid w:val="0042573A"/>
    <w:rsid w:val="00425FC3"/>
    <w:rsid w:val="00426806"/>
    <w:rsid w:val="0042730F"/>
    <w:rsid w:val="004302B1"/>
    <w:rsid w:val="00435B22"/>
    <w:rsid w:val="00435B66"/>
    <w:rsid w:val="0043787D"/>
    <w:rsid w:val="00442EEB"/>
    <w:rsid w:val="00443182"/>
    <w:rsid w:val="004437DE"/>
    <w:rsid w:val="00443DAA"/>
    <w:rsid w:val="0044483C"/>
    <w:rsid w:val="00445566"/>
    <w:rsid w:val="00445FD8"/>
    <w:rsid w:val="00446969"/>
    <w:rsid w:val="004470C4"/>
    <w:rsid w:val="004475B5"/>
    <w:rsid w:val="00450146"/>
    <w:rsid w:val="00450249"/>
    <w:rsid w:val="004523C7"/>
    <w:rsid w:val="00455E0D"/>
    <w:rsid w:val="00455EB1"/>
    <w:rsid w:val="00456969"/>
    <w:rsid w:val="00457BA1"/>
    <w:rsid w:val="00457C87"/>
    <w:rsid w:val="00460D1C"/>
    <w:rsid w:val="004615A1"/>
    <w:rsid w:val="004623FB"/>
    <w:rsid w:val="00462670"/>
    <w:rsid w:val="00462BE2"/>
    <w:rsid w:val="00464C05"/>
    <w:rsid w:val="00466139"/>
    <w:rsid w:val="0046627D"/>
    <w:rsid w:val="0046752E"/>
    <w:rsid w:val="0047210F"/>
    <w:rsid w:val="0047248F"/>
    <w:rsid w:val="00473CDB"/>
    <w:rsid w:val="0047504A"/>
    <w:rsid w:val="004750C5"/>
    <w:rsid w:val="00475289"/>
    <w:rsid w:val="00475E3C"/>
    <w:rsid w:val="00476617"/>
    <w:rsid w:val="004767EB"/>
    <w:rsid w:val="00481D5D"/>
    <w:rsid w:val="0048351B"/>
    <w:rsid w:val="004844A8"/>
    <w:rsid w:val="00486503"/>
    <w:rsid w:val="00486C6A"/>
    <w:rsid w:val="00486D81"/>
    <w:rsid w:val="004933A6"/>
    <w:rsid w:val="004951DA"/>
    <w:rsid w:val="00496A3F"/>
    <w:rsid w:val="00497EC8"/>
    <w:rsid w:val="004A1902"/>
    <w:rsid w:val="004A2F30"/>
    <w:rsid w:val="004A321D"/>
    <w:rsid w:val="004A32D7"/>
    <w:rsid w:val="004A40E2"/>
    <w:rsid w:val="004A6C77"/>
    <w:rsid w:val="004A6D3D"/>
    <w:rsid w:val="004A6E71"/>
    <w:rsid w:val="004B05C3"/>
    <w:rsid w:val="004B093C"/>
    <w:rsid w:val="004B0EEE"/>
    <w:rsid w:val="004B2814"/>
    <w:rsid w:val="004B2867"/>
    <w:rsid w:val="004B4690"/>
    <w:rsid w:val="004B51D7"/>
    <w:rsid w:val="004B5BDF"/>
    <w:rsid w:val="004B5C3E"/>
    <w:rsid w:val="004B6624"/>
    <w:rsid w:val="004B6B8F"/>
    <w:rsid w:val="004C003B"/>
    <w:rsid w:val="004C05C7"/>
    <w:rsid w:val="004C35E7"/>
    <w:rsid w:val="004C3F28"/>
    <w:rsid w:val="004C3F35"/>
    <w:rsid w:val="004C4396"/>
    <w:rsid w:val="004D0B22"/>
    <w:rsid w:val="004D269E"/>
    <w:rsid w:val="004D269F"/>
    <w:rsid w:val="004D3E6E"/>
    <w:rsid w:val="004D52BB"/>
    <w:rsid w:val="004D57D2"/>
    <w:rsid w:val="004D5BA4"/>
    <w:rsid w:val="004D7160"/>
    <w:rsid w:val="004E00E5"/>
    <w:rsid w:val="004E0A38"/>
    <w:rsid w:val="004E18BF"/>
    <w:rsid w:val="004E23B7"/>
    <w:rsid w:val="004E24E2"/>
    <w:rsid w:val="004E264E"/>
    <w:rsid w:val="004E33E6"/>
    <w:rsid w:val="004E5A66"/>
    <w:rsid w:val="004E75BF"/>
    <w:rsid w:val="004E7855"/>
    <w:rsid w:val="004F074B"/>
    <w:rsid w:val="00502B3B"/>
    <w:rsid w:val="00502CEA"/>
    <w:rsid w:val="0050511D"/>
    <w:rsid w:val="00505824"/>
    <w:rsid w:val="00506E88"/>
    <w:rsid w:val="00507154"/>
    <w:rsid w:val="00507B82"/>
    <w:rsid w:val="00513410"/>
    <w:rsid w:val="005143D5"/>
    <w:rsid w:val="005163AB"/>
    <w:rsid w:val="00516E62"/>
    <w:rsid w:val="005171A1"/>
    <w:rsid w:val="00517571"/>
    <w:rsid w:val="00517854"/>
    <w:rsid w:val="00520ACF"/>
    <w:rsid w:val="00521C82"/>
    <w:rsid w:val="0052323B"/>
    <w:rsid w:val="00523DC0"/>
    <w:rsid w:val="00525527"/>
    <w:rsid w:val="00527612"/>
    <w:rsid w:val="00530EE9"/>
    <w:rsid w:val="0053213F"/>
    <w:rsid w:val="00534053"/>
    <w:rsid w:val="00535171"/>
    <w:rsid w:val="00535F05"/>
    <w:rsid w:val="0053611A"/>
    <w:rsid w:val="00537157"/>
    <w:rsid w:val="00537B12"/>
    <w:rsid w:val="00537D60"/>
    <w:rsid w:val="0054593A"/>
    <w:rsid w:val="00545D57"/>
    <w:rsid w:val="005464CE"/>
    <w:rsid w:val="00546B44"/>
    <w:rsid w:val="005471F7"/>
    <w:rsid w:val="0054736B"/>
    <w:rsid w:val="00550C06"/>
    <w:rsid w:val="005511F9"/>
    <w:rsid w:val="00552471"/>
    <w:rsid w:val="00552B6B"/>
    <w:rsid w:val="0055325E"/>
    <w:rsid w:val="00554C80"/>
    <w:rsid w:val="00554E1A"/>
    <w:rsid w:val="00555540"/>
    <w:rsid w:val="005556BB"/>
    <w:rsid w:val="005556D5"/>
    <w:rsid w:val="00555FE4"/>
    <w:rsid w:val="0055650C"/>
    <w:rsid w:val="0055688D"/>
    <w:rsid w:val="005577EA"/>
    <w:rsid w:val="005608CB"/>
    <w:rsid w:val="00562990"/>
    <w:rsid w:val="005645BE"/>
    <w:rsid w:val="005649C2"/>
    <w:rsid w:val="0057018C"/>
    <w:rsid w:val="00570BE8"/>
    <w:rsid w:val="00570E54"/>
    <w:rsid w:val="00571024"/>
    <w:rsid w:val="00571DAF"/>
    <w:rsid w:val="00572AB4"/>
    <w:rsid w:val="0057322F"/>
    <w:rsid w:val="00573CD9"/>
    <w:rsid w:val="0057458D"/>
    <w:rsid w:val="00575763"/>
    <w:rsid w:val="00576767"/>
    <w:rsid w:val="00576E38"/>
    <w:rsid w:val="00580231"/>
    <w:rsid w:val="005804DA"/>
    <w:rsid w:val="00580D8D"/>
    <w:rsid w:val="00581820"/>
    <w:rsid w:val="005827E5"/>
    <w:rsid w:val="00583FE0"/>
    <w:rsid w:val="00584463"/>
    <w:rsid w:val="00586636"/>
    <w:rsid w:val="00586C59"/>
    <w:rsid w:val="00586CE5"/>
    <w:rsid w:val="0058748A"/>
    <w:rsid w:val="00591302"/>
    <w:rsid w:val="00591F34"/>
    <w:rsid w:val="005920BD"/>
    <w:rsid w:val="00594FDC"/>
    <w:rsid w:val="00595C3C"/>
    <w:rsid w:val="00596175"/>
    <w:rsid w:val="005970CE"/>
    <w:rsid w:val="005A0677"/>
    <w:rsid w:val="005A3CC0"/>
    <w:rsid w:val="005A5E79"/>
    <w:rsid w:val="005A5F05"/>
    <w:rsid w:val="005B4B8C"/>
    <w:rsid w:val="005B552D"/>
    <w:rsid w:val="005B5E45"/>
    <w:rsid w:val="005B6AEE"/>
    <w:rsid w:val="005B7B91"/>
    <w:rsid w:val="005C084D"/>
    <w:rsid w:val="005C68E3"/>
    <w:rsid w:val="005C7698"/>
    <w:rsid w:val="005C7A30"/>
    <w:rsid w:val="005D1D0B"/>
    <w:rsid w:val="005D3A58"/>
    <w:rsid w:val="005D56AE"/>
    <w:rsid w:val="005D6B63"/>
    <w:rsid w:val="005D76B7"/>
    <w:rsid w:val="005E0E91"/>
    <w:rsid w:val="005E247F"/>
    <w:rsid w:val="005E32F8"/>
    <w:rsid w:val="005E5334"/>
    <w:rsid w:val="005E5945"/>
    <w:rsid w:val="005E7131"/>
    <w:rsid w:val="005E7AC9"/>
    <w:rsid w:val="005F0550"/>
    <w:rsid w:val="005F4317"/>
    <w:rsid w:val="005F5B7A"/>
    <w:rsid w:val="005F5F1E"/>
    <w:rsid w:val="005F7AFA"/>
    <w:rsid w:val="00600287"/>
    <w:rsid w:val="0060114E"/>
    <w:rsid w:val="00602CF9"/>
    <w:rsid w:val="006030F3"/>
    <w:rsid w:val="00603C50"/>
    <w:rsid w:val="00606FFF"/>
    <w:rsid w:val="00607C67"/>
    <w:rsid w:val="00607D0A"/>
    <w:rsid w:val="00610374"/>
    <w:rsid w:val="006119E3"/>
    <w:rsid w:val="00611E22"/>
    <w:rsid w:val="00612940"/>
    <w:rsid w:val="00612EEC"/>
    <w:rsid w:val="0061485A"/>
    <w:rsid w:val="00615F4D"/>
    <w:rsid w:val="00617206"/>
    <w:rsid w:val="0061759A"/>
    <w:rsid w:val="00621607"/>
    <w:rsid w:val="006243C4"/>
    <w:rsid w:val="0062455D"/>
    <w:rsid w:val="00624EC7"/>
    <w:rsid w:val="0062500C"/>
    <w:rsid w:val="006269A7"/>
    <w:rsid w:val="00627E58"/>
    <w:rsid w:val="00630B5B"/>
    <w:rsid w:val="00630DF2"/>
    <w:rsid w:val="0063106D"/>
    <w:rsid w:val="0063141B"/>
    <w:rsid w:val="00631CEC"/>
    <w:rsid w:val="00632127"/>
    <w:rsid w:val="00633FBE"/>
    <w:rsid w:val="00633FE9"/>
    <w:rsid w:val="006352E8"/>
    <w:rsid w:val="00635315"/>
    <w:rsid w:val="00636ED8"/>
    <w:rsid w:val="0064170C"/>
    <w:rsid w:val="00644481"/>
    <w:rsid w:val="0064592E"/>
    <w:rsid w:val="00645A40"/>
    <w:rsid w:val="00646F79"/>
    <w:rsid w:val="00647CF2"/>
    <w:rsid w:val="00650AD8"/>
    <w:rsid w:val="00651A96"/>
    <w:rsid w:val="00651E9C"/>
    <w:rsid w:val="00653F09"/>
    <w:rsid w:val="00654567"/>
    <w:rsid w:val="00661B41"/>
    <w:rsid w:val="006632F7"/>
    <w:rsid w:val="00671AE7"/>
    <w:rsid w:val="006740A1"/>
    <w:rsid w:val="006757E1"/>
    <w:rsid w:val="00675807"/>
    <w:rsid w:val="006759DF"/>
    <w:rsid w:val="00676307"/>
    <w:rsid w:val="0068062C"/>
    <w:rsid w:val="006813FE"/>
    <w:rsid w:val="0068242A"/>
    <w:rsid w:val="00682A18"/>
    <w:rsid w:val="00682BFD"/>
    <w:rsid w:val="00683CB7"/>
    <w:rsid w:val="00683F02"/>
    <w:rsid w:val="0068488F"/>
    <w:rsid w:val="006854E2"/>
    <w:rsid w:val="00686381"/>
    <w:rsid w:val="006872D4"/>
    <w:rsid w:val="006877EB"/>
    <w:rsid w:val="0069000F"/>
    <w:rsid w:val="006906FC"/>
    <w:rsid w:val="006912EA"/>
    <w:rsid w:val="006943F4"/>
    <w:rsid w:val="00695DB1"/>
    <w:rsid w:val="006969C2"/>
    <w:rsid w:val="006A0815"/>
    <w:rsid w:val="006A0A66"/>
    <w:rsid w:val="006A1DCA"/>
    <w:rsid w:val="006A1E61"/>
    <w:rsid w:val="006A286A"/>
    <w:rsid w:val="006A3F08"/>
    <w:rsid w:val="006A42B3"/>
    <w:rsid w:val="006B1C6A"/>
    <w:rsid w:val="006B254A"/>
    <w:rsid w:val="006B2EB5"/>
    <w:rsid w:val="006B3974"/>
    <w:rsid w:val="006B4E48"/>
    <w:rsid w:val="006B62A9"/>
    <w:rsid w:val="006B7428"/>
    <w:rsid w:val="006B7E2C"/>
    <w:rsid w:val="006C187A"/>
    <w:rsid w:val="006C2B8D"/>
    <w:rsid w:val="006C4127"/>
    <w:rsid w:val="006C5611"/>
    <w:rsid w:val="006C6841"/>
    <w:rsid w:val="006C6B57"/>
    <w:rsid w:val="006C7E79"/>
    <w:rsid w:val="006D1C76"/>
    <w:rsid w:val="006D2FAC"/>
    <w:rsid w:val="006D62D6"/>
    <w:rsid w:val="006D63C0"/>
    <w:rsid w:val="006D7030"/>
    <w:rsid w:val="006E0EEA"/>
    <w:rsid w:val="006E0F85"/>
    <w:rsid w:val="006E12CA"/>
    <w:rsid w:val="006E3278"/>
    <w:rsid w:val="006E3512"/>
    <w:rsid w:val="006E46FC"/>
    <w:rsid w:val="006E58EC"/>
    <w:rsid w:val="006F0E40"/>
    <w:rsid w:val="006F3CAC"/>
    <w:rsid w:val="006F3D85"/>
    <w:rsid w:val="006F3ED3"/>
    <w:rsid w:val="006F4551"/>
    <w:rsid w:val="006F49C4"/>
    <w:rsid w:val="006F623C"/>
    <w:rsid w:val="006F71CC"/>
    <w:rsid w:val="00700951"/>
    <w:rsid w:val="0070151B"/>
    <w:rsid w:val="00702E84"/>
    <w:rsid w:val="00703F55"/>
    <w:rsid w:val="00706811"/>
    <w:rsid w:val="0070690F"/>
    <w:rsid w:val="0071021F"/>
    <w:rsid w:val="00710765"/>
    <w:rsid w:val="0071222C"/>
    <w:rsid w:val="00714C21"/>
    <w:rsid w:val="00715A3C"/>
    <w:rsid w:val="0071622A"/>
    <w:rsid w:val="007177C5"/>
    <w:rsid w:val="00717AC7"/>
    <w:rsid w:val="007200A5"/>
    <w:rsid w:val="007230AA"/>
    <w:rsid w:val="00725C9F"/>
    <w:rsid w:val="00726AC2"/>
    <w:rsid w:val="00726D7A"/>
    <w:rsid w:val="00727367"/>
    <w:rsid w:val="00732454"/>
    <w:rsid w:val="00732D7E"/>
    <w:rsid w:val="00732ED9"/>
    <w:rsid w:val="00732EFD"/>
    <w:rsid w:val="00732F70"/>
    <w:rsid w:val="00733363"/>
    <w:rsid w:val="00733954"/>
    <w:rsid w:val="00734744"/>
    <w:rsid w:val="0073480D"/>
    <w:rsid w:val="00736EB1"/>
    <w:rsid w:val="00741238"/>
    <w:rsid w:val="00741753"/>
    <w:rsid w:val="007422A2"/>
    <w:rsid w:val="00743803"/>
    <w:rsid w:val="007458E2"/>
    <w:rsid w:val="0074669D"/>
    <w:rsid w:val="00747A0A"/>
    <w:rsid w:val="00747ED0"/>
    <w:rsid w:val="007513AD"/>
    <w:rsid w:val="0075190E"/>
    <w:rsid w:val="00753052"/>
    <w:rsid w:val="007530E3"/>
    <w:rsid w:val="00753ED9"/>
    <w:rsid w:val="00756685"/>
    <w:rsid w:val="0075729E"/>
    <w:rsid w:val="007622AB"/>
    <w:rsid w:val="00763FC5"/>
    <w:rsid w:val="00764475"/>
    <w:rsid w:val="007658AC"/>
    <w:rsid w:val="00766EEB"/>
    <w:rsid w:val="007679D9"/>
    <w:rsid w:val="00767E5E"/>
    <w:rsid w:val="007703A6"/>
    <w:rsid w:val="00771FA6"/>
    <w:rsid w:val="00773F96"/>
    <w:rsid w:val="00775840"/>
    <w:rsid w:val="00777ABC"/>
    <w:rsid w:val="00780DA6"/>
    <w:rsid w:val="00782ADD"/>
    <w:rsid w:val="00783589"/>
    <w:rsid w:val="007835BF"/>
    <w:rsid w:val="00784348"/>
    <w:rsid w:val="007851CB"/>
    <w:rsid w:val="00791D8B"/>
    <w:rsid w:val="007921C2"/>
    <w:rsid w:val="0079284C"/>
    <w:rsid w:val="00795131"/>
    <w:rsid w:val="007952C1"/>
    <w:rsid w:val="00795D60"/>
    <w:rsid w:val="0079614C"/>
    <w:rsid w:val="007965B8"/>
    <w:rsid w:val="00796959"/>
    <w:rsid w:val="00796BE9"/>
    <w:rsid w:val="00796E71"/>
    <w:rsid w:val="00796EFD"/>
    <w:rsid w:val="00796F6E"/>
    <w:rsid w:val="007A010D"/>
    <w:rsid w:val="007A22BD"/>
    <w:rsid w:val="007A3ABD"/>
    <w:rsid w:val="007A3D54"/>
    <w:rsid w:val="007A3F35"/>
    <w:rsid w:val="007A77A7"/>
    <w:rsid w:val="007B0D59"/>
    <w:rsid w:val="007B1068"/>
    <w:rsid w:val="007B287D"/>
    <w:rsid w:val="007B2AB5"/>
    <w:rsid w:val="007B3182"/>
    <w:rsid w:val="007B400E"/>
    <w:rsid w:val="007B6743"/>
    <w:rsid w:val="007B6829"/>
    <w:rsid w:val="007B6E09"/>
    <w:rsid w:val="007B7965"/>
    <w:rsid w:val="007C0037"/>
    <w:rsid w:val="007C0542"/>
    <w:rsid w:val="007C0DFD"/>
    <w:rsid w:val="007C1654"/>
    <w:rsid w:val="007C176B"/>
    <w:rsid w:val="007C384E"/>
    <w:rsid w:val="007C4688"/>
    <w:rsid w:val="007C4B40"/>
    <w:rsid w:val="007D0114"/>
    <w:rsid w:val="007D35ED"/>
    <w:rsid w:val="007D517E"/>
    <w:rsid w:val="007D6E2A"/>
    <w:rsid w:val="007E236C"/>
    <w:rsid w:val="007E2A68"/>
    <w:rsid w:val="007E3162"/>
    <w:rsid w:val="007E403F"/>
    <w:rsid w:val="007E40F9"/>
    <w:rsid w:val="007E5171"/>
    <w:rsid w:val="007E5702"/>
    <w:rsid w:val="007E69D6"/>
    <w:rsid w:val="007E6F57"/>
    <w:rsid w:val="007E741D"/>
    <w:rsid w:val="007E7AC5"/>
    <w:rsid w:val="007E7CBD"/>
    <w:rsid w:val="007F04C8"/>
    <w:rsid w:val="007F0E7C"/>
    <w:rsid w:val="007F0FC4"/>
    <w:rsid w:val="007F1E85"/>
    <w:rsid w:val="007F3FBC"/>
    <w:rsid w:val="007F4C87"/>
    <w:rsid w:val="007F4E8D"/>
    <w:rsid w:val="007F68A1"/>
    <w:rsid w:val="0080286F"/>
    <w:rsid w:val="0080497A"/>
    <w:rsid w:val="008049F3"/>
    <w:rsid w:val="00810BEF"/>
    <w:rsid w:val="00811947"/>
    <w:rsid w:val="0081271D"/>
    <w:rsid w:val="008128AC"/>
    <w:rsid w:val="008165B4"/>
    <w:rsid w:val="0081740B"/>
    <w:rsid w:val="00817ADE"/>
    <w:rsid w:val="00817B1D"/>
    <w:rsid w:val="00821956"/>
    <w:rsid w:val="00821E09"/>
    <w:rsid w:val="00827DA6"/>
    <w:rsid w:val="00831A9D"/>
    <w:rsid w:val="008322EE"/>
    <w:rsid w:val="00833289"/>
    <w:rsid w:val="00833DAF"/>
    <w:rsid w:val="00833FC0"/>
    <w:rsid w:val="008369CC"/>
    <w:rsid w:val="00836CF8"/>
    <w:rsid w:val="008373E2"/>
    <w:rsid w:val="00840852"/>
    <w:rsid w:val="00841F8D"/>
    <w:rsid w:val="00842019"/>
    <w:rsid w:val="00843B6F"/>
    <w:rsid w:val="00843DBF"/>
    <w:rsid w:val="008457E9"/>
    <w:rsid w:val="00845EEC"/>
    <w:rsid w:val="008469EB"/>
    <w:rsid w:val="00847EC1"/>
    <w:rsid w:val="00852468"/>
    <w:rsid w:val="008524F9"/>
    <w:rsid w:val="008528F9"/>
    <w:rsid w:val="00853604"/>
    <w:rsid w:val="00854FF3"/>
    <w:rsid w:val="00860FBA"/>
    <w:rsid w:val="0086344A"/>
    <w:rsid w:val="008662AE"/>
    <w:rsid w:val="00867450"/>
    <w:rsid w:val="00867A54"/>
    <w:rsid w:val="00870C8D"/>
    <w:rsid w:val="0087141D"/>
    <w:rsid w:val="00871754"/>
    <w:rsid w:val="00872AA5"/>
    <w:rsid w:val="00874FED"/>
    <w:rsid w:val="00875654"/>
    <w:rsid w:val="00875754"/>
    <w:rsid w:val="00876DE4"/>
    <w:rsid w:val="00880633"/>
    <w:rsid w:val="0088152C"/>
    <w:rsid w:val="008825E9"/>
    <w:rsid w:val="00884269"/>
    <w:rsid w:val="00884F00"/>
    <w:rsid w:val="00886DA8"/>
    <w:rsid w:val="00887BEC"/>
    <w:rsid w:val="00887CC0"/>
    <w:rsid w:val="008917B0"/>
    <w:rsid w:val="00891D77"/>
    <w:rsid w:val="0089329A"/>
    <w:rsid w:val="008939D7"/>
    <w:rsid w:val="00895B09"/>
    <w:rsid w:val="008969DA"/>
    <w:rsid w:val="008A1B18"/>
    <w:rsid w:val="008A2EC7"/>
    <w:rsid w:val="008A3508"/>
    <w:rsid w:val="008A363F"/>
    <w:rsid w:val="008A4F3F"/>
    <w:rsid w:val="008A655B"/>
    <w:rsid w:val="008A7077"/>
    <w:rsid w:val="008B17C2"/>
    <w:rsid w:val="008B1F81"/>
    <w:rsid w:val="008B3B0D"/>
    <w:rsid w:val="008B3D4A"/>
    <w:rsid w:val="008B3DCC"/>
    <w:rsid w:val="008B491B"/>
    <w:rsid w:val="008B4E08"/>
    <w:rsid w:val="008B5B84"/>
    <w:rsid w:val="008B60CF"/>
    <w:rsid w:val="008B63ED"/>
    <w:rsid w:val="008B6B5F"/>
    <w:rsid w:val="008B7A9D"/>
    <w:rsid w:val="008C0160"/>
    <w:rsid w:val="008C02B8"/>
    <w:rsid w:val="008C0D17"/>
    <w:rsid w:val="008C25DD"/>
    <w:rsid w:val="008C6284"/>
    <w:rsid w:val="008C6A0B"/>
    <w:rsid w:val="008C70CC"/>
    <w:rsid w:val="008C76F1"/>
    <w:rsid w:val="008D058C"/>
    <w:rsid w:val="008D059A"/>
    <w:rsid w:val="008D0B1C"/>
    <w:rsid w:val="008D1659"/>
    <w:rsid w:val="008D1781"/>
    <w:rsid w:val="008D3FB5"/>
    <w:rsid w:val="008D5208"/>
    <w:rsid w:val="008D7139"/>
    <w:rsid w:val="008E03F3"/>
    <w:rsid w:val="008E25EA"/>
    <w:rsid w:val="008E6FCE"/>
    <w:rsid w:val="008F1499"/>
    <w:rsid w:val="008F2B19"/>
    <w:rsid w:val="008F32C2"/>
    <w:rsid w:val="009013EB"/>
    <w:rsid w:val="009014AC"/>
    <w:rsid w:val="009025F1"/>
    <w:rsid w:val="00902C13"/>
    <w:rsid w:val="00902C14"/>
    <w:rsid w:val="009043D9"/>
    <w:rsid w:val="00907B8A"/>
    <w:rsid w:val="00911614"/>
    <w:rsid w:val="009123F8"/>
    <w:rsid w:val="00914741"/>
    <w:rsid w:val="009150DD"/>
    <w:rsid w:val="00915B39"/>
    <w:rsid w:val="009161F1"/>
    <w:rsid w:val="00917583"/>
    <w:rsid w:val="00920447"/>
    <w:rsid w:val="00921E2C"/>
    <w:rsid w:val="0092466C"/>
    <w:rsid w:val="009246AA"/>
    <w:rsid w:val="00924CA4"/>
    <w:rsid w:val="00924F96"/>
    <w:rsid w:val="0092582D"/>
    <w:rsid w:val="00925ADD"/>
    <w:rsid w:val="00931050"/>
    <w:rsid w:val="00931A0E"/>
    <w:rsid w:val="00932712"/>
    <w:rsid w:val="00933B71"/>
    <w:rsid w:val="00934F8F"/>
    <w:rsid w:val="009356DD"/>
    <w:rsid w:val="00935988"/>
    <w:rsid w:val="00941AC9"/>
    <w:rsid w:val="00943200"/>
    <w:rsid w:val="00943BBA"/>
    <w:rsid w:val="00944029"/>
    <w:rsid w:val="00945430"/>
    <w:rsid w:val="009454C5"/>
    <w:rsid w:val="00950603"/>
    <w:rsid w:val="00950B6F"/>
    <w:rsid w:val="00950F49"/>
    <w:rsid w:val="00951F11"/>
    <w:rsid w:val="00952E48"/>
    <w:rsid w:val="0095333E"/>
    <w:rsid w:val="00953C0F"/>
    <w:rsid w:val="00954E6C"/>
    <w:rsid w:val="009553B6"/>
    <w:rsid w:val="00955B88"/>
    <w:rsid w:val="0095646F"/>
    <w:rsid w:val="00956FBF"/>
    <w:rsid w:val="00960220"/>
    <w:rsid w:val="00960D09"/>
    <w:rsid w:val="00960DFD"/>
    <w:rsid w:val="009620CD"/>
    <w:rsid w:val="00967A24"/>
    <w:rsid w:val="0097231A"/>
    <w:rsid w:val="00974D66"/>
    <w:rsid w:val="009753F2"/>
    <w:rsid w:val="0097602D"/>
    <w:rsid w:val="009823B5"/>
    <w:rsid w:val="009841B1"/>
    <w:rsid w:val="00985E89"/>
    <w:rsid w:val="009866A7"/>
    <w:rsid w:val="00987050"/>
    <w:rsid w:val="009872A1"/>
    <w:rsid w:val="00987595"/>
    <w:rsid w:val="00987B45"/>
    <w:rsid w:val="00987BAF"/>
    <w:rsid w:val="00987BFD"/>
    <w:rsid w:val="0099033B"/>
    <w:rsid w:val="009913C3"/>
    <w:rsid w:val="0099264C"/>
    <w:rsid w:val="0099352E"/>
    <w:rsid w:val="009970D9"/>
    <w:rsid w:val="0099711E"/>
    <w:rsid w:val="0099742E"/>
    <w:rsid w:val="009A0B01"/>
    <w:rsid w:val="009A2002"/>
    <w:rsid w:val="009A22FB"/>
    <w:rsid w:val="009A3467"/>
    <w:rsid w:val="009A34A1"/>
    <w:rsid w:val="009A366C"/>
    <w:rsid w:val="009A5327"/>
    <w:rsid w:val="009A642D"/>
    <w:rsid w:val="009A64D0"/>
    <w:rsid w:val="009A6B5C"/>
    <w:rsid w:val="009A7EFA"/>
    <w:rsid w:val="009B1506"/>
    <w:rsid w:val="009B1A2F"/>
    <w:rsid w:val="009B1EE1"/>
    <w:rsid w:val="009B20FD"/>
    <w:rsid w:val="009B2B86"/>
    <w:rsid w:val="009B3109"/>
    <w:rsid w:val="009B411A"/>
    <w:rsid w:val="009B5AAE"/>
    <w:rsid w:val="009B63E3"/>
    <w:rsid w:val="009B7700"/>
    <w:rsid w:val="009C3390"/>
    <w:rsid w:val="009C41DD"/>
    <w:rsid w:val="009C4D29"/>
    <w:rsid w:val="009C5AFD"/>
    <w:rsid w:val="009C7AD7"/>
    <w:rsid w:val="009D06C0"/>
    <w:rsid w:val="009D153A"/>
    <w:rsid w:val="009D3AFA"/>
    <w:rsid w:val="009D52F7"/>
    <w:rsid w:val="009D6983"/>
    <w:rsid w:val="009E24C5"/>
    <w:rsid w:val="009E2729"/>
    <w:rsid w:val="009E4484"/>
    <w:rsid w:val="009E459B"/>
    <w:rsid w:val="009E5083"/>
    <w:rsid w:val="009E57A3"/>
    <w:rsid w:val="009E5D2B"/>
    <w:rsid w:val="009E60C7"/>
    <w:rsid w:val="009E7637"/>
    <w:rsid w:val="009E76BB"/>
    <w:rsid w:val="009F1580"/>
    <w:rsid w:val="009F2144"/>
    <w:rsid w:val="009F2783"/>
    <w:rsid w:val="009F3C1A"/>
    <w:rsid w:val="009F5D10"/>
    <w:rsid w:val="009F5E5D"/>
    <w:rsid w:val="00A00C0A"/>
    <w:rsid w:val="00A00E8E"/>
    <w:rsid w:val="00A03549"/>
    <w:rsid w:val="00A043AC"/>
    <w:rsid w:val="00A058C9"/>
    <w:rsid w:val="00A059E7"/>
    <w:rsid w:val="00A05EEF"/>
    <w:rsid w:val="00A0659D"/>
    <w:rsid w:val="00A07924"/>
    <w:rsid w:val="00A1066C"/>
    <w:rsid w:val="00A1072C"/>
    <w:rsid w:val="00A10DD3"/>
    <w:rsid w:val="00A11619"/>
    <w:rsid w:val="00A122B4"/>
    <w:rsid w:val="00A126C5"/>
    <w:rsid w:val="00A140DC"/>
    <w:rsid w:val="00A14E61"/>
    <w:rsid w:val="00A21ABE"/>
    <w:rsid w:val="00A24181"/>
    <w:rsid w:val="00A24B1A"/>
    <w:rsid w:val="00A2535E"/>
    <w:rsid w:val="00A2569C"/>
    <w:rsid w:val="00A274D8"/>
    <w:rsid w:val="00A301BE"/>
    <w:rsid w:val="00A30965"/>
    <w:rsid w:val="00A31DAB"/>
    <w:rsid w:val="00A321AE"/>
    <w:rsid w:val="00A32467"/>
    <w:rsid w:val="00A3522C"/>
    <w:rsid w:val="00A3537E"/>
    <w:rsid w:val="00A36CD3"/>
    <w:rsid w:val="00A41C7D"/>
    <w:rsid w:val="00A42380"/>
    <w:rsid w:val="00A4370D"/>
    <w:rsid w:val="00A504C7"/>
    <w:rsid w:val="00A5360A"/>
    <w:rsid w:val="00A53768"/>
    <w:rsid w:val="00A53E76"/>
    <w:rsid w:val="00A55CCB"/>
    <w:rsid w:val="00A56456"/>
    <w:rsid w:val="00A565D0"/>
    <w:rsid w:val="00A576AE"/>
    <w:rsid w:val="00A576CF"/>
    <w:rsid w:val="00A57E20"/>
    <w:rsid w:val="00A605E6"/>
    <w:rsid w:val="00A62354"/>
    <w:rsid w:val="00A624BD"/>
    <w:rsid w:val="00A62690"/>
    <w:rsid w:val="00A633E3"/>
    <w:rsid w:val="00A64242"/>
    <w:rsid w:val="00A6525C"/>
    <w:rsid w:val="00A6730D"/>
    <w:rsid w:val="00A67B4D"/>
    <w:rsid w:val="00A706F0"/>
    <w:rsid w:val="00A709D4"/>
    <w:rsid w:val="00A71F59"/>
    <w:rsid w:val="00A71FCF"/>
    <w:rsid w:val="00A72BCB"/>
    <w:rsid w:val="00A73661"/>
    <w:rsid w:val="00A75AB5"/>
    <w:rsid w:val="00A775D0"/>
    <w:rsid w:val="00A80FEA"/>
    <w:rsid w:val="00A8317B"/>
    <w:rsid w:val="00A842BE"/>
    <w:rsid w:val="00A85C31"/>
    <w:rsid w:val="00A85D9B"/>
    <w:rsid w:val="00A85F07"/>
    <w:rsid w:val="00A875E1"/>
    <w:rsid w:val="00A87BCC"/>
    <w:rsid w:val="00A90CC4"/>
    <w:rsid w:val="00A924FB"/>
    <w:rsid w:val="00A95C4C"/>
    <w:rsid w:val="00A9736A"/>
    <w:rsid w:val="00A97ED0"/>
    <w:rsid w:val="00AA0920"/>
    <w:rsid w:val="00AA1CE9"/>
    <w:rsid w:val="00AA2CA8"/>
    <w:rsid w:val="00AA2DA0"/>
    <w:rsid w:val="00AA4355"/>
    <w:rsid w:val="00AA5F68"/>
    <w:rsid w:val="00AA6D02"/>
    <w:rsid w:val="00AB0BE5"/>
    <w:rsid w:val="00AB179F"/>
    <w:rsid w:val="00AB2218"/>
    <w:rsid w:val="00AB3242"/>
    <w:rsid w:val="00AB3399"/>
    <w:rsid w:val="00AB4A38"/>
    <w:rsid w:val="00AB7146"/>
    <w:rsid w:val="00AB72A1"/>
    <w:rsid w:val="00AB7794"/>
    <w:rsid w:val="00AC11BB"/>
    <w:rsid w:val="00AC126A"/>
    <w:rsid w:val="00AC35B8"/>
    <w:rsid w:val="00AC430B"/>
    <w:rsid w:val="00AC5BFD"/>
    <w:rsid w:val="00AC5DA2"/>
    <w:rsid w:val="00AC6371"/>
    <w:rsid w:val="00AC6DB9"/>
    <w:rsid w:val="00AD05DB"/>
    <w:rsid w:val="00AD124B"/>
    <w:rsid w:val="00AD2BB6"/>
    <w:rsid w:val="00AD4B6B"/>
    <w:rsid w:val="00AD506A"/>
    <w:rsid w:val="00AD59E9"/>
    <w:rsid w:val="00AD5B79"/>
    <w:rsid w:val="00AD6072"/>
    <w:rsid w:val="00AD6A08"/>
    <w:rsid w:val="00AD734B"/>
    <w:rsid w:val="00AE3108"/>
    <w:rsid w:val="00AE4616"/>
    <w:rsid w:val="00AF16EF"/>
    <w:rsid w:val="00AF36E2"/>
    <w:rsid w:val="00B00174"/>
    <w:rsid w:val="00B003A3"/>
    <w:rsid w:val="00B0247B"/>
    <w:rsid w:val="00B04B14"/>
    <w:rsid w:val="00B06FB5"/>
    <w:rsid w:val="00B10341"/>
    <w:rsid w:val="00B11B9F"/>
    <w:rsid w:val="00B11DA4"/>
    <w:rsid w:val="00B13323"/>
    <w:rsid w:val="00B1397A"/>
    <w:rsid w:val="00B14B6A"/>
    <w:rsid w:val="00B154B6"/>
    <w:rsid w:val="00B16A14"/>
    <w:rsid w:val="00B21D1D"/>
    <w:rsid w:val="00B22383"/>
    <w:rsid w:val="00B22C9E"/>
    <w:rsid w:val="00B25135"/>
    <w:rsid w:val="00B25E3B"/>
    <w:rsid w:val="00B26697"/>
    <w:rsid w:val="00B26CC8"/>
    <w:rsid w:val="00B31E61"/>
    <w:rsid w:val="00B3422A"/>
    <w:rsid w:val="00B34AD8"/>
    <w:rsid w:val="00B40159"/>
    <w:rsid w:val="00B4166C"/>
    <w:rsid w:val="00B4366A"/>
    <w:rsid w:val="00B43C65"/>
    <w:rsid w:val="00B4795D"/>
    <w:rsid w:val="00B47A77"/>
    <w:rsid w:val="00B53DD8"/>
    <w:rsid w:val="00B54F83"/>
    <w:rsid w:val="00B57B1E"/>
    <w:rsid w:val="00B60C73"/>
    <w:rsid w:val="00B620C2"/>
    <w:rsid w:val="00B634D4"/>
    <w:rsid w:val="00B647F3"/>
    <w:rsid w:val="00B71B08"/>
    <w:rsid w:val="00B737CD"/>
    <w:rsid w:val="00B73FBF"/>
    <w:rsid w:val="00B74C46"/>
    <w:rsid w:val="00B751C8"/>
    <w:rsid w:val="00B756CB"/>
    <w:rsid w:val="00B75D3D"/>
    <w:rsid w:val="00B77182"/>
    <w:rsid w:val="00B813D3"/>
    <w:rsid w:val="00B81480"/>
    <w:rsid w:val="00B81A7E"/>
    <w:rsid w:val="00B85CB8"/>
    <w:rsid w:val="00B874C7"/>
    <w:rsid w:val="00B916F7"/>
    <w:rsid w:val="00B9377E"/>
    <w:rsid w:val="00B9506A"/>
    <w:rsid w:val="00B951D6"/>
    <w:rsid w:val="00B958B8"/>
    <w:rsid w:val="00B95C6C"/>
    <w:rsid w:val="00B95D98"/>
    <w:rsid w:val="00B97463"/>
    <w:rsid w:val="00BA0CE9"/>
    <w:rsid w:val="00BA202A"/>
    <w:rsid w:val="00BA3B51"/>
    <w:rsid w:val="00BA3E89"/>
    <w:rsid w:val="00BA4733"/>
    <w:rsid w:val="00BA4F10"/>
    <w:rsid w:val="00BA5589"/>
    <w:rsid w:val="00BA56AC"/>
    <w:rsid w:val="00BA5DEB"/>
    <w:rsid w:val="00BA76CC"/>
    <w:rsid w:val="00BB06B3"/>
    <w:rsid w:val="00BB1120"/>
    <w:rsid w:val="00BB45D9"/>
    <w:rsid w:val="00BB75E0"/>
    <w:rsid w:val="00BC05B4"/>
    <w:rsid w:val="00BC2219"/>
    <w:rsid w:val="00BC2E2F"/>
    <w:rsid w:val="00BC7580"/>
    <w:rsid w:val="00BD22C8"/>
    <w:rsid w:val="00BD2CD1"/>
    <w:rsid w:val="00BD3248"/>
    <w:rsid w:val="00BD481C"/>
    <w:rsid w:val="00BD495D"/>
    <w:rsid w:val="00BD5448"/>
    <w:rsid w:val="00BD7293"/>
    <w:rsid w:val="00BE0268"/>
    <w:rsid w:val="00BE0451"/>
    <w:rsid w:val="00BE1207"/>
    <w:rsid w:val="00BE21F2"/>
    <w:rsid w:val="00BE31F0"/>
    <w:rsid w:val="00BE373F"/>
    <w:rsid w:val="00BE68D7"/>
    <w:rsid w:val="00BE6F74"/>
    <w:rsid w:val="00BF02E9"/>
    <w:rsid w:val="00BF0860"/>
    <w:rsid w:val="00BF0A0F"/>
    <w:rsid w:val="00BF1B6C"/>
    <w:rsid w:val="00BF2335"/>
    <w:rsid w:val="00BF276A"/>
    <w:rsid w:val="00BF3277"/>
    <w:rsid w:val="00BF5F7D"/>
    <w:rsid w:val="00BF796F"/>
    <w:rsid w:val="00C001C8"/>
    <w:rsid w:val="00C00846"/>
    <w:rsid w:val="00C01C7F"/>
    <w:rsid w:val="00C04B07"/>
    <w:rsid w:val="00C062E6"/>
    <w:rsid w:val="00C0740D"/>
    <w:rsid w:val="00C0769E"/>
    <w:rsid w:val="00C106D4"/>
    <w:rsid w:val="00C10C3E"/>
    <w:rsid w:val="00C11BC5"/>
    <w:rsid w:val="00C13041"/>
    <w:rsid w:val="00C149FD"/>
    <w:rsid w:val="00C15414"/>
    <w:rsid w:val="00C159F6"/>
    <w:rsid w:val="00C15FFC"/>
    <w:rsid w:val="00C171EA"/>
    <w:rsid w:val="00C17A2E"/>
    <w:rsid w:val="00C20917"/>
    <w:rsid w:val="00C217BD"/>
    <w:rsid w:val="00C218E4"/>
    <w:rsid w:val="00C21B92"/>
    <w:rsid w:val="00C2778A"/>
    <w:rsid w:val="00C3162A"/>
    <w:rsid w:val="00C31657"/>
    <w:rsid w:val="00C32CB3"/>
    <w:rsid w:val="00C35F96"/>
    <w:rsid w:val="00C366ED"/>
    <w:rsid w:val="00C37FF4"/>
    <w:rsid w:val="00C42F30"/>
    <w:rsid w:val="00C43B5C"/>
    <w:rsid w:val="00C44868"/>
    <w:rsid w:val="00C44B08"/>
    <w:rsid w:val="00C45E32"/>
    <w:rsid w:val="00C460E1"/>
    <w:rsid w:val="00C463BF"/>
    <w:rsid w:val="00C50A40"/>
    <w:rsid w:val="00C50C73"/>
    <w:rsid w:val="00C52020"/>
    <w:rsid w:val="00C5736E"/>
    <w:rsid w:val="00C610FC"/>
    <w:rsid w:val="00C61A0E"/>
    <w:rsid w:val="00C6368E"/>
    <w:rsid w:val="00C6481F"/>
    <w:rsid w:val="00C65523"/>
    <w:rsid w:val="00C6593E"/>
    <w:rsid w:val="00C663DE"/>
    <w:rsid w:val="00C66952"/>
    <w:rsid w:val="00C674D5"/>
    <w:rsid w:val="00C67558"/>
    <w:rsid w:val="00C70FB8"/>
    <w:rsid w:val="00C722F3"/>
    <w:rsid w:val="00C7238B"/>
    <w:rsid w:val="00C75CA2"/>
    <w:rsid w:val="00C76A00"/>
    <w:rsid w:val="00C77CD8"/>
    <w:rsid w:val="00C83783"/>
    <w:rsid w:val="00C841CB"/>
    <w:rsid w:val="00C85404"/>
    <w:rsid w:val="00C869C5"/>
    <w:rsid w:val="00C86D9A"/>
    <w:rsid w:val="00C8781B"/>
    <w:rsid w:val="00C9196E"/>
    <w:rsid w:val="00C9221A"/>
    <w:rsid w:val="00C93FF9"/>
    <w:rsid w:val="00C94A4A"/>
    <w:rsid w:val="00C94AF2"/>
    <w:rsid w:val="00C96F27"/>
    <w:rsid w:val="00C96FF8"/>
    <w:rsid w:val="00CA01FA"/>
    <w:rsid w:val="00CA06E3"/>
    <w:rsid w:val="00CA0959"/>
    <w:rsid w:val="00CA211F"/>
    <w:rsid w:val="00CA3926"/>
    <w:rsid w:val="00CA39EB"/>
    <w:rsid w:val="00CA3FA2"/>
    <w:rsid w:val="00CA412B"/>
    <w:rsid w:val="00CA529F"/>
    <w:rsid w:val="00CA5544"/>
    <w:rsid w:val="00CA7B11"/>
    <w:rsid w:val="00CA7FF5"/>
    <w:rsid w:val="00CB09C9"/>
    <w:rsid w:val="00CB1B19"/>
    <w:rsid w:val="00CB25F5"/>
    <w:rsid w:val="00CB58E1"/>
    <w:rsid w:val="00CB77CF"/>
    <w:rsid w:val="00CC0D0B"/>
    <w:rsid w:val="00CC35FA"/>
    <w:rsid w:val="00CC46BB"/>
    <w:rsid w:val="00CC46D2"/>
    <w:rsid w:val="00CC4E02"/>
    <w:rsid w:val="00CC603F"/>
    <w:rsid w:val="00CC61A3"/>
    <w:rsid w:val="00CD0194"/>
    <w:rsid w:val="00CD1332"/>
    <w:rsid w:val="00CD1567"/>
    <w:rsid w:val="00CD1EB3"/>
    <w:rsid w:val="00CD26C7"/>
    <w:rsid w:val="00CD32AC"/>
    <w:rsid w:val="00CD333E"/>
    <w:rsid w:val="00CD41DF"/>
    <w:rsid w:val="00CD4E9B"/>
    <w:rsid w:val="00CE068A"/>
    <w:rsid w:val="00CE0EBC"/>
    <w:rsid w:val="00CE272A"/>
    <w:rsid w:val="00CE5A2E"/>
    <w:rsid w:val="00CF02EB"/>
    <w:rsid w:val="00CF082A"/>
    <w:rsid w:val="00CF0AF7"/>
    <w:rsid w:val="00CF13D2"/>
    <w:rsid w:val="00CF1F86"/>
    <w:rsid w:val="00CF28E5"/>
    <w:rsid w:val="00CF41B1"/>
    <w:rsid w:val="00CF4EB8"/>
    <w:rsid w:val="00CF63FA"/>
    <w:rsid w:val="00CF68E6"/>
    <w:rsid w:val="00CF7B73"/>
    <w:rsid w:val="00D00A04"/>
    <w:rsid w:val="00D01CD7"/>
    <w:rsid w:val="00D01FAE"/>
    <w:rsid w:val="00D03037"/>
    <w:rsid w:val="00D037FA"/>
    <w:rsid w:val="00D06F24"/>
    <w:rsid w:val="00D076FC"/>
    <w:rsid w:val="00D10308"/>
    <w:rsid w:val="00D12572"/>
    <w:rsid w:val="00D1449A"/>
    <w:rsid w:val="00D14FB3"/>
    <w:rsid w:val="00D15468"/>
    <w:rsid w:val="00D1608A"/>
    <w:rsid w:val="00D1611E"/>
    <w:rsid w:val="00D169CC"/>
    <w:rsid w:val="00D16F49"/>
    <w:rsid w:val="00D1797D"/>
    <w:rsid w:val="00D17F35"/>
    <w:rsid w:val="00D20930"/>
    <w:rsid w:val="00D21ED8"/>
    <w:rsid w:val="00D22BB9"/>
    <w:rsid w:val="00D22E1E"/>
    <w:rsid w:val="00D237DC"/>
    <w:rsid w:val="00D23958"/>
    <w:rsid w:val="00D25F28"/>
    <w:rsid w:val="00D2634D"/>
    <w:rsid w:val="00D26881"/>
    <w:rsid w:val="00D26A12"/>
    <w:rsid w:val="00D26A13"/>
    <w:rsid w:val="00D31DA2"/>
    <w:rsid w:val="00D31DDD"/>
    <w:rsid w:val="00D3265B"/>
    <w:rsid w:val="00D330DC"/>
    <w:rsid w:val="00D35E02"/>
    <w:rsid w:val="00D361B8"/>
    <w:rsid w:val="00D37812"/>
    <w:rsid w:val="00D41913"/>
    <w:rsid w:val="00D4235D"/>
    <w:rsid w:val="00D4562D"/>
    <w:rsid w:val="00D45808"/>
    <w:rsid w:val="00D47AB6"/>
    <w:rsid w:val="00D47B5D"/>
    <w:rsid w:val="00D47C72"/>
    <w:rsid w:val="00D5091D"/>
    <w:rsid w:val="00D50AB4"/>
    <w:rsid w:val="00D51DC8"/>
    <w:rsid w:val="00D533B4"/>
    <w:rsid w:val="00D5346E"/>
    <w:rsid w:val="00D53ACA"/>
    <w:rsid w:val="00D53C0D"/>
    <w:rsid w:val="00D53D7C"/>
    <w:rsid w:val="00D54051"/>
    <w:rsid w:val="00D5466E"/>
    <w:rsid w:val="00D54B0A"/>
    <w:rsid w:val="00D54C27"/>
    <w:rsid w:val="00D55034"/>
    <w:rsid w:val="00D558B4"/>
    <w:rsid w:val="00D56328"/>
    <w:rsid w:val="00D57583"/>
    <w:rsid w:val="00D62509"/>
    <w:rsid w:val="00D628B2"/>
    <w:rsid w:val="00D630D1"/>
    <w:rsid w:val="00D71DEA"/>
    <w:rsid w:val="00D729E4"/>
    <w:rsid w:val="00D7410B"/>
    <w:rsid w:val="00D74817"/>
    <w:rsid w:val="00D800CD"/>
    <w:rsid w:val="00D802A9"/>
    <w:rsid w:val="00D81528"/>
    <w:rsid w:val="00D83821"/>
    <w:rsid w:val="00D83B37"/>
    <w:rsid w:val="00D8425D"/>
    <w:rsid w:val="00D8489C"/>
    <w:rsid w:val="00D86399"/>
    <w:rsid w:val="00D87AEF"/>
    <w:rsid w:val="00D93A24"/>
    <w:rsid w:val="00D96431"/>
    <w:rsid w:val="00D968BC"/>
    <w:rsid w:val="00DA27EB"/>
    <w:rsid w:val="00DA2C71"/>
    <w:rsid w:val="00DA4FF5"/>
    <w:rsid w:val="00DA5A50"/>
    <w:rsid w:val="00DA5C10"/>
    <w:rsid w:val="00DA5F7F"/>
    <w:rsid w:val="00DA703F"/>
    <w:rsid w:val="00DB073B"/>
    <w:rsid w:val="00DB1ADA"/>
    <w:rsid w:val="00DB1FC1"/>
    <w:rsid w:val="00DB2055"/>
    <w:rsid w:val="00DB40DE"/>
    <w:rsid w:val="00DB6EC5"/>
    <w:rsid w:val="00DB748A"/>
    <w:rsid w:val="00DB79DB"/>
    <w:rsid w:val="00DC07D5"/>
    <w:rsid w:val="00DC2861"/>
    <w:rsid w:val="00DC2DF3"/>
    <w:rsid w:val="00DC3E38"/>
    <w:rsid w:val="00DC5D18"/>
    <w:rsid w:val="00DC6370"/>
    <w:rsid w:val="00DC6697"/>
    <w:rsid w:val="00DC6EE4"/>
    <w:rsid w:val="00DD022B"/>
    <w:rsid w:val="00DD13F6"/>
    <w:rsid w:val="00DD1647"/>
    <w:rsid w:val="00DD198A"/>
    <w:rsid w:val="00DD1E9A"/>
    <w:rsid w:val="00DD23F5"/>
    <w:rsid w:val="00DD3EA1"/>
    <w:rsid w:val="00DD40C6"/>
    <w:rsid w:val="00DE0E80"/>
    <w:rsid w:val="00DE4334"/>
    <w:rsid w:val="00DE602D"/>
    <w:rsid w:val="00DE660A"/>
    <w:rsid w:val="00DE7807"/>
    <w:rsid w:val="00DF0037"/>
    <w:rsid w:val="00DF021F"/>
    <w:rsid w:val="00DF146B"/>
    <w:rsid w:val="00DF1D5A"/>
    <w:rsid w:val="00DF3E78"/>
    <w:rsid w:val="00DF44C3"/>
    <w:rsid w:val="00DF4CA8"/>
    <w:rsid w:val="00DF5313"/>
    <w:rsid w:val="00DF6070"/>
    <w:rsid w:val="00DF6E43"/>
    <w:rsid w:val="00DF7580"/>
    <w:rsid w:val="00E00516"/>
    <w:rsid w:val="00E01866"/>
    <w:rsid w:val="00E020BE"/>
    <w:rsid w:val="00E029EE"/>
    <w:rsid w:val="00E03624"/>
    <w:rsid w:val="00E0363B"/>
    <w:rsid w:val="00E057E0"/>
    <w:rsid w:val="00E102DE"/>
    <w:rsid w:val="00E10CF0"/>
    <w:rsid w:val="00E118C8"/>
    <w:rsid w:val="00E13873"/>
    <w:rsid w:val="00E1528E"/>
    <w:rsid w:val="00E1560A"/>
    <w:rsid w:val="00E16046"/>
    <w:rsid w:val="00E168FA"/>
    <w:rsid w:val="00E211D7"/>
    <w:rsid w:val="00E21449"/>
    <w:rsid w:val="00E22778"/>
    <w:rsid w:val="00E312B2"/>
    <w:rsid w:val="00E32462"/>
    <w:rsid w:val="00E326C4"/>
    <w:rsid w:val="00E32A5E"/>
    <w:rsid w:val="00E32DEA"/>
    <w:rsid w:val="00E3393E"/>
    <w:rsid w:val="00E33968"/>
    <w:rsid w:val="00E34481"/>
    <w:rsid w:val="00E35006"/>
    <w:rsid w:val="00E352C5"/>
    <w:rsid w:val="00E35AF5"/>
    <w:rsid w:val="00E37B0F"/>
    <w:rsid w:val="00E40139"/>
    <w:rsid w:val="00E407B9"/>
    <w:rsid w:val="00E41233"/>
    <w:rsid w:val="00E41BA5"/>
    <w:rsid w:val="00E41E22"/>
    <w:rsid w:val="00E444BA"/>
    <w:rsid w:val="00E44C40"/>
    <w:rsid w:val="00E46F96"/>
    <w:rsid w:val="00E51504"/>
    <w:rsid w:val="00E51D3B"/>
    <w:rsid w:val="00E5228E"/>
    <w:rsid w:val="00E529A2"/>
    <w:rsid w:val="00E53130"/>
    <w:rsid w:val="00E55C62"/>
    <w:rsid w:val="00E578D9"/>
    <w:rsid w:val="00E57FE9"/>
    <w:rsid w:val="00E61B0F"/>
    <w:rsid w:val="00E62A52"/>
    <w:rsid w:val="00E64FEE"/>
    <w:rsid w:val="00E6567D"/>
    <w:rsid w:val="00E65ACD"/>
    <w:rsid w:val="00E65D24"/>
    <w:rsid w:val="00E660E9"/>
    <w:rsid w:val="00E664BB"/>
    <w:rsid w:val="00E6722C"/>
    <w:rsid w:val="00E67813"/>
    <w:rsid w:val="00E70DBA"/>
    <w:rsid w:val="00E71269"/>
    <w:rsid w:val="00E72C74"/>
    <w:rsid w:val="00E72C8A"/>
    <w:rsid w:val="00E74B40"/>
    <w:rsid w:val="00E82902"/>
    <w:rsid w:val="00E84120"/>
    <w:rsid w:val="00E84E95"/>
    <w:rsid w:val="00E87092"/>
    <w:rsid w:val="00E92F8F"/>
    <w:rsid w:val="00E942B6"/>
    <w:rsid w:val="00E9604D"/>
    <w:rsid w:val="00E976D5"/>
    <w:rsid w:val="00EA0850"/>
    <w:rsid w:val="00EA097C"/>
    <w:rsid w:val="00EA20E8"/>
    <w:rsid w:val="00EA24B2"/>
    <w:rsid w:val="00EA2ECF"/>
    <w:rsid w:val="00EA43D3"/>
    <w:rsid w:val="00EA51F0"/>
    <w:rsid w:val="00EA5682"/>
    <w:rsid w:val="00EA607C"/>
    <w:rsid w:val="00EA631B"/>
    <w:rsid w:val="00EA664B"/>
    <w:rsid w:val="00EA67E0"/>
    <w:rsid w:val="00EA74F4"/>
    <w:rsid w:val="00EA7E77"/>
    <w:rsid w:val="00EA7FD8"/>
    <w:rsid w:val="00EB03C9"/>
    <w:rsid w:val="00EB155A"/>
    <w:rsid w:val="00EB2894"/>
    <w:rsid w:val="00EB34DA"/>
    <w:rsid w:val="00EB51F0"/>
    <w:rsid w:val="00EB5327"/>
    <w:rsid w:val="00EB7BA2"/>
    <w:rsid w:val="00EB7F29"/>
    <w:rsid w:val="00EC0203"/>
    <w:rsid w:val="00EC21E3"/>
    <w:rsid w:val="00EC2DBC"/>
    <w:rsid w:val="00EC49D5"/>
    <w:rsid w:val="00EC4AD0"/>
    <w:rsid w:val="00EC5E0B"/>
    <w:rsid w:val="00EC630C"/>
    <w:rsid w:val="00EC700B"/>
    <w:rsid w:val="00ED0BBC"/>
    <w:rsid w:val="00ED383D"/>
    <w:rsid w:val="00ED6A44"/>
    <w:rsid w:val="00ED6C9B"/>
    <w:rsid w:val="00ED6FE0"/>
    <w:rsid w:val="00ED7CB7"/>
    <w:rsid w:val="00EE13F0"/>
    <w:rsid w:val="00EE1653"/>
    <w:rsid w:val="00EE1C9F"/>
    <w:rsid w:val="00EE3E61"/>
    <w:rsid w:val="00EE61C6"/>
    <w:rsid w:val="00EE66D9"/>
    <w:rsid w:val="00EE7941"/>
    <w:rsid w:val="00EF0F2B"/>
    <w:rsid w:val="00EF18B4"/>
    <w:rsid w:val="00EF2299"/>
    <w:rsid w:val="00EF31C0"/>
    <w:rsid w:val="00EF360A"/>
    <w:rsid w:val="00EF6C21"/>
    <w:rsid w:val="00F01C09"/>
    <w:rsid w:val="00F01C49"/>
    <w:rsid w:val="00F03532"/>
    <w:rsid w:val="00F042AA"/>
    <w:rsid w:val="00F0561A"/>
    <w:rsid w:val="00F0615B"/>
    <w:rsid w:val="00F070C0"/>
    <w:rsid w:val="00F075F9"/>
    <w:rsid w:val="00F101E9"/>
    <w:rsid w:val="00F14204"/>
    <w:rsid w:val="00F147F0"/>
    <w:rsid w:val="00F17A3E"/>
    <w:rsid w:val="00F214FA"/>
    <w:rsid w:val="00F23D2F"/>
    <w:rsid w:val="00F23EBB"/>
    <w:rsid w:val="00F23F93"/>
    <w:rsid w:val="00F2484F"/>
    <w:rsid w:val="00F2713C"/>
    <w:rsid w:val="00F2763B"/>
    <w:rsid w:val="00F276B0"/>
    <w:rsid w:val="00F27971"/>
    <w:rsid w:val="00F31B5C"/>
    <w:rsid w:val="00F31FBD"/>
    <w:rsid w:val="00F32BF2"/>
    <w:rsid w:val="00F35CBE"/>
    <w:rsid w:val="00F35EA9"/>
    <w:rsid w:val="00F361C7"/>
    <w:rsid w:val="00F37742"/>
    <w:rsid w:val="00F4031D"/>
    <w:rsid w:val="00F40696"/>
    <w:rsid w:val="00F4090B"/>
    <w:rsid w:val="00F4330E"/>
    <w:rsid w:val="00F4794D"/>
    <w:rsid w:val="00F50B39"/>
    <w:rsid w:val="00F50B57"/>
    <w:rsid w:val="00F5220B"/>
    <w:rsid w:val="00F5377F"/>
    <w:rsid w:val="00F54A36"/>
    <w:rsid w:val="00F56098"/>
    <w:rsid w:val="00F568C1"/>
    <w:rsid w:val="00F575CC"/>
    <w:rsid w:val="00F617AC"/>
    <w:rsid w:val="00F62275"/>
    <w:rsid w:val="00F624B4"/>
    <w:rsid w:val="00F62EB3"/>
    <w:rsid w:val="00F6383E"/>
    <w:rsid w:val="00F6410F"/>
    <w:rsid w:val="00F64138"/>
    <w:rsid w:val="00F646E1"/>
    <w:rsid w:val="00F64BEF"/>
    <w:rsid w:val="00F669AD"/>
    <w:rsid w:val="00F66A99"/>
    <w:rsid w:val="00F67B93"/>
    <w:rsid w:val="00F7444B"/>
    <w:rsid w:val="00F7614B"/>
    <w:rsid w:val="00F7691B"/>
    <w:rsid w:val="00F773C2"/>
    <w:rsid w:val="00F8192F"/>
    <w:rsid w:val="00F82130"/>
    <w:rsid w:val="00F828F9"/>
    <w:rsid w:val="00F830FB"/>
    <w:rsid w:val="00F83833"/>
    <w:rsid w:val="00F84AF8"/>
    <w:rsid w:val="00F84DE1"/>
    <w:rsid w:val="00F85C1C"/>
    <w:rsid w:val="00F87282"/>
    <w:rsid w:val="00F9150E"/>
    <w:rsid w:val="00F91CAA"/>
    <w:rsid w:val="00F92EDF"/>
    <w:rsid w:val="00F93CA7"/>
    <w:rsid w:val="00F955EA"/>
    <w:rsid w:val="00F96E37"/>
    <w:rsid w:val="00F975D4"/>
    <w:rsid w:val="00FA1043"/>
    <w:rsid w:val="00FA1A23"/>
    <w:rsid w:val="00FA24B2"/>
    <w:rsid w:val="00FA349B"/>
    <w:rsid w:val="00FA4C86"/>
    <w:rsid w:val="00FA6FD4"/>
    <w:rsid w:val="00FA7544"/>
    <w:rsid w:val="00FB1DDF"/>
    <w:rsid w:val="00FB2376"/>
    <w:rsid w:val="00FB2D80"/>
    <w:rsid w:val="00FB4955"/>
    <w:rsid w:val="00FB4F2B"/>
    <w:rsid w:val="00FB72EC"/>
    <w:rsid w:val="00FC092A"/>
    <w:rsid w:val="00FC14A4"/>
    <w:rsid w:val="00FC1DAD"/>
    <w:rsid w:val="00FC2684"/>
    <w:rsid w:val="00FC2F91"/>
    <w:rsid w:val="00FC46A8"/>
    <w:rsid w:val="00FC49BC"/>
    <w:rsid w:val="00FC4C2C"/>
    <w:rsid w:val="00FC510D"/>
    <w:rsid w:val="00FC6D35"/>
    <w:rsid w:val="00FD01D1"/>
    <w:rsid w:val="00FD21B5"/>
    <w:rsid w:val="00FD386E"/>
    <w:rsid w:val="00FD3961"/>
    <w:rsid w:val="00FD40BA"/>
    <w:rsid w:val="00FD4E42"/>
    <w:rsid w:val="00FD4E4E"/>
    <w:rsid w:val="00FD5966"/>
    <w:rsid w:val="00FD5D8C"/>
    <w:rsid w:val="00FD6638"/>
    <w:rsid w:val="00FD766D"/>
    <w:rsid w:val="00FE014C"/>
    <w:rsid w:val="00FE2E10"/>
    <w:rsid w:val="00FE39EA"/>
    <w:rsid w:val="00FE4191"/>
    <w:rsid w:val="00FE43DE"/>
    <w:rsid w:val="00FE578B"/>
    <w:rsid w:val="00FE7B31"/>
    <w:rsid w:val="00FF2E24"/>
    <w:rsid w:val="00FF36BE"/>
    <w:rsid w:val="00FF41BF"/>
    <w:rsid w:val="00FF478B"/>
    <w:rsid w:val="00FF6C0C"/>
    <w:rsid w:val="025C27B0"/>
    <w:rsid w:val="085F7B7B"/>
    <w:rsid w:val="0CBE01BB"/>
    <w:rsid w:val="14D711C2"/>
    <w:rsid w:val="20C06848"/>
    <w:rsid w:val="24E46EB3"/>
    <w:rsid w:val="256C38B3"/>
    <w:rsid w:val="27375171"/>
    <w:rsid w:val="2BAC27E2"/>
    <w:rsid w:val="2C1B3FD3"/>
    <w:rsid w:val="2E052DAE"/>
    <w:rsid w:val="2F276B38"/>
    <w:rsid w:val="34947C79"/>
    <w:rsid w:val="355368F4"/>
    <w:rsid w:val="35AB75E3"/>
    <w:rsid w:val="44EE12B0"/>
    <w:rsid w:val="51CD7CE8"/>
    <w:rsid w:val="54E3156C"/>
    <w:rsid w:val="56CF7330"/>
    <w:rsid w:val="58714E8F"/>
    <w:rsid w:val="5D6B2C8D"/>
    <w:rsid w:val="61962501"/>
    <w:rsid w:val="64104A4B"/>
    <w:rsid w:val="70460425"/>
    <w:rsid w:val="767F6B2D"/>
    <w:rsid w:val="7B1C3120"/>
    <w:rsid w:val="7C4C1BC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qFormat="1" w:unhideWhenUsed="0" w:uiPriority="0" w:semiHidden="0"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iPriority="99" w:name="footnote text"/>
    <w:lsdException w:qFormat="1" w:uiPriority="0" w:semiHidden="0" w:name="annotation text"/>
    <w:lsdException w:qFormat="1" w:uiPriority="0" w:semiHidden="0" w:name="header"/>
    <w:lsdException w:qFormat="1"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nhideWhenUsed="0" w:uiPriority="0" w:semiHidden="0"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nhideWhenUsed="0" w:uiPriority="0" w:semiHidden="0"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nhideWhenUsed="0" w:uiPriority="0" w:semiHidden="0" w:name="List Number 5"/>
    <w:lsdException w:qFormat="1" w:unhideWhenUsed="0" w:uiPriority="0" w:semiHidden="0" w:name="Title"/>
    <w:lsdException w:uiPriority="99" w:name="Closing"/>
    <w:lsdException w:uiPriority="99" w:name="Signature"/>
    <w:lsdException w:uiPriority="1" w:semiHidden="0" w:name="Default Paragraph Font"/>
    <w:lsdException w:uiPriority="0" w:semiHidden="0" w:name="Body Text"/>
    <w:lsdException w:qFormat="1" w:uiPriority="0"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uiPriority="99" w:name="HTML Code"/>
    <w:lsdException w:qFormat="1" w:unhideWhenUsed="0" w:uiPriority="0" w:semiHidden="0"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topLinePunct/>
      <w:adjustRightInd w:val="0"/>
      <w:spacing w:line="360" w:lineRule="auto"/>
      <w:ind w:firstLine="200" w:firstLineChars="200"/>
      <w:jc w:val="both"/>
    </w:pPr>
    <w:rPr>
      <w:rFonts w:ascii="宋体" w:hAnsi="Times New Roman" w:eastAsia="宋体" w:cs="宋体"/>
      <w:sz w:val="24"/>
      <w:szCs w:val="24"/>
      <w:lang w:val="en-US" w:eastAsia="zh-CN" w:bidi="ar-SA"/>
    </w:rPr>
  </w:style>
  <w:style w:type="paragraph" w:styleId="2">
    <w:name w:val="heading 1"/>
    <w:basedOn w:val="1"/>
    <w:next w:val="1"/>
    <w:link w:val="69"/>
    <w:qFormat/>
    <w:uiPriority w:val="0"/>
    <w:pPr>
      <w:keepNext/>
      <w:keepLines/>
      <w:spacing w:before="100" w:beforeAutospacing="1" w:after="100" w:afterAutospacing="1"/>
      <w:ind w:firstLine="0" w:firstLineChars="0"/>
      <w:jc w:val="left"/>
      <w:outlineLvl w:val="0"/>
    </w:pPr>
    <w:rPr>
      <w:rFonts w:ascii="Times New Roman" w:eastAsia="Times New Roman" w:cs="Times New Roman"/>
      <w:b/>
      <w:kern w:val="44"/>
      <w:sz w:val="32"/>
      <w:szCs w:val="44"/>
    </w:rPr>
  </w:style>
  <w:style w:type="paragraph" w:styleId="3">
    <w:name w:val="heading 2"/>
    <w:basedOn w:val="1"/>
    <w:next w:val="1"/>
    <w:link w:val="70"/>
    <w:qFormat/>
    <w:uiPriority w:val="0"/>
    <w:pPr>
      <w:keepNext/>
      <w:keepLines/>
      <w:spacing w:before="240"/>
      <w:ind w:firstLine="0" w:firstLineChars="0"/>
      <w:outlineLvl w:val="1"/>
    </w:pPr>
    <w:rPr>
      <w:rFonts w:ascii="Times New Roman"/>
      <w:b/>
      <w:bCs/>
      <w:sz w:val="28"/>
      <w:szCs w:val="32"/>
    </w:rPr>
  </w:style>
  <w:style w:type="paragraph" w:styleId="4">
    <w:name w:val="heading 3"/>
    <w:basedOn w:val="1"/>
    <w:next w:val="1"/>
    <w:link w:val="71"/>
    <w:qFormat/>
    <w:uiPriority w:val="0"/>
    <w:pPr>
      <w:keepNext/>
      <w:keepLines/>
      <w:ind w:firstLine="0" w:firstLineChars="0"/>
      <w:outlineLvl w:val="2"/>
    </w:pPr>
    <w:rPr>
      <w:rFonts w:ascii="Times New Roman" w:eastAsia="Times New Roman" w:cs="Times New Roman"/>
      <w:b/>
      <w:szCs w:val="32"/>
    </w:rPr>
  </w:style>
  <w:style w:type="paragraph" w:styleId="5">
    <w:name w:val="heading 4"/>
    <w:basedOn w:val="6"/>
    <w:next w:val="1"/>
    <w:link w:val="73"/>
    <w:qFormat/>
    <w:uiPriority w:val="0"/>
    <w:pPr>
      <w:widowControl/>
      <w:topLinePunct w:val="0"/>
      <w:snapToGrid w:val="0"/>
      <w:spacing w:beforeLines="50" w:line="240" w:lineRule="auto"/>
      <w:ind w:firstLine="600" w:firstLineChars="0"/>
      <w:jc w:val="left"/>
      <w:outlineLvl w:val="3"/>
    </w:pPr>
    <w:rPr>
      <w:rFonts w:ascii="Arial" w:hAnsi="Arial" w:cs="Times New Roman"/>
      <w:kern w:val="2"/>
      <w:sz w:val="28"/>
      <w:szCs w:val="21"/>
    </w:rPr>
  </w:style>
  <w:style w:type="paragraph" w:styleId="7">
    <w:name w:val="heading 5"/>
    <w:basedOn w:val="6"/>
    <w:next w:val="1"/>
    <w:link w:val="74"/>
    <w:qFormat/>
    <w:uiPriority w:val="0"/>
    <w:pPr>
      <w:widowControl/>
      <w:topLinePunct w:val="0"/>
      <w:snapToGrid w:val="0"/>
      <w:spacing w:beforeLines="50"/>
      <w:ind w:left="600" w:firstLine="600" w:firstLineChars="0"/>
      <w:jc w:val="left"/>
      <w:outlineLvl w:val="4"/>
    </w:pPr>
    <w:rPr>
      <w:rFonts w:ascii="Arial" w:hAnsi="Arial" w:cs="Times New Roman"/>
      <w:bCs/>
      <w:kern w:val="2"/>
      <w:sz w:val="28"/>
      <w:szCs w:val="28"/>
    </w:rPr>
  </w:style>
  <w:style w:type="paragraph" w:styleId="8">
    <w:name w:val="heading 6"/>
    <w:basedOn w:val="6"/>
    <w:next w:val="1"/>
    <w:link w:val="75"/>
    <w:qFormat/>
    <w:uiPriority w:val="9"/>
    <w:pPr>
      <w:topLinePunct w:val="0"/>
      <w:snapToGrid w:val="0"/>
      <w:ind w:left="1075" w:hanging="507" w:firstLineChars="0"/>
      <w:jc w:val="left"/>
      <w:outlineLvl w:val="5"/>
    </w:pPr>
    <w:rPr>
      <w:rFonts w:ascii="Arial" w:hAnsi="Arial" w:cs="Times New Roman"/>
      <w:bCs/>
      <w:kern w:val="2"/>
      <w:sz w:val="28"/>
    </w:rPr>
  </w:style>
  <w:style w:type="paragraph" w:styleId="9">
    <w:name w:val="heading 7"/>
    <w:basedOn w:val="1"/>
    <w:next w:val="1"/>
    <w:link w:val="76"/>
    <w:qFormat/>
    <w:uiPriority w:val="0"/>
    <w:pPr>
      <w:topLinePunct w:val="0"/>
      <w:snapToGrid w:val="0"/>
      <w:ind w:left="1103" w:firstLine="499" w:firstLineChars="0"/>
      <w:outlineLvl w:val="6"/>
    </w:pPr>
    <w:rPr>
      <w:rFonts w:ascii="Times New Roman" w:cs="Times New Roman"/>
      <w:bCs/>
      <w:kern w:val="2"/>
    </w:rPr>
  </w:style>
  <w:style w:type="paragraph" w:styleId="10">
    <w:name w:val="heading 8"/>
    <w:basedOn w:val="6"/>
    <w:next w:val="1"/>
    <w:link w:val="77"/>
    <w:qFormat/>
    <w:uiPriority w:val="0"/>
    <w:pPr>
      <w:widowControl/>
      <w:topLinePunct w:val="0"/>
      <w:snapToGrid w:val="0"/>
      <w:ind w:left="1103" w:firstLine="500" w:firstLineChars="0"/>
      <w:jc w:val="left"/>
      <w:outlineLvl w:val="7"/>
    </w:pPr>
    <w:rPr>
      <w:rFonts w:ascii="Arial" w:hAnsi="Arial" w:cs="Times New Roman"/>
      <w:kern w:val="2"/>
    </w:rPr>
  </w:style>
  <w:style w:type="paragraph" w:styleId="11">
    <w:name w:val="heading 9"/>
    <w:basedOn w:val="6"/>
    <w:next w:val="1"/>
    <w:link w:val="78"/>
    <w:qFormat/>
    <w:uiPriority w:val="0"/>
    <w:pPr>
      <w:keepNext/>
      <w:keepLines/>
      <w:widowControl/>
      <w:topLinePunct w:val="0"/>
      <w:snapToGrid w:val="0"/>
      <w:ind w:left="419" w:firstLine="500" w:firstLineChars="0"/>
      <w:jc w:val="left"/>
      <w:outlineLvl w:val="8"/>
    </w:pPr>
    <w:rPr>
      <w:rFonts w:ascii="Arial" w:hAnsi="Arial" w:cs="Times New Roman"/>
      <w:kern w:val="2"/>
      <w:szCs w:val="21"/>
    </w:rPr>
  </w:style>
  <w:style w:type="character" w:default="1" w:styleId="60">
    <w:name w:val="Default Paragraph Font"/>
    <w:unhideWhenUsed/>
    <w:uiPriority w:val="1"/>
  </w:style>
  <w:style w:type="table" w:default="1" w:styleId="57">
    <w:name w:val="Normal Table"/>
    <w:semiHidden/>
    <w:unhideWhenUsed/>
    <w:qFormat/>
    <w:uiPriority w:val="99"/>
    <w:tblPr>
      <w:tblCellMar>
        <w:top w:w="0" w:type="dxa"/>
        <w:left w:w="108" w:type="dxa"/>
        <w:bottom w:w="0" w:type="dxa"/>
        <w:right w:w="108" w:type="dxa"/>
      </w:tblCellMar>
    </w:tblPr>
  </w:style>
  <w:style w:type="paragraph" w:styleId="6">
    <w:name w:val="Body Text"/>
    <w:basedOn w:val="1"/>
    <w:link w:val="72"/>
    <w:unhideWhenUsed/>
    <w:uiPriority w:val="0"/>
  </w:style>
  <w:style w:type="paragraph" w:styleId="12">
    <w:name w:val="List 3"/>
    <w:basedOn w:val="1"/>
    <w:next w:val="1"/>
    <w:qFormat/>
    <w:uiPriority w:val="0"/>
    <w:pPr>
      <w:topLinePunct w:val="0"/>
      <w:autoSpaceDE w:val="0"/>
      <w:autoSpaceDN w:val="0"/>
      <w:spacing w:line="288" w:lineRule="auto"/>
      <w:ind w:left="1260" w:hanging="420" w:firstLineChars="0"/>
      <w:textAlignment w:val="baseline"/>
    </w:pPr>
    <w:rPr>
      <w:rFonts w:ascii="Calibri" w:hAnsi="Calibri" w:eastAsia="仿宋"/>
      <w:kern w:val="2"/>
      <w:sz w:val="21"/>
      <w:szCs w:val="20"/>
    </w:rPr>
  </w:style>
  <w:style w:type="paragraph" w:styleId="13">
    <w:name w:val="toc 7"/>
    <w:basedOn w:val="1"/>
    <w:next w:val="1"/>
    <w:unhideWhenUsed/>
    <w:qFormat/>
    <w:uiPriority w:val="39"/>
    <w:pPr>
      <w:topLinePunct w:val="0"/>
      <w:adjustRightInd/>
      <w:spacing w:line="240" w:lineRule="auto"/>
      <w:ind w:left="2520" w:leftChars="1200" w:firstLine="0" w:firstLineChars="0"/>
    </w:pPr>
    <w:rPr>
      <w:rFonts w:ascii="Calibri" w:hAnsi="Calibri" w:cs="Times New Roman"/>
      <w:kern w:val="2"/>
      <w:sz w:val="21"/>
      <w:szCs w:val="22"/>
    </w:rPr>
  </w:style>
  <w:style w:type="paragraph" w:styleId="14">
    <w:name w:val="table of authorities"/>
    <w:basedOn w:val="1"/>
    <w:next w:val="1"/>
    <w:uiPriority w:val="0"/>
    <w:pPr>
      <w:topLinePunct w:val="0"/>
      <w:adjustRightInd/>
      <w:spacing w:line="240" w:lineRule="auto"/>
      <w:ind w:left="420" w:leftChars="200" w:firstLine="0" w:firstLineChars="0"/>
    </w:pPr>
    <w:rPr>
      <w:rFonts w:ascii="Times New Roman" w:cs="Times New Roman"/>
      <w:kern w:val="2"/>
      <w:sz w:val="21"/>
      <w:szCs w:val="20"/>
    </w:rPr>
  </w:style>
  <w:style w:type="paragraph" w:styleId="15">
    <w:name w:val="Note Heading"/>
    <w:basedOn w:val="1"/>
    <w:next w:val="1"/>
    <w:link w:val="548"/>
    <w:uiPriority w:val="0"/>
    <w:pPr>
      <w:topLinePunct w:val="0"/>
      <w:adjustRightInd/>
      <w:jc w:val="center"/>
    </w:pPr>
    <w:rPr>
      <w:rFonts w:ascii="Calibri" w:hAnsi="Calibri" w:cs="Times New Roman"/>
      <w:sz w:val="20"/>
    </w:rPr>
  </w:style>
  <w:style w:type="paragraph" w:styleId="16">
    <w:name w:val="List Number"/>
    <w:basedOn w:val="1"/>
    <w:link w:val="176"/>
    <w:uiPriority w:val="0"/>
    <w:pPr>
      <w:tabs>
        <w:tab w:val="left" w:pos="1280"/>
      </w:tabs>
      <w:topLinePunct w:val="0"/>
      <w:adjustRightInd/>
      <w:spacing w:line="240" w:lineRule="auto"/>
      <w:ind w:left="1280" w:hanging="720" w:firstLineChars="0"/>
    </w:pPr>
    <w:rPr>
      <w:rFonts w:ascii="Calibri" w:hAnsi="Calibri" w:cs="Times New Roman"/>
      <w:sz w:val="20"/>
      <w:szCs w:val="20"/>
    </w:rPr>
  </w:style>
  <w:style w:type="paragraph" w:styleId="17">
    <w:name w:val="Normal Indent"/>
    <w:basedOn w:val="1"/>
    <w:link w:val="159"/>
    <w:uiPriority w:val="0"/>
    <w:pPr>
      <w:topLinePunct w:val="0"/>
      <w:adjustRightInd/>
      <w:spacing w:line="240" w:lineRule="auto"/>
      <w:ind w:firstLine="420"/>
    </w:pPr>
    <w:rPr>
      <w:rFonts w:ascii="Calibri" w:hAnsi="Calibri" w:cs="Times New Roman"/>
      <w:sz w:val="20"/>
      <w:szCs w:val="20"/>
    </w:rPr>
  </w:style>
  <w:style w:type="paragraph" w:styleId="18">
    <w:name w:val="caption"/>
    <w:basedOn w:val="1"/>
    <w:next w:val="1"/>
    <w:link w:val="559"/>
    <w:qFormat/>
    <w:uiPriority w:val="0"/>
    <w:rPr>
      <w:rFonts w:ascii="Cambria" w:hAnsi="Cambria" w:eastAsia="黑体" w:cs="Times New Roman"/>
      <w:sz w:val="20"/>
      <w:szCs w:val="20"/>
    </w:rPr>
  </w:style>
  <w:style w:type="paragraph" w:styleId="19">
    <w:name w:val="Document Map"/>
    <w:basedOn w:val="1"/>
    <w:link w:val="79"/>
    <w:unhideWhenUsed/>
    <w:qFormat/>
    <w:uiPriority w:val="0"/>
    <w:rPr>
      <w:sz w:val="18"/>
      <w:szCs w:val="18"/>
    </w:rPr>
  </w:style>
  <w:style w:type="paragraph" w:styleId="20">
    <w:name w:val="toa heading"/>
    <w:basedOn w:val="1"/>
    <w:next w:val="1"/>
    <w:qFormat/>
    <w:uiPriority w:val="0"/>
    <w:pPr>
      <w:topLinePunct w:val="0"/>
      <w:adjustRightInd/>
      <w:spacing w:before="120" w:line="240" w:lineRule="auto"/>
      <w:ind w:firstLine="0" w:firstLineChars="0"/>
    </w:pPr>
    <w:rPr>
      <w:rFonts w:ascii="Arial" w:hAnsi="Arial" w:cs="Arial"/>
      <w:kern w:val="2"/>
    </w:rPr>
  </w:style>
  <w:style w:type="paragraph" w:styleId="21">
    <w:name w:val="annotation text"/>
    <w:basedOn w:val="1"/>
    <w:link w:val="80"/>
    <w:unhideWhenUsed/>
    <w:qFormat/>
    <w:uiPriority w:val="0"/>
    <w:pPr>
      <w:jc w:val="left"/>
    </w:pPr>
  </w:style>
  <w:style w:type="paragraph" w:styleId="22">
    <w:name w:val="index 6"/>
    <w:basedOn w:val="1"/>
    <w:next w:val="1"/>
    <w:qFormat/>
    <w:uiPriority w:val="0"/>
    <w:pPr>
      <w:topLinePunct w:val="0"/>
      <w:adjustRightInd/>
      <w:spacing w:line="240" w:lineRule="auto"/>
      <w:ind w:left="1000" w:leftChars="1000" w:firstLine="0" w:firstLineChars="0"/>
    </w:pPr>
    <w:rPr>
      <w:rFonts w:ascii="Times New Roman" w:cs="Times New Roman"/>
      <w:kern w:val="2"/>
      <w:sz w:val="21"/>
      <w:szCs w:val="20"/>
    </w:rPr>
  </w:style>
  <w:style w:type="paragraph" w:styleId="23">
    <w:name w:val="Body Text 3"/>
    <w:basedOn w:val="1"/>
    <w:link w:val="186"/>
    <w:qFormat/>
    <w:uiPriority w:val="0"/>
    <w:pPr>
      <w:topLinePunct w:val="0"/>
      <w:adjustRightInd/>
      <w:spacing w:after="120" w:line="240" w:lineRule="auto"/>
      <w:ind w:firstLine="0" w:firstLineChars="0"/>
    </w:pPr>
    <w:rPr>
      <w:rFonts w:ascii="Calibri" w:hAnsi="Calibri" w:cs="Times New Roman"/>
      <w:sz w:val="16"/>
      <w:szCs w:val="16"/>
    </w:rPr>
  </w:style>
  <w:style w:type="paragraph" w:styleId="24">
    <w:name w:val="List Bullet 3"/>
    <w:basedOn w:val="1"/>
    <w:qFormat/>
    <w:uiPriority w:val="0"/>
    <w:pPr>
      <w:tabs>
        <w:tab w:val="left" w:pos="1280"/>
      </w:tabs>
      <w:topLinePunct w:val="0"/>
      <w:adjustRightInd/>
      <w:spacing w:line="240" w:lineRule="auto"/>
      <w:ind w:left="1280" w:hanging="720" w:firstLineChars="0"/>
    </w:pPr>
    <w:rPr>
      <w:rFonts w:ascii="Times New Roman" w:cs="Times New Roman"/>
      <w:kern w:val="2"/>
      <w:sz w:val="21"/>
      <w:szCs w:val="20"/>
    </w:rPr>
  </w:style>
  <w:style w:type="paragraph" w:styleId="25">
    <w:name w:val="Body Text Indent"/>
    <w:basedOn w:val="1"/>
    <w:link w:val="228"/>
    <w:unhideWhenUsed/>
    <w:qFormat/>
    <w:uiPriority w:val="0"/>
    <w:pPr>
      <w:topLinePunct w:val="0"/>
      <w:adjustRightInd/>
      <w:spacing w:after="120" w:line="240" w:lineRule="auto"/>
      <w:ind w:left="420" w:leftChars="200" w:firstLine="0" w:firstLineChars="0"/>
    </w:pPr>
    <w:rPr>
      <w:rFonts w:ascii="Times New Roman" w:cs="Times New Roman"/>
      <w:kern w:val="2"/>
      <w:sz w:val="21"/>
    </w:rPr>
  </w:style>
  <w:style w:type="paragraph" w:styleId="26">
    <w:name w:val="List 2"/>
    <w:basedOn w:val="1"/>
    <w:qFormat/>
    <w:uiPriority w:val="0"/>
    <w:pPr>
      <w:topLinePunct w:val="0"/>
      <w:adjustRightInd/>
      <w:spacing w:line="240" w:lineRule="auto"/>
      <w:ind w:left="840" w:hanging="420" w:firstLineChars="0"/>
    </w:pPr>
    <w:rPr>
      <w:rFonts w:ascii="Times New Roman" w:cs="Times New Roman"/>
      <w:kern w:val="2"/>
      <w:sz w:val="21"/>
      <w:szCs w:val="20"/>
    </w:rPr>
  </w:style>
  <w:style w:type="paragraph" w:styleId="27">
    <w:name w:val="Block Text"/>
    <w:basedOn w:val="1"/>
    <w:qFormat/>
    <w:uiPriority w:val="0"/>
    <w:pPr>
      <w:topLinePunct w:val="0"/>
      <w:adjustRightInd/>
      <w:spacing w:line="240" w:lineRule="auto"/>
      <w:ind w:left="105" w:leftChars="50" w:right="284" w:firstLine="560"/>
    </w:pPr>
    <w:rPr>
      <w:rFonts w:ascii="Arial" w:hAnsi="Arial" w:eastAsia="仿宋_GB2312" w:cs="Arial"/>
      <w:kern w:val="2"/>
      <w:sz w:val="28"/>
    </w:rPr>
  </w:style>
  <w:style w:type="paragraph" w:styleId="28">
    <w:name w:val="toc 5"/>
    <w:basedOn w:val="1"/>
    <w:next w:val="1"/>
    <w:unhideWhenUsed/>
    <w:qFormat/>
    <w:uiPriority w:val="39"/>
    <w:pPr>
      <w:topLinePunct w:val="0"/>
      <w:adjustRightInd/>
      <w:spacing w:line="240" w:lineRule="auto"/>
      <w:ind w:left="1680" w:leftChars="800" w:firstLine="0" w:firstLineChars="0"/>
    </w:pPr>
    <w:rPr>
      <w:rFonts w:ascii="Calibri" w:hAnsi="Calibri" w:cs="Times New Roman"/>
      <w:kern w:val="2"/>
      <w:sz w:val="21"/>
      <w:szCs w:val="22"/>
    </w:rPr>
  </w:style>
  <w:style w:type="paragraph" w:styleId="29">
    <w:name w:val="toc 3"/>
    <w:basedOn w:val="1"/>
    <w:next w:val="1"/>
    <w:unhideWhenUsed/>
    <w:qFormat/>
    <w:uiPriority w:val="39"/>
    <w:pPr>
      <w:ind w:left="840" w:leftChars="400"/>
    </w:pPr>
  </w:style>
  <w:style w:type="paragraph" w:styleId="30">
    <w:name w:val="Plain Text"/>
    <w:basedOn w:val="1"/>
    <w:link w:val="275"/>
    <w:qFormat/>
    <w:uiPriority w:val="0"/>
    <w:pPr>
      <w:topLinePunct w:val="0"/>
      <w:adjustRightInd/>
      <w:spacing w:line="240" w:lineRule="auto"/>
      <w:ind w:firstLine="0" w:firstLineChars="0"/>
    </w:pPr>
    <w:rPr>
      <w:rFonts w:hAnsi="Courier New" w:cs="Times New Roman"/>
      <w:sz w:val="20"/>
      <w:szCs w:val="21"/>
    </w:rPr>
  </w:style>
  <w:style w:type="paragraph" w:styleId="31">
    <w:name w:val="toc 8"/>
    <w:basedOn w:val="1"/>
    <w:next w:val="1"/>
    <w:unhideWhenUsed/>
    <w:qFormat/>
    <w:uiPriority w:val="39"/>
    <w:pPr>
      <w:topLinePunct w:val="0"/>
      <w:adjustRightInd/>
      <w:spacing w:line="240" w:lineRule="auto"/>
      <w:ind w:left="2940" w:leftChars="1400" w:firstLine="0" w:firstLineChars="0"/>
    </w:pPr>
    <w:rPr>
      <w:rFonts w:ascii="Calibri" w:hAnsi="Calibri" w:cs="Times New Roman"/>
      <w:kern w:val="2"/>
      <w:sz w:val="21"/>
      <w:szCs w:val="22"/>
    </w:rPr>
  </w:style>
  <w:style w:type="paragraph" w:styleId="32">
    <w:name w:val="Date"/>
    <w:basedOn w:val="1"/>
    <w:next w:val="1"/>
    <w:link w:val="81"/>
    <w:unhideWhenUsed/>
    <w:qFormat/>
    <w:uiPriority w:val="0"/>
    <w:pPr>
      <w:ind w:left="100" w:leftChars="2500"/>
    </w:pPr>
  </w:style>
  <w:style w:type="paragraph" w:styleId="33">
    <w:name w:val="Body Text Indent 2"/>
    <w:basedOn w:val="1"/>
    <w:link w:val="82"/>
    <w:unhideWhenUsed/>
    <w:qFormat/>
    <w:uiPriority w:val="0"/>
    <w:pPr>
      <w:spacing w:after="120" w:line="480" w:lineRule="auto"/>
      <w:ind w:left="420" w:leftChars="200"/>
    </w:pPr>
  </w:style>
  <w:style w:type="paragraph" w:styleId="34">
    <w:name w:val="Balloon Text"/>
    <w:basedOn w:val="1"/>
    <w:link w:val="83"/>
    <w:unhideWhenUsed/>
    <w:qFormat/>
    <w:uiPriority w:val="0"/>
    <w:rPr>
      <w:sz w:val="18"/>
      <w:szCs w:val="18"/>
    </w:rPr>
  </w:style>
  <w:style w:type="paragraph" w:styleId="35">
    <w:name w:val="footer"/>
    <w:basedOn w:val="1"/>
    <w:link w:val="84"/>
    <w:unhideWhenUsed/>
    <w:qFormat/>
    <w:uiPriority w:val="0"/>
    <w:pPr>
      <w:tabs>
        <w:tab w:val="center" w:pos="4153"/>
        <w:tab w:val="right" w:pos="8306"/>
      </w:tabs>
      <w:snapToGrid w:val="0"/>
      <w:spacing w:line="240" w:lineRule="auto"/>
      <w:ind w:firstLine="0" w:firstLineChars="0"/>
      <w:jc w:val="center"/>
    </w:pPr>
    <w:rPr>
      <w:rFonts w:eastAsia="Times New Roman"/>
      <w:sz w:val="18"/>
      <w:szCs w:val="18"/>
    </w:rPr>
  </w:style>
  <w:style w:type="paragraph" w:styleId="36">
    <w:name w:val="header"/>
    <w:basedOn w:val="1"/>
    <w:link w:val="85"/>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37">
    <w:name w:val="toc 1"/>
    <w:basedOn w:val="1"/>
    <w:next w:val="1"/>
    <w:unhideWhenUsed/>
    <w:qFormat/>
    <w:uiPriority w:val="39"/>
    <w:pPr>
      <w:ind w:firstLine="0" w:firstLineChars="0"/>
      <w:jc w:val="center"/>
    </w:pPr>
    <w:rPr>
      <w:rFonts w:ascii="Times New Roman"/>
      <w:b/>
      <w:sz w:val="21"/>
    </w:rPr>
  </w:style>
  <w:style w:type="paragraph" w:styleId="38">
    <w:name w:val="toc 4"/>
    <w:basedOn w:val="1"/>
    <w:next w:val="1"/>
    <w:unhideWhenUsed/>
    <w:qFormat/>
    <w:uiPriority w:val="39"/>
    <w:pPr>
      <w:topLinePunct w:val="0"/>
      <w:adjustRightInd/>
      <w:spacing w:line="240" w:lineRule="auto"/>
      <w:ind w:left="1260" w:leftChars="600" w:firstLine="0" w:firstLineChars="0"/>
    </w:pPr>
    <w:rPr>
      <w:rFonts w:ascii="Calibri" w:hAnsi="Calibri" w:cs="Times New Roman"/>
      <w:kern w:val="2"/>
      <w:sz w:val="21"/>
      <w:szCs w:val="22"/>
    </w:rPr>
  </w:style>
  <w:style w:type="paragraph" w:styleId="39">
    <w:name w:val="index heading"/>
    <w:basedOn w:val="1"/>
    <w:next w:val="40"/>
    <w:uiPriority w:val="0"/>
    <w:pPr>
      <w:topLinePunct w:val="0"/>
      <w:adjustRightInd/>
      <w:spacing w:line="240" w:lineRule="auto"/>
      <w:ind w:firstLine="0" w:firstLineChars="0"/>
    </w:pPr>
    <w:rPr>
      <w:rFonts w:ascii="Times New Roman" w:eastAsia="仿宋_GB2312" w:cs="Times New Roman"/>
      <w:kern w:val="2"/>
      <w:sz w:val="28"/>
      <w:szCs w:val="20"/>
    </w:rPr>
  </w:style>
  <w:style w:type="paragraph" w:styleId="40">
    <w:name w:val="index 1"/>
    <w:basedOn w:val="1"/>
    <w:next w:val="1"/>
    <w:unhideWhenUsed/>
    <w:qFormat/>
    <w:uiPriority w:val="0"/>
    <w:pPr>
      <w:topLinePunct w:val="0"/>
      <w:adjustRightInd/>
      <w:spacing w:line="240" w:lineRule="auto"/>
      <w:ind w:firstLine="0" w:firstLineChars="0"/>
    </w:pPr>
    <w:rPr>
      <w:rFonts w:ascii="Times New Roman" w:cs="Times New Roman"/>
      <w:kern w:val="2"/>
      <w:sz w:val="21"/>
    </w:rPr>
  </w:style>
  <w:style w:type="paragraph" w:styleId="41">
    <w:name w:val="List Number 5"/>
    <w:basedOn w:val="1"/>
    <w:qFormat/>
    <w:uiPriority w:val="0"/>
    <w:pPr>
      <w:tabs>
        <w:tab w:val="left" w:pos="2040"/>
      </w:tabs>
      <w:topLinePunct w:val="0"/>
      <w:adjustRightInd/>
      <w:spacing w:line="240" w:lineRule="auto"/>
      <w:ind w:left="840" w:firstLine="0" w:firstLineChars="0"/>
    </w:pPr>
    <w:rPr>
      <w:rFonts w:ascii="Times New Roman" w:cs="Times New Roman"/>
      <w:kern w:val="2"/>
      <w:sz w:val="21"/>
    </w:rPr>
  </w:style>
  <w:style w:type="paragraph" w:styleId="42">
    <w:name w:val="List"/>
    <w:basedOn w:val="1"/>
    <w:qFormat/>
    <w:uiPriority w:val="0"/>
    <w:pPr>
      <w:topLinePunct w:val="0"/>
      <w:adjustRightInd/>
      <w:spacing w:line="240" w:lineRule="auto"/>
      <w:ind w:left="200" w:hanging="200" w:hangingChars="200"/>
    </w:pPr>
    <w:rPr>
      <w:rFonts w:ascii="Times New Roman" w:cs="Times New Roman"/>
      <w:kern w:val="2"/>
      <w:sz w:val="21"/>
      <w:szCs w:val="20"/>
    </w:rPr>
  </w:style>
  <w:style w:type="paragraph" w:styleId="43">
    <w:name w:val="toc 6"/>
    <w:basedOn w:val="1"/>
    <w:next w:val="1"/>
    <w:unhideWhenUsed/>
    <w:qFormat/>
    <w:uiPriority w:val="39"/>
    <w:pPr>
      <w:topLinePunct w:val="0"/>
      <w:adjustRightInd/>
      <w:spacing w:line="240" w:lineRule="auto"/>
      <w:ind w:left="2100" w:leftChars="1000" w:firstLine="0" w:firstLineChars="0"/>
    </w:pPr>
    <w:rPr>
      <w:rFonts w:ascii="Calibri" w:hAnsi="Calibri" w:cs="Times New Roman"/>
      <w:kern w:val="2"/>
      <w:sz w:val="21"/>
      <w:szCs w:val="22"/>
    </w:rPr>
  </w:style>
  <w:style w:type="paragraph" w:styleId="44">
    <w:name w:val="Body Text Indent 3"/>
    <w:basedOn w:val="1"/>
    <w:link w:val="194"/>
    <w:qFormat/>
    <w:uiPriority w:val="0"/>
    <w:pPr>
      <w:topLinePunct w:val="0"/>
      <w:adjustRightInd/>
      <w:spacing w:after="120" w:line="240" w:lineRule="auto"/>
      <w:ind w:left="420" w:leftChars="200" w:firstLine="0" w:firstLineChars="0"/>
    </w:pPr>
    <w:rPr>
      <w:rFonts w:ascii="Calibri" w:hAnsi="Calibri" w:cs="Times New Roman"/>
      <w:sz w:val="16"/>
      <w:szCs w:val="16"/>
    </w:rPr>
  </w:style>
  <w:style w:type="paragraph" w:styleId="45">
    <w:name w:val="index 7"/>
    <w:basedOn w:val="1"/>
    <w:next w:val="1"/>
    <w:qFormat/>
    <w:uiPriority w:val="0"/>
    <w:pPr>
      <w:topLinePunct w:val="0"/>
      <w:adjustRightInd/>
      <w:spacing w:line="240" w:lineRule="auto"/>
      <w:ind w:left="1200" w:leftChars="1200" w:firstLine="0" w:firstLineChars="0"/>
    </w:pPr>
    <w:rPr>
      <w:rFonts w:ascii="Times New Roman" w:cs="Times New Roman"/>
      <w:kern w:val="2"/>
      <w:sz w:val="21"/>
      <w:szCs w:val="20"/>
    </w:rPr>
  </w:style>
  <w:style w:type="paragraph" w:styleId="46">
    <w:name w:val="table of figures"/>
    <w:basedOn w:val="1"/>
    <w:next w:val="1"/>
    <w:qFormat/>
    <w:uiPriority w:val="0"/>
    <w:pPr>
      <w:topLinePunct w:val="0"/>
      <w:adjustRightInd/>
      <w:spacing w:line="240" w:lineRule="auto"/>
      <w:ind w:left="200" w:leftChars="200" w:hanging="200" w:hangingChars="200"/>
    </w:pPr>
    <w:rPr>
      <w:rFonts w:ascii="Times New Roman" w:eastAsia="仿宋_GB2312" w:cs="Times New Roman"/>
      <w:kern w:val="2"/>
      <w:sz w:val="28"/>
      <w:szCs w:val="20"/>
    </w:rPr>
  </w:style>
  <w:style w:type="paragraph" w:styleId="47">
    <w:name w:val="toc 2"/>
    <w:basedOn w:val="1"/>
    <w:next w:val="1"/>
    <w:unhideWhenUsed/>
    <w:qFormat/>
    <w:uiPriority w:val="39"/>
    <w:pPr>
      <w:ind w:left="420" w:leftChars="200"/>
    </w:pPr>
  </w:style>
  <w:style w:type="paragraph" w:styleId="48">
    <w:name w:val="toc 9"/>
    <w:basedOn w:val="1"/>
    <w:next w:val="1"/>
    <w:unhideWhenUsed/>
    <w:qFormat/>
    <w:uiPriority w:val="39"/>
    <w:pPr>
      <w:topLinePunct w:val="0"/>
      <w:adjustRightInd/>
      <w:spacing w:line="240" w:lineRule="auto"/>
      <w:ind w:left="3360" w:leftChars="1600" w:firstLine="0" w:firstLineChars="0"/>
    </w:pPr>
    <w:rPr>
      <w:rFonts w:ascii="Calibri" w:hAnsi="Calibri" w:cs="Times New Roman"/>
      <w:kern w:val="2"/>
      <w:sz w:val="21"/>
      <w:szCs w:val="22"/>
    </w:rPr>
  </w:style>
  <w:style w:type="paragraph" w:styleId="49">
    <w:name w:val="Body Text 2"/>
    <w:basedOn w:val="1"/>
    <w:link w:val="188"/>
    <w:qFormat/>
    <w:uiPriority w:val="0"/>
    <w:pPr>
      <w:topLinePunct w:val="0"/>
      <w:adjustRightInd/>
      <w:spacing w:after="120" w:line="480" w:lineRule="auto"/>
      <w:ind w:firstLine="0" w:firstLineChars="0"/>
    </w:pPr>
    <w:rPr>
      <w:rFonts w:ascii="Calibri" w:hAnsi="Calibri" w:cs="Times New Roman"/>
      <w:sz w:val="20"/>
      <w:szCs w:val="20"/>
    </w:rPr>
  </w:style>
  <w:style w:type="paragraph" w:styleId="50">
    <w:name w:val="List Continue 2"/>
    <w:basedOn w:val="1"/>
    <w:qFormat/>
    <w:uiPriority w:val="0"/>
    <w:pPr>
      <w:topLinePunct w:val="0"/>
      <w:adjustRightInd/>
      <w:spacing w:after="120" w:line="240" w:lineRule="auto"/>
      <w:ind w:left="840" w:leftChars="400" w:firstLine="0" w:firstLineChars="0"/>
    </w:pPr>
    <w:rPr>
      <w:rFonts w:ascii="Times New Roman" w:cs="Times New Roman"/>
      <w:kern w:val="2"/>
      <w:sz w:val="21"/>
      <w:szCs w:val="20"/>
    </w:rPr>
  </w:style>
  <w:style w:type="paragraph" w:styleId="51">
    <w:name w:val="HTML Preformatted"/>
    <w:basedOn w:val="1"/>
    <w:link w:val="144"/>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val="0"/>
      <w:adjustRightInd/>
      <w:spacing w:line="240" w:lineRule="auto"/>
      <w:ind w:firstLine="0" w:firstLineChars="0"/>
      <w:jc w:val="left"/>
    </w:pPr>
    <w:rPr>
      <w:rFonts w:ascii="Arial" w:hAnsi="Arial" w:cs="Times New Roman"/>
    </w:rPr>
  </w:style>
  <w:style w:type="paragraph" w:styleId="52">
    <w:name w:val="Normal (Web)"/>
    <w:basedOn w:val="1"/>
    <w:qFormat/>
    <w:uiPriority w:val="0"/>
    <w:pPr>
      <w:topLinePunct w:val="0"/>
      <w:adjustRightInd/>
      <w:spacing w:line="240" w:lineRule="auto"/>
      <w:ind w:firstLine="0" w:firstLineChars="0"/>
    </w:pPr>
    <w:rPr>
      <w:rFonts w:ascii="Times New Roman" w:cs="Times New Roman"/>
      <w:kern w:val="2"/>
      <w:szCs w:val="20"/>
    </w:rPr>
  </w:style>
  <w:style w:type="paragraph" w:styleId="53">
    <w:name w:val="Title"/>
    <w:basedOn w:val="1"/>
    <w:next w:val="1"/>
    <w:link w:val="86"/>
    <w:qFormat/>
    <w:uiPriority w:val="0"/>
    <w:pPr>
      <w:spacing w:before="240" w:after="60"/>
      <w:jc w:val="center"/>
      <w:outlineLvl w:val="0"/>
    </w:pPr>
    <w:rPr>
      <w:rFonts w:ascii="Cambria" w:hAnsi="Cambria" w:cs="Times New Roman"/>
      <w:b/>
      <w:bCs/>
      <w:sz w:val="32"/>
      <w:szCs w:val="32"/>
    </w:rPr>
  </w:style>
  <w:style w:type="paragraph" w:styleId="54">
    <w:name w:val="annotation subject"/>
    <w:basedOn w:val="21"/>
    <w:next w:val="21"/>
    <w:link w:val="142"/>
    <w:unhideWhenUsed/>
    <w:qFormat/>
    <w:uiPriority w:val="99"/>
    <w:rPr>
      <w:b/>
      <w:bCs/>
    </w:rPr>
  </w:style>
  <w:style w:type="paragraph" w:styleId="55">
    <w:name w:val="Body Text First Indent"/>
    <w:basedOn w:val="6"/>
    <w:link w:val="174"/>
    <w:qFormat/>
    <w:uiPriority w:val="0"/>
    <w:pPr>
      <w:topLinePunct w:val="0"/>
      <w:adjustRightInd/>
      <w:spacing w:after="120" w:line="240" w:lineRule="auto"/>
      <w:ind w:firstLine="420" w:firstLineChars="100"/>
    </w:pPr>
    <w:rPr>
      <w:rFonts w:ascii="Calibri" w:hAnsi="Calibri" w:cs="Times New Roman"/>
      <w:sz w:val="20"/>
      <w:szCs w:val="20"/>
    </w:rPr>
  </w:style>
  <w:style w:type="paragraph" w:styleId="56">
    <w:name w:val="Body Text First Indent 2"/>
    <w:basedOn w:val="25"/>
    <w:next w:val="1"/>
    <w:link w:val="241"/>
    <w:qFormat/>
    <w:uiPriority w:val="0"/>
    <w:pPr>
      <w:ind w:firstLine="420" w:firstLineChars="200"/>
    </w:pPr>
    <w:rPr>
      <w:rFonts w:ascii="Arial" w:hAnsi="Arial"/>
      <w:kern w:val="0"/>
      <w:sz w:val="20"/>
      <w:szCs w:val="20"/>
    </w:rPr>
  </w:style>
  <w:style w:type="table" w:styleId="58">
    <w:name w:val="Table Grid"/>
    <w:basedOn w:val="57"/>
    <w:qFormat/>
    <w:uiPriority w:val="0"/>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59">
    <w:name w:val="Table Grid 5"/>
    <w:basedOn w:val="57"/>
    <w:qFormat/>
    <w:uiPriority w:val="0"/>
    <w:pPr>
      <w:widowControl w:val="0"/>
      <w:adjustRightInd w:val="0"/>
      <w:snapToGrid w:val="0"/>
      <w:spacing w:line="460" w:lineRule="exact"/>
      <w:ind w:firstLine="520" w:firstLineChars="20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61">
    <w:name w:val="Strong"/>
    <w:basedOn w:val="60"/>
    <w:qFormat/>
    <w:uiPriority w:val="0"/>
    <w:rPr>
      <w:rFonts w:ascii="Times New Roman" w:hAnsi="Times New Roman" w:eastAsia="宋体"/>
      <w:b/>
      <w:bCs/>
      <w:spacing w:val="2"/>
      <w:w w:val="100"/>
      <w:position w:val="2"/>
      <w:sz w:val="21"/>
    </w:rPr>
  </w:style>
  <w:style w:type="character" w:styleId="62">
    <w:name w:val="page number"/>
    <w:basedOn w:val="60"/>
    <w:qFormat/>
    <w:uiPriority w:val="0"/>
  </w:style>
  <w:style w:type="character" w:styleId="63">
    <w:name w:val="FollowedHyperlink"/>
    <w:basedOn w:val="60"/>
    <w:unhideWhenUsed/>
    <w:qFormat/>
    <w:uiPriority w:val="0"/>
    <w:rPr>
      <w:color w:val="800080"/>
      <w:u w:val="single"/>
    </w:rPr>
  </w:style>
  <w:style w:type="character" w:styleId="64">
    <w:name w:val="Emphasis"/>
    <w:basedOn w:val="60"/>
    <w:qFormat/>
    <w:uiPriority w:val="0"/>
    <w:rPr>
      <w:rFonts w:ascii="Times New Roman" w:hAnsi="Times New Roman" w:eastAsia="宋体"/>
      <w:b/>
      <w:iCs/>
      <w:sz w:val="24"/>
    </w:rPr>
  </w:style>
  <w:style w:type="character" w:styleId="65">
    <w:name w:val="HTML Definition"/>
    <w:qFormat/>
    <w:uiPriority w:val="0"/>
    <w:rPr>
      <w:i/>
      <w:iCs/>
    </w:rPr>
  </w:style>
  <w:style w:type="character" w:styleId="66">
    <w:name w:val="Hyperlink"/>
    <w:basedOn w:val="60"/>
    <w:unhideWhenUsed/>
    <w:qFormat/>
    <w:uiPriority w:val="99"/>
    <w:rPr>
      <w:color w:val="0000FF"/>
      <w:u w:val="single"/>
    </w:rPr>
  </w:style>
  <w:style w:type="character" w:styleId="67">
    <w:name w:val="annotation reference"/>
    <w:basedOn w:val="60"/>
    <w:unhideWhenUsed/>
    <w:qFormat/>
    <w:uiPriority w:val="0"/>
    <w:rPr>
      <w:sz w:val="21"/>
      <w:szCs w:val="21"/>
    </w:rPr>
  </w:style>
  <w:style w:type="character" w:styleId="68">
    <w:name w:val="HTML Cite"/>
    <w:qFormat/>
    <w:uiPriority w:val="0"/>
    <w:rPr>
      <w:color w:val="008000"/>
    </w:rPr>
  </w:style>
  <w:style w:type="character" w:customStyle="1" w:styleId="69">
    <w:name w:val="标题 1 Char"/>
    <w:basedOn w:val="60"/>
    <w:link w:val="2"/>
    <w:qFormat/>
    <w:uiPriority w:val="0"/>
    <w:rPr>
      <w:rFonts w:ascii="Times New Roman" w:hAnsi="Times New Roman" w:eastAsia="Times New Roman" w:cs="Times New Roman"/>
      <w:b/>
      <w:kern w:val="44"/>
      <w:sz w:val="32"/>
      <w:szCs w:val="44"/>
    </w:rPr>
  </w:style>
  <w:style w:type="character" w:customStyle="1" w:styleId="70">
    <w:name w:val="标题 2 Char1"/>
    <w:basedOn w:val="60"/>
    <w:link w:val="3"/>
    <w:qFormat/>
    <w:uiPriority w:val="0"/>
    <w:rPr>
      <w:rFonts w:ascii="Times New Roman" w:hAnsi="Times New Roman" w:eastAsia="宋体" w:cs="宋体"/>
      <w:b/>
      <w:bCs/>
      <w:kern w:val="0"/>
      <w:sz w:val="28"/>
      <w:szCs w:val="32"/>
    </w:rPr>
  </w:style>
  <w:style w:type="character" w:customStyle="1" w:styleId="71">
    <w:name w:val="标题 3 Char3"/>
    <w:basedOn w:val="60"/>
    <w:link w:val="4"/>
    <w:qFormat/>
    <w:uiPriority w:val="0"/>
    <w:rPr>
      <w:rFonts w:ascii="Times New Roman" w:hAnsi="Times New Roman" w:eastAsia="Times New Roman" w:cs="Times New Roman"/>
      <w:b/>
      <w:kern w:val="0"/>
      <w:sz w:val="24"/>
      <w:szCs w:val="32"/>
    </w:rPr>
  </w:style>
  <w:style w:type="character" w:customStyle="1" w:styleId="72">
    <w:name w:val="正文文本 Char"/>
    <w:basedOn w:val="60"/>
    <w:link w:val="6"/>
    <w:qFormat/>
    <w:uiPriority w:val="0"/>
    <w:rPr>
      <w:rFonts w:ascii="宋体" w:hAnsi="Times New Roman" w:cs="宋体"/>
      <w:kern w:val="0"/>
      <w:sz w:val="24"/>
      <w:szCs w:val="24"/>
    </w:rPr>
  </w:style>
  <w:style w:type="character" w:customStyle="1" w:styleId="73">
    <w:name w:val="标题 4 Char"/>
    <w:basedOn w:val="60"/>
    <w:link w:val="5"/>
    <w:qFormat/>
    <w:uiPriority w:val="0"/>
    <w:rPr>
      <w:rFonts w:ascii="Arial" w:hAnsi="Arial" w:eastAsia="宋体" w:cs="Times New Roman"/>
      <w:sz w:val="28"/>
      <w:szCs w:val="21"/>
    </w:rPr>
  </w:style>
  <w:style w:type="character" w:customStyle="1" w:styleId="74">
    <w:name w:val="标题 5 Char"/>
    <w:basedOn w:val="60"/>
    <w:link w:val="7"/>
    <w:qFormat/>
    <w:uiPriority w:val="0"/>
    <w:rPr>
      <w:rFonts w:ascii="Arial" w:hAnsi="Arial" w:eastAsia="宋体" w:cs="Times New Roman"/>
      <w:bCs/>
      <w:sz w:val="28"/>
      <w:szCs w:val="28"/>
    </w:rPr>
  </w:style>
  <w:style w:type="character" w:customStyle="1" w:styleId="75">
    <w:name w:val="标题 6 Char"/>
    <w:basedOn w:val="60"/>
    <w:link w:val="8"/>
    <w:qFormat/>
    <w:uiPriority w:val="0"/>
    <w:rPr>
      <w:rFonts w:ascii="Arial" w:hAnsi="Arial" w:eastAsia="宋体" w:cs="Times New Roman"/>
      <w:bCs/>
      <w:sz w:val="28"/>
      <w:szCs w:val="24"/>
    </w:rPr>
  </w:style>
  <w:style w:type="character" w:customStyle="1" w:styleId="76">
    <w:name w:val="标题 7 Char"/>
    <w:basedOn w:val="60"/>
    <w:link w:val="9"/>
    <w:qFormat/>
    <w:uiPriority w:val="0"/>
    <w:rPr>
      <w:rFonts w:ascii="Times New Roman" w:hAnsi="Times New Roman" w:eastAsia="宋体" w:cs="Times New Roman"/>
      <w:bCs/>
      <w:sz w:val="24"/>
      <w:szCs w:val="24"/>
    </w:rPr>
  </w:style>
  <w:style w:type="character" w:customStyle="1" w:styleId="77">
    <w:name w:val="标题 8 Char"/>
    <w:basedOn w:val="60"/>
    <w:link w:val="10"/>
    <w:qFormat/>
    <w:uiPriority w:val="0"/>
    <w:rPr>
      <w:rFonts w:ascii="Arial" w:hAnsi="Arial" w:eastAsia="宋体" w:cs="Times New Roman"/>
      <w:sz w:val="24"/>
      <w:szCs w:val="24"/>
    </w:rPr>
  </w:style>
  <w:style w:type="character" w:customStyle="1" w:styleId="78">
    <w:name w:val="标题 9 Char"/>
    <w:basedOn w:val="60"/>
    <w:link w:val="11"/>
    <w:qFormat/>
    <w:uiPriority w:val="0"/>
    <w:rPr>
      <w:rFonts w:ascii="Arial" w:hAnsi="Arial" w:eastAsia="宋体" w:cs="Times New Roman"/>
      <w:sz w:val="24"/>
      <w:szCs w:val="21"/>
    </w:rPr>
  </w:style>
  <w:style w:type="character" w:customStyle="1" w:styleId="79">
    <w:name w:val="文档结构图 Char"/>
    <w:basedOn w:val="60"/>
    <w:link w:val="19"/>
    <w:qFormat/>
    <w:uiPriority w:val="0"/>
    <w:rPr>
      <w:rFonts w:ascii="宋体" w:hAnsi="Times New Roman" w:cs="宋体"/>
      <w:kern w:val="0"/>
      <w:sz w:val="18"/>
      <w:szCs w:val="18"/>
    </w:rPr>
  </w:style>
  <w:style w:type="character" w:customStyle="1" w:styleId="80">
    <w:name w:val="批注文字 Char2"/>
    <w:basedOn w:val="60"/>
    <w:link w:val="21"/>
    <w:qFormat/>
    <w:uiPriority w:val="0"/>
    <w:rPr>
      <w:rFonts w:ascii="宋体" w:hAnsi="Times New Roman" w:cs="宋体"/>
      <w:sz w:val="24"/>
      <w:szCs w:val="24"/>
    </w:rPr>
  </w:style>
  <w:style w:type="character" w:customStyle="1" w:styleId="81">
    <w:name w:val="日期 Char"/>
    <w:basedOn w:val="60"/>
    <w:link w:val="32"/>
    <w:qFormat/>
    <w:uiPriority w:val="0"/>
    <w:rPr>
      <w:rFonts w:ascii="宋体" w:hAnsi="Times New Roman" w:cs="宋体"/>
      <w:kern w:val="0"/>
      <w:sz w:val="24"/>
      <w:szCs w:val="24"/>
    </w:rPr>
  </w:style>
  <w:style w:type="character" w:customStyle="1" w:styleId="82">
    <w:name w:val="正文文本缩进 2 Char"/>
    <w:basedOn w:val="60"/>
    <w:link w:val="33"/>
    <w:qFormat/>
    <w:uiPriority w:val="0"/>
    <w:rPr>
      <w:rFonts w:ascii="宋体" w:hAnsi="Times New Roman" w:cs="宋体"/>
      <w:kern w:val="0"/>
      <w:sz w:val="24"/>
      <w:szCs w:val="24"/>
    </w:rPr>
  </w:style>
  <w:style w:type="character" w:customStyle="1" w:styleId="83">
    <w:name w:val="批注框文本 Char"/>
    <w:basedOn w:val="60"/>
    <w:link w:val="34"/>
    <w:qFormat/>
    <w:uiPriority w:val="0"/>
    <w:rPr>
      <w:rFonts w:ascii="宋体" w:hAnsi="Times New Roman" w:cs="宋体"/>
      <w:kern w:val="0"/>
      <w:sz w:val="18"/>
      <w:szCs w:val="18"/>
    </w:rPr>
  </w:style>
  <w:style w:type="character" w:customStyle="1" w:styleId="84">
    <w:name w:val="页脚 Char"/>
    <w:basedOn w:val="60"/>
    <w:link w:val="35"/>
    <w:qFormat/>
    <w:uiPriority w:val="0"/>
    <w:rPr>
      <w:rFonts w:ascii="宋体" w:hAnsi="Times New Roman" w:eastAsia="Times New Roman" w:cs="宋体"/>
      <w:kern w:val="0"/>
      <w:sz w:val="18"/>
      <w:szCs w:val="18"/>
    </w:rPr>
  </w:style>
  <w:style w:type="character" w:customStyle="1" w:styleId="85">
    <w:name w:val="页眉 Char"/>
    <w:basedOn w:val="60"/>
    <w:link w:val="36"/>
    <w:qFormat/>
    <w:uiPriority w:val="0"/>
    <w:rPr>
      <w:rFonts w:ascii="宋体" w:hAnsi="Times New Roman" w:cs="宋体"/>
      <w:kern w:val="0"/>
      <w:sz w:val="18"/>
      <w:szCs w:val="18"/>
    </w:rPr>
  </w:style>
  <w:style w:type="character" w:customStyle="1" w:styleId="86">
    <w:name w:val="标题 Char3"/>
    <w:basedOn w:val="60"/>
    <w:link w:val="53"/>
    <w:qFormat/>
    <w:uiPriority w:val="0"/>
    <w:rPr>
      <w:rFonts w:ascii="Cambria" w:hAnsi="Cambria" w:eastAsia="宋体" w:cs="Times New Roman"/>
      <w:b/>
      <w:bCs/>
      <w:kern w:val="0"/>
      <w:sz w:val="32"/>
      <w:szCs w:val="32"/>
    </w:rPr>
  </w:style>
  <w:style w:type="character" w:customStyle="1" w:styleId="87">
    <w:name w:val="标题 1 Char1"/>
    <w:basedOn w:val="60"/>
    <w:qFormat/>
    <w:uiPriority w:val="0"/>
    <w:rPr>
      <w:rFonts w:ascii="宋体" w:eastAsia="宋体" w:cs="宋体"/>
      <w:b/>
      <w:bCs/>
      <w:kern w:val="44"/>
      <w:sz w:val="44"/>
      <w:szCs w:val="44"/>
    </w:rPr>
  </w:style>
  <w:style w:type="character" w:customStyle="1" w:styleId="88">
    <w:name w:val="标题 3 Char1"/>
    <w:basedOn w:val="60"/>
    <w:qFormat/>
    <w:uiPriority w:val="0"/>
    <w:rPr>
      <w:rFonts w:ascii="宋体" w:eastAsia="宋体" w:cs="宋体"/>
      <w:b/>
      <w:bCs/>
      <w:sz w:val="32"/>
      <w:szCs w:val="32"/>
    </w:rPr>
  </w:style>
  <w:style w:type="character" w:customStyle="1" w:styleId="89">
    <w:name w:val="标题 4 Char1"/>
    <w:basedOn w:val="60"/>
    <w:qFormat/>
    <w:uiPriority w:val="0"/>
    <w:rPr>
      <w:rFonts w:ascii="Cambria" w:hAnsi="Cambria" w:eastAsia="宋体" w:cs="Times New Roman"/>
      <w:b/>
      <w:bCs/>
      <w:sz w:val="28"/>
      <w:szCs w:val="28"/>
    </w:rPr>
  </w:style>
  <w:style w:type="character" w:customStyle="1" w:styleId="90">
    <w:name w:val="标题 5 Char1"/>
    <w:basedOn w:val="60"/>
    <w:semiHidden/>
    <w:qFormat/>
    <w:uiPriority w:val="0"/>
    <w:rPr>
      <w:rFonts w:ascii="宋体" w:eastAsia="宋体" w:cs="宋体"/>
      <w:b/>
      <w:bCs/>
      <w:sz w:val="28"/>
      <w:szCs w:val="28"/>
    </w:rPr>
  </w:style>
  <w:style w:type="character" w:customStyle="1" w:styleId="91">
    <w:name w:val="标题 6 Char1"/>
    <w:basedOn w:val="60"/>
    <w:semiHidden/>
    <w:qFormat/>
    <w:uiPriority w:val="0"/>
    <w:rPr>
      <w:rFonts w:ascii="Cambria" w:hAnsi="Cambria" w:eastAsia="宋体" w:cs="Times New Roman"/>
      <w:b/>
      <w:bCs/>
      <w:sz w:val="24"/>
      <w:szCs w:val="24"/>
    </w:rPr>
  </w:style>
  <w:style w:type="character" w:customStyle="1" w:styleId="92">
    <w:name w:val="标题 7 Char1"/>
    <w:basedOn w:val="60"/>
    <w:semiHidden/>
    <w:qFormat/>
    <w:uiPriority w:val="0"/>
    <w:rPr>
      <w:rFonts w:ascii="宋体" w:eastAsia="宋体" w:cs="宋体"/>
      <w:b/>
      <w:bCs/>
      <w:sz w:val="24"/>
      <w:szCs w:val="24"/>
    </w:rPr>
  </w:style>
  <w:style w:type="character" w:customStyle="1" w:styleId="93">
    <w:name w:val="标题 8 Char2"/>
    <w:basedOn w:val="60"/>
    <w:semiHidden/>
    <w:qFormat/>
    <w:uiPriority w:val="0"/>
    <w:rPr>
      <w:rFonts w:ascii="Cambria" w:hAnsi="Cambria" w:eastAsia="宋体" w:cs="Times New Roman"/>
      <w:sz w:val="24"/>
      <w:szCs w:val="24"/>
    </w:rPr>
  </w:style>
  <w:style w:type="character" w:customStyle="1" w:styleId="94">
    <w:name w:val="标题 9 Char2"/>
    <w:basedOn w:val="60"/>
    <w:semiHidden/>
    <w:qFormat/>
    <w:uiPriority w:val="0"/>
    <w:rPr>
      <w:rFonts w:ascii="Cambria" w:hAnsi="Cambria" w:eastAsia="宋体" w:cs="Times New Roman"/>
      <w:sz w:val="21"/>
      <w:szCs w:val="21"/>
    </w:rPr>
  </w:style>
  <w:style w:type="paragraph" w:styleId="95">
    <w:name w:val="No Spacing"/>
    <w:qFormat/>
    <w:uiPriority w:val="99"/>
    <w:pPr>
      <w:widowControl w:val="0"/>
      <w:jc w:val="center"/>
    </w:pPr>
    <w:rPr>
      <w:rFonts w:ascii="Times New Roman" w:hAnsi="Times New Roman" w:eastAsia="宋体" w:cs="Times New Roman"/>
      <w:kern w:val="2"/>
      <w:sz w:val="21"/>
      <w:szCs w:val="24"/>
      <w:lang w:val="en-US" w:eastAsia="zh-CN" w:bidi="ar-SA"/>
    </w:rPr>
  </w:style>
  <w:style w:type="paragraph" w:styleId="96">
    <w:name w:val="List Paragraph"/>
    <w:basedOn w:val="1"/>
    <w:qFormat/>
    <w:uiPriority w:val="34"/>
    <w:pPr>
      <w:spacing w:before="111"/>
      <w:ind w:left="760" w:hanging="600"/>
    </w:pPr>
  </w:style>
  <w:style w:type="paragraph" w:customStyle="1" w:styleId="97">
    <w:name w:val="TOC 标题1"/>
    <w:basedOn w:val="2"/>
    <w:next w:val="1"/>
    <w:unhideWhenUsed/>
    <w:qFormat/>
    <w:uiPriority w:val="39"/>
    <w:pPr>
      <w:widowControl/>
      <w:topLinePunct w:val="0"/>
      <w:adjustRightInd/>
      <w:spacing w:before="480" w:beforeAutospacing="0" w:after="0" w:afterAutospacing="0" w:line="276" w:lineRule="auto"/>
      <w:outlineLvl w:val="9"/>
    </w:pPr>
    <w:rPr>
      <w:rFonts w:ascii="Cambria" w:hAnsi="Cambria" w:eastAsia="宋体"/>
      <w:b w:val="0"/>
      <w:bCs/>
      <w:color w:val="365F91"/>
      <w:kern w:val="0"/>
      <w:sz w:val="28"/>
      <w:szCs w:val="28"/>
    </w:rPr>
  </w:style>
  <w:style w:type="paragraph" w:customStyle="1" w:styleId="98">
    <w:name w:val="标题 11"/>
    <w:basedOn w:val="1"/>
    <w:qFormat/>
    <w:uiPriority w:val="1"/>
    <w:pPr>
      <w:spacing w:before="106"/>
      <w:ind w:left="4314" w:hanging="560"/>
      <w:outlineLvl w:val="0"/>
    </w:pPr>
    <w:rPr>
      <w:b/>
      <w:bCs/>
      <w:sz w:val="32"/>
      <w:szCs w:val="32"/>
    </w:rPr>
  </w:style>
  <w:style w:type="paragraph" w:customStyle="1" w:styleId="99">
    <w:name w:val="标题 21"/>
    <w:basedOn w:val="1"/>
    <w:qFormat/>
    <w:uiPriority w:val="1"/>
    <w:pPr>
      <w:spacing w:before="73"/>
      <w:ind w:left="652" w:hanging="492"/>
      <w:outlineLvl w:val="1"/>
    </w:pPr>
    <w:rPr>
      <w:b/>
      <w:bCs/>
      <w:sz w:val="28"/>
      <w:szCs w:val="28"/>
    </w:rPr>
  </w:style>
  <w:style w:type="paragraph" w:customStyle="1" w:styleId="100">
    <w:name w:val="标题 31"/>
    <w:basedOn w:val="1"/>
    <w:qFormat/>
    <w:uiPriority w:val="1"/>
    <w:pPr>
      <w:spacing w:before="135"/>
      <w:ind w:left="644"/>
      <w:outlineLvl w:val="2"/>
    </w:pPr>
    <w:rPr>
      <w:b/>
      <w:bCs/>
    </w:rPr>
  </w:style>
  <w:style w:type="paragraph" w:customStyle="1" w:styleId="101">
    <w:name w:val="Table Paragraph"/>
    <w:basedOn w:val="1"/>
    <w:qFormat/>
    <w:uiPriority w:val="1"/>
    <w:pPr>
      <w:jc w:val="center"/>
    </w:pPr>
  </w:style>
  <w:style w:type="paragraph" w:customStyle="1" w:styleId="102">
    <w:name w:val="表正文"/>
    <w:basedOn w:val="1"/>
    <w:qFormat/>
    <w:uiPriority w:val="0"/>
    <w:pPr>
      <w:topLinePunct w:val="0"/>
      <w:autoSpaceDE w:val="0"/>
      <w:autoSpaceDN w:val="0"/>
      <w:snapToGrid w:val="0"/>
      <w:spacing w:beforeLines="20" w:line="300" w:lineRule="auto"/>
      <w:ind w:firstLine="0" w:firstLineChars="0"/>
      <w:jc w:val="center"/>
    </w:pPr>
    <w:rPr>
      <w:rFonts w:ascii="Times New Roman" w:cs="Times New Roman"/>
      <w:szCs w:val="20"/>
    </w:rPr>
  </w:style>
  <w:style w:type="character" w:customStyle="1" w:styleId="103">
    <w:name w:val="表名 Char"/>
    <w:link w:val="104"/>
    <w:qFormat/>
    <w:locked/>
    <w:uiPriority w:val="0"/>
    <w:rPr>
      <w:rFonts w:ascii="Times New Roman" w:hAnsi="Times New Roman" w:eastAsia="Times New Roman" w:cs="Times New Roman"/>
      <w:b/>
      <w:kern w:val="0"/>
      <w:szCs w:val="20"/>
    </w:rPr>
  </w:style>
  <w:style w:type="paragraph" w:customStyle="1" w:styleId="104">
    <w:name w:val="表名"/>
    <w:basedOn w:val="1"/>
    <w:next w:val="18"/>
    <w:link w:val="103"/>
    <w:qFormat/>
    <w:uiPriority w:val="0"/>
    <w:pPr>
      <w:topLinePunct w:val="0"/>
      <w:adjustRightInd/>
      <w:spacing w:line="240" w:lineRule="auto"/>
      <w:ind w:firstLine="0" w:firstLineChars="0"/>
      <w:jc w:val="center"/>
    </w:pPr>
    <w:rPr>
      <w:rFonts w:ascii="Times New Roman" w:eastAsia="Times New Roman" w:cs="Times New Roman"/>
      <w:b/>
      <w:sz w:val="20"/>
      <w:szCs w:val="20"/>
    </w:rPr>
  </w:style>
  <w:style w:type="paragraph" w:customStyle="1" w:styleId="105">
    <w:name w:val="表格正文"/>
    <w:basedOn w:val="1"/>
    <w:next w:val="1"/>
    <w:qFormat/>
    <w:uiPriority w:val="0"/>
    <w:pPr>
      <w:topLinePunct w:val="0"/>
      <w:autoSpaceDE w:val="0"/>
      <w:autoSpaceDN w:val="0"/>
      <w:spacing w:after="60" w:line="360" w:lineRule="atLeast"/>
      <w:ind w:firstLine="0" w:firstLineChars="0"/>
      <w:jc w:val="center"/>
    </w:pPr>
    <w:rPr>
      <w:rFonts w:cs="Times New Roman"/>
      <w:sz w:val="21"/>
      <w:szCs w:val="20"/>
    </w:rPr>
  </w:style>
  <w:style w:type="character" w:customStyle="1" w:styleId="106">
    <w:name w:val="表格 Char"/>
    <w:link w:val="107"/>
    <w:qFormat/>
    <w:locked/>
    <w:uiPriority w:val="0"/>
    <w:rPr>
      <w:rFonts w:ascii="Times New Roman" w:hAnsi="Times New Roman" w:eastAsia="宋体"/>
      <w:szCs w:val="24"/>
    </w:rPr>
  </w:style>
  <w:style w:type="paragraph" w:customStyle="1" w:styleId="107">
    <w:name w:val="表格"/>
    <w:basedOn w:val="1"/>
    <w:link w:val="106"/>
    <w:qFormat/>
    <w:uiPriority w:val="0"/>
    <w:pPr>
      <w:tabs>
        <w:tab w:val="left" w:pos="5355"/>
      </w:tabs>
      <w:topLinePunct w:val="0"/>
      <w:adjustRightInd/>
      <w:spacing w:line="240" w:lineRule="auto"/>
      <w:ind w:firstLine="0" w:firstLineChars="0"/>
      <w:jc w:val="center"/>
    </w:pPr>
    <w:rPr>
      <w:rFonts w:ascii="Times New Roman" w:cs="Times New Roman"/>
      <w:sz w:val="20"/>
    </w:rPr>
  </w:style>
  <w:style w:type="character" w:customStyle="1" w:styleId="108">
    <w:name w:val="正文(首缩进) Char"/>
    <w:link w:val="109"/>
    <w:qFormat/>
    <w:locked/>
    <w:uiPriority w:val="0"/>
    <w:rPr>
      <w:rFonts w:ascii="Times New Roman" w:hAnsi="Times New Roman"/>
      <w:sz w:val="24"/>
    </w:rPr>
  </w:style>
  <w:style w:type="paragraph" w:customStyle="1" w:styleId="109">
    <w:name w:val="正文(首缩进)"/>
    <w:basedOn w:val="1"/>
    <w:link w:val="108"/>
    <w:qFormat/>
    <w:uiPriority w:val="0"/>
    <w:pPr>
      <w:topLinePunct w:val="0"/>
      <w:adjustRightInd/>
    </w:pPr>
    <w:rPr>
      <w:rFonts w:ascii="Times New Roman" w:cs="Times New Roman"/>
      <w:szCs w:val="20"/>
    </w:rPr>
  </w:style>
  <w:style w:type="paragraph" w:customStyle="1" w:styleId="110">
    <w:name w:val="表格内容"/>
    <w:basedOn w:val="1"/>
    <w:next w:val="1"/>
    <w:qFormat/>
    <w:uiPriority w:val="0"/>
    <w:pPr>
      <w:framePr w:hSpace="180" w:wrap="around" w:vAnchor="text" w:hAnchor="margin" w:xAlign="center" w:y="690"/>
      <w:topLinePunct w:val="0"/>
      <w:adjustRightInd/>
      <w:spacing w:line="240" w:lineRule="auto"/>
      <w:ind w:firstLine="0" w:firstLineChars="0"/>
      <w:jc w:val="center"/>
    </w:pPr>
    <w:rPr>
      <w:rFonts w:cs="Arial"/>
      <w:sz w:val="21"/>
      <w:szCs w:val="21"/>
    </w:rPr>
  </w:style>
  <w:style w:type="paragraph" w:customStyle="1" w:styleId="111">
    <w:name w:val="无间隔1"/>
    <w:qFormat/>
    <w:uiPriority w:val="0"/>
    <w:pPr>
      <w:widowControl w:val="0"/>
      <w:jc w:val="center"/>
    </w:pPr>
    <w:rPr>
      <w:rFonts w:ascii="Times New Roman" w:hAnsi="Times New Roman" w:eastAsia="宋体" w:cs="Times New Roman"/>
      <w:kern w:val="2"/>
      <w:sz w:val="21"/>
      <w:szCs w:val="24"/>
      <w:lang w:val="en-US" w:eastAsia="zh-CN" w:bidi="ar-SA"/>
    </w:rPr>
  </w:style>
  <w:style w:type="paragraph" w:customStyle="1" w:styleId="112">
    <w:name w:val="正文（川油）"/>
    <w:qFormat/>
    <w:uiPriority w:val="0"/>
    <w:pPr>
      <w:widowControl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113">
    <w:name w:val="表格（左对齐）"/>
    <w:basedOn w:val="1"/>
    <w:next w:val="1"/>
    <w:qFormat/>
    <w:uiPriority w:val="0"/>
    <w:pPr>
      <w:topLinePunct w:val="0"/>
      <w:adjustRightInd/>
      <w:spacing w:line="240" w:lineRule="auto"/>
      <w:ind w:firstLine="0" w:firstLineChars="0"/>
      <w:jc w:val="left"/>
    </w:pPr>
    <w:rPr>
      <w:rFonts w:ascii="Times New Roman" w:cs="Times New Roman"/>
      <w:sz w:val="21"/>
      <w:szCs w:val="20"/>
    </w:rPr>
  </w:style>
  <w:style w:type="character" w:customStyle="1" w:styleId="114">
    <w:name w:val="段落(首缩进) Char Char"/>
    <w:link w:val="115"/>
    <w:qFormat/>
    <w:locked/>
    <w:uiPriority w:val="0"/>
    <w:rPr>
      <w:rFonts w:ascii="Arial" w:hAnsi="Arial" w:cs="Arial"/>
      <w:sz w:val="28"/>
      <w:szCs w:val="28"/>
    </w:rPr>
  </w:style>
  <w:style w:type="paragraph" w:customStyle="1" w:styleId="115">
    <w:name w:val="段落(首缩进)"/>
    <w:basedOn w:val="6"/>
    <w:link w:val="114"/>
    <w:qFormat/>
    <w:uiPriority w:val="0"/>
    <w:pPr>
      <w:topLinePunct w:val="0"/>
      <w:snapToGrid w:val="0"/>
      <w:ind w:firstLine="560"/>
    </w:pPr>
    <w:rPr>
      <w:rFonts w:ascii="Arial" w:hAnsi="Arial" w:cs="Times New Roman"/>
      <w:sz w:val="28"/>
      <w:szCs w:val="28"/>
    </w:rPr>
  </w:style>
  <w:style w:type="character" w:customStyle="1" w:styleId="116">
    <w:name w:val="表内居中 Char"/>
    <w:link w:val="117"/>
    <w:qFormat/>
    <w:locked/>
    <w:uiPriority w:val="0"/>
    <w:rPr>
      <w:sz w:val="24"/>
      <w:szCs w:val="21"/>
    </w:rPr>
  </w:style>
  <w:style w:type="paragraph" w:customStyle="1" w:styleId="117">
    <w:name w:val="表内居中"/>
    <w:basedOn w:val="1"/>
    <w:link w:val="116"/>
    <w:qFormat/>
    <w:uiPriority w:val="0"/>
    <w:pPr>
      <w:topLinePunct w:val="0"/>
      <w:adjustRightInd/>
      <w:spacing w:line="240" w:lineRule="auto"/>
      <w:ind w:firstLine="0" w:firstLineChars="0"/>
      <w:jc w:val="center"/>
    </w:pPr>
    <w:rPr>
      <w:rFonts w:ascii="Calibri" w:hAnsi="Calibri" w:cs="Times New Roman"/>
      <w:szCs w:val="21"/>
    </w:rPr>
  </w:style>
  <w:style w:type="paragraph" w:customStyle="1" w:styleId="118">
    <w:name w:val="CM2"/>
    <w:basedOn w:val="1"/>
    <w:next w:val="1"/>
    <w:uiPriority w:val="0"/>
    <w:pPr>
      <w:topLinePunct w:val="0"/>
      <w:autoSpaceDE w:val="0"/>
      <w:autoSpaceDN w:val="0"/>
      <w:spacing w:line="468" w:lineRule="atLeast"/>
      <w:ind w:firstLine="0" w:firstLineChars="0"/>
      <w:jc w:val="left"/>
    </w:pPr>
    <w:rPr>
      <w:rFonts w:ascii="Arial" w:hAnsi="Arial" w:cs="Times New Roman"/>
    </w:rPr>
  </w:style>
  <w:style w:type="paragraph" w:customStyle="1" w:styleId="11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styleId="120">
    <w:name w:val="Placeholder Text"/>
    <w:basedOn w:val="60"/>
    <w:semiHidden/>
    <w:qFormat/>
    <w:uiPriority w:val="99"/>
    <w:rPr>
      <w:color w:val="808080"/>
    </w:rPr>
  </w:style>
  <w:style w:type="character" w:customStyle="1" w:styleId="121">
    <w:name w:val="description"/>
    <w:basedOn w:val="60"/>
    <w:uiPriority w:val="0"/>
  </w:style>
  <w:style w:type="paragraph" w:customStyle="1" w:styleId="122">
    <w:name w:val="标题3"/>
    <w:basedOn w:val="4"/>
    <w:link w:val="123"/>
    <w:qFormat/>
    <w:uiPriority w:val="0"/>
    <w:pPr>
      <w:spacing w:before="240"/>
    </w:pPr>
    <w:rPr>
      <w:rFonts w:eastAsia="宋体"/>
    </w:rPr>
  </w:style>
  <w:style w:type="character" w:customStyle="1" w:styleId="123">
    <w:name w:val="标题3 Char"/>
    <w:basedOn w:val="71"/>
    <w:link w:val="122"/>
    <w:qFormat/>
    <w:uiPriority w:val="1"/>
    <w:rPr>
      <w:rFonts w:ascii="Times New Roman" w:hAnsi="Times New Roman" w:eastAsia="宋体" w:cs="Times New Roman"/>
      <w:kern w:val="0"/>
      <w:sz w:val="24"/>
      <w:szCs w:val="32"/>
    </w:rPr>
  </w:style>
  <w:style w:type="table" w:customStyle="1" w:styleId="124">
    <w:name w:val="网格型1"/>
    <w:basedOn w:val="57"/>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5">
    <w:name w:val="TOC 标题11"/>
    <w:next w:val="1"/>
    <w:unhideWhenUsed/>
    <w:qFormat/>
    <w:uiPriority w:val="39"/>
    <w:pPr>
      <w:spacing w:line="360" w:lineRule="auto"/>
      <w:jc w:val="center"/>
    </w:pPr>
    <w:rPr>
      <w:rFonts w:ascii="Times New Roman" w:hAnsi="Times New Roman" w:eastAsia="Times New Roman" w:cs="Times New Roman"/>
      <w:b/>
      <w:bCs/>
      <w:sz w:val="21"/>
      <w:szCs w:val="28"/>
      <w:lang w:val="en-US" w:eastAsia="zh-CN" w:bidi="ar-SA"/>
    </w:rPr>
  </w:style>
  <w:style w:type="character" w:customStyle="1" w:styleId="126">
    <w:name w:val="未处理的提及1"/>
    <w:basedOn w:val="60"/>
    <w:semiHidden/>
    <w:unhideWhenUsed/>
    <w:qFormat/>
    <w:uiPriority w:val="99"/>
    <w:rPr>
      <w:color w:val="605E5C"/>
      <w:shd w:val="clear" w:color="auto" w:fill="E1DFDD"/>
    </w:rPr>
  </w:style>
  <w:style w:type="character" w:customStyle="1" w:styleId="127">
    <w:name w:val="正文文本缩进 3 Char1"/>
    <w:qFormat/>
    <w:uiPriority w:val="0"/>
    <w:rPr>
      <w:kern w:val="2"/>
      <w:sz w:val="16"/>
      <w:szCs w:val="16"/>
    </w:rPr>
  </w:style>
  <w:style w:type="paragraph" w:customStyle="1" w:styleId="128">
    <w:name w:val="样式 样式 样式 左  0 字符 首行缩进:  2 字符 + 首行缩进:  2 字符 + 首行缩进:  2 字符"/>
    <w:basedOn w:val="1"/>
    <w:qFormat/>
    <w:uiPriority w:val="0"/>
    <w:pPr>
      <w:topLinePunct w:val="0"/>
      <w:adjustRightInd/>
      <w:spacing w:line="276" w:lineRule="auto"/>
    </w:pPr>
    <w:rPr>
      <w:rFonts w:ascii="Times New Roman" w:eastAsia="仿宋_GB2312" w:cs="Times New Roman"/>
      <w:kern w:val="2"/>
      <w:sz w:val="28"/>
      <w:szCs w:val="20"/>
    </w:rPr>
  </w:style>
  <w:style w:type="character" w:customStyle="1" w:styleId="129">
    <w:name w:val="引用 Char"/>
    <w:link w:val="130"/>
    <w:qFormat/>
    <w:uiPriority w:val="0"/>
    <w:rPr>
      <w:i/>
      <w:color w:val="000000"/>
      <w:kern w:val="2"/>
      <w:sz w:val="24"/>
    </w:rPr>
  </w:style>
  <w:style w:type="paragraph" w:styleId="130">
    <w:name w:val="Quote"/>
    <w:basedOn w:val="1"/>
    <w:next w:val="1"/>
    <w:link w:val="129"/>
    <w:qFormat/>
    <w:uiPriority w:val="0"/>
    <w:pPr>
      <w:topLinePunct w:val="0"/>
      <w:adjustRightInd/>
      <w:spacing w:line="240" w:lineRule="auto"/>
      <w:ind w:firstLine="0" w:firstLineChars="0"/>
      <w:jc w:val="center"/>
    </w:pPr>
    <w:rPr>
      <w:rFonts w:ascii="Calibri" w:hAnsi="Calibri" w:cs="Times New Roman"/>
      <w:i/>
      <w:color w:val="000000"/>
      <w:kern w:val="2"/>
      <w:szCs w:val="20"/>
    </w:rPr>
  </w:style>
  <w:style w:type="character" w:customStyle="1" w:styleId="131">
    <w:name w:val="引用 字符"/>
    <w:basedOn w:val="60"/>
    <w:uiPriority w:val="99"/>
    <w:rPr>
      <w:rFonts w:ascii="宋体" w:hAnsi="Times New Roman" w:cs="宋体"/>
      <w:i/>
      <w:iCs/>
      <w:color w:val="404040"/>
      <w:sz w:val="24"/>
      <w:szCs w:val="24"/>
    </w:rPr>
  </w:style>
  <w:style w:type="paragraph" w:customStyle="1" w:styleId="132">
    <w:name w:val="表标题名"/>
    <w:basedOn w:val="104"/>
    <w:link w:val="133"/>
    <w:qFormat/>
    <w:uiPriority w:val="0"/>
    <w:pPr>
      <w:tabs>
        <w:tab w:val="left" w:pos="1350"/>
      </w:tabs>
      <w:autoSpaceDE w:val="0"/>
      <w:autoSpaceDN w:val="0"/>
      <w:adjustRightInd w:val="0"/>
      <w:snapToGrid w:val="0"/>
    </w:pPr>
    <w:rPr>
      <w:rFonts w:eastAsia="宋体"/>
      <w:b w:val="0"/>
      <w:kern w:val="2"/>
      <w:sz w:val="21"/>
      <w:szCs w:val="24"/>
      <w:shd w:val="clear" w:color="auto" w:fill="FFFFFF"/>
    </w:rPr>
  </w:style>
  <w:style w:type="character" w:customStyle="1" w:styleId="133">
    <w:name w:val="表标题名 Char"/>
    <w:link w:val="132"/>
    <w:qFormat/>
    <w:uiPriority w:val="0"/>
    <w:rPr>
      <w:rFonts w:ascii="Times New Roman" w:hAnsi="Times New Roman" w:eastAsia="宋体" w:cs="Times New Roman"/>
      <w:kern w:val="2"/>
      <w:sz w:val="21"/>
      <w:szCs w:val="24"/>
    </w:rPr>
  </w:style>
  <w:style w:type="paragraph" w:customStyle="1" w:styleId="134">
    <w:name w:val="_Style 2"/>
    <w:basedOn w:val="1"/>
    <w:qFormat/>
    <w:uiPriority w:val="0"/>
    <w:pPr>
      <w:topLinePunct w:val="0"/>
      <w:adjustRightInd/>
      <w:spacing w:line="240" w:lineRule="auto"/>
      <w:ind w:firstLine="420"/>
    </w:pPr>
    <w:rPr>
      <w:rFonts w:ascii="Times New Roman" w:cs="Times New Roman"/>
      <w:kern w:val="2"/>
      <w:sz w:val="21"/>
    </w:rPr>
  </w:style>
  <w:style w:type="character" w:customStyle="1" w:styleId="135">
    <w:name w:val="【表头】 Char"/>
    <w:link w:val="136"/>
    <w:qFormat/>
    <w:uiPriority w:val="0"/>
    <w:rPr>
      <w:rFonts w:ascii="Times New Roman" w:hAnsi="Times New Roman"/>
      <w:color w:val="000000"/>
      <w:kern w:val="2"/>
      <w:sz w:val="21"/>
      <w:szCs w:val="24"/>
      <w:lang w:val="en-US" w:eastAsia="zh-CN" w:bidi="ar-SA"/>
    </w:rPr>
  </w:style>
  <w:style w:type="paragraph" w:customStyle="1" w:styleId="136">
    <w:name w:val="【表头】"/>
    <w:link w:val="135"/>
    <w:qFormat/>
    <w:uiPriority w:val="0"/>
    <w:pPr>
      <w:adjustRightInd w:val="0"/>
      <w:snapToGrid w:val="0"/>
      <w:jc w:val="center"/>
    </w:pPr>
    <w:rPr>
      <w:rFonts w:ascii="Times New Roman" w:hAnsi="Times New Roman" w:eastAsia="宋体" w:cs="Times New Roman"/>
      <w:color w:val="000000"/>
      <w:kern w:val="2"/>
      <w:sz w:val="21"/>
      <w:szCs w:val="24"/>
      <w:lang w:val="en-US" w:eastAsia="zh-CN" w:bidi="ar-SA"/>
    </w:rPr>
  </w:style>
  <w:style w:type="character" w:customStyle="1" w:styleId="137">
    <w:name w:val="【表内字】 Char"/>
    <w:link w:val="138"/>
    <w:qFormat/>
    <w:uiPriority w:val="0"/>
    <w:rPr>
      <w:sz w:val="21"/>
      <w:szCs w:val="24"/>
    </w:rPr>
  </w:style>
  <w:style w:type="paragraph" w:customStyle="1" w:styleId="138">
    <w:name w:val="【表内字】"/>
    <w:basedOn w:val="1"/>
    <w:link w:val="137"/>
    <w:qFormat/>
    <w:uiPriority w:val="0"/>
    <w:pPr>
      <w:topLinePunct w:val="0"/>
      <w:adjustRightInd/>
      <w:spacing w:line="240" w:lineRule="auto"/>
      <w:ind w:firstLine="0" w:firstLineChars="0"/>
      <w:jc w:val="center"/>
    </w:pPr>
    <w:rPr>
      <w:rFonts w:ascii="Calibri" w:hAnsi="Calibri" w:cs="Times New Roman"/>
      <w:sz w:val="21"/>
    </w:rPr>
  </w:style>
  <w:style w:type="character" w:customStyle="1" w:styleId="139">
    <w:name w:val="【正文】 Char"/>
    <w:link w:val="140"/>
    <w:qFormat/>
    <w:uiPriority w:val="0"/>
    <w:rPr>
      <w:kern w:val="2"/>
      <w:sz w:val="24"/>
      <w:szCs w:val="24"/>
    </w:rPr>
  </w:style>
  <w:style w:type="paragraph" w:customStyle="1" w:styleId="140">
    <w:name w:val="【正文】"/>
    <w:basedOn w:val="1"/>
    <w:link w:val="139"/>
    <w:uiPriority w:val="0"/>
    <w:pPr>
      <w:widowControl/>
      <w:topLinePunct w:val="0"/>
      <w:adjustRightInd/>
    </w:pPr>
    <w:rPr>
      <w:rFonts w:ascii="Calibri" w:hAnsi="Calibri" w:cs="Times New Roman"/>
      <w:kern w:val="2"/>
    </w:rPr>
  </w:style>
  <w:style w:type="character" w:customStyle="1" w:styleId="141">
    <w:name w:val="正文(首缩进) Char1"/>
    <w:qFormat/>
    <w:uiPriority w:val="0"/>
    <w:rPr>
      <w:rFonts w:eastAsia="宋体"/>
      <w:kern w:val="2"/>
      <w:sz w:val="28"/>
      <w:szCs w:val="28"/>
      <w:lang w:val="en-US" w:eastAsia="zh-CN" w:bidi="ar-SA"/>
    </w:rPr>
  </w:style>
  <w:style w:type="character" w:customStyle="1" w:styleId="142">
    <w:name w:val="批注主题 Char"/>
    <w:basedOn w:val="80"/>
    <w:link w:val="54"/>
    <w:qFormat/>
    <w:uiPriority w:val="99"/>
    <w:rPr>
      <w:rFonts w:ascii="宋体" w:hAnsi="Times New Roman" w:cs="宋体"/>
      <w:b/>
      <w:bCs/>
      <w:sz w:val="24"/>
      <w:szCs w:val="24"/>
    </w:rPr>
  </w:style>
  <w:style w:type="character" w:customStyle="1" w:styleId="143">
    <w:name w:val="font01"/>
    <w:qFormat/>
    <w:uiPriority w:val="0"/>
    <w:rPr>
      <w:rFonts w:hint="eastAsia" w:ascii="宋体" w:hAnsi="宋体" w:eastAsia="宋体" w:cs="宋体"/>
      <w:color w:val="auto"/>
      <w:sz w:val="24"/>
      <w:szCs w:val="24"/>
      <w:u w:val="none"/>
    </w:rPr>
  </w:style>
  <w:style w:type="character" w:customStyle="1" w:styleId="144">
    <w:name w:val="HTML 预设格式 Char"/>
    <w:link w:val="51"/>
    <w:qFormat/>
    <w:uiPriority w:val="0"/>
    <w:rPr>
      <w:rFonts w:ascii="Arial" w:hAnsi="Arial" w:cs="Arial"/>
      <w:sz w:val="24"/>
      <w:szCs w:val="24"/>
    </w:rPr>
  </w:style>
  <w:style w:type="character" w:customStyle="1" w:styleId="145">
    <w:name w:val="HTML 预设格式 字符"/>
    <w:basedOn w:val="60"/>
    <w:qFormat/>
    <w:uiPriority w:val="99"/>
    <w:rPr>
      <w:rFonts w:ascii="Courier New" w:hAnsi="Courier New" w:cs="Courier New"/>
    </w:rPr>
  </w:style>
  <w:style w:type="character" w:customStyle="1" w:styleId="146">
    <w:name w:val="正文首行缩进 2 Char1"/>
    <w:qFormat/>
    <w:uiPriority w:val="0"/>
    <w:rPr>
      <w:rFonts w:ascii="Arial" w:hAnsi="Arial" w:eastAsia="仿宋_GB2312" w:cs="Arial"/>
      <w:kern w:val="2"/>
      <w:sz w:val="21"/>
    </w:rPr>
  </w:style>
  <w:style w:type="character" w:customStyle="1" w:styleId="147">
    <w:name w:val="正文(首缩进) Char Char"/>
    <w:uiPriority w:val="0"/>
    <w:rPr>
      <w:rFonts w:eastAsia="仿宋_GB2312"/>
      <w:kern w:val="2"/>
      <w:sz w:val="28"/>
      <w:lang w:val="en-US" w:eastAsia="zh-CN" w:bidi="ar-SA"/>
    </w:rPr>
  </w:style>
  <w:style w:type="character" w:customStyle="1" w:styleId="148">
    <w:name w:val="正文（首行缩进两字） Char Char Char2"/>
    <w:qFormat/>
    <w:uiPriority w:val="0"/>
    <w:rPr>
      <w:rFonts w:eastAsia="宋体"/>
      <w:kern w:val="2"/>
      <w:sz w:val="21"/>
      <w:szCs w:val="24"/>
      <w:lang w:val="en-US" w:eastAsia="zh-CN" w:bidi="ar-SA"/>
    </w:rPr>
  </w:style>
  <w:style w:type="character" w:customStyle="1" w:styleId="149">
    <w:name w:val="h11"/>
    <w:uiPriority w:val="0"/>
    <w:rPr>
      <w:rFonts w:eastAsia="宋体"/>
      <w:b/>
      <w:kern w:val="44"/>
      <w:sz w:val="44"/>
      <w:lang w:val="en-US" w:eastAsia="zh-CN"/>
    </w:rPr>
  </w:style>
  <w:style w:type="character" w:customStyle="1" w:styleId="150">
    <w:name w:val="条标题（科宏） Char"/>
    <w:qFormat/>
    <w:uiPriority w:val="0"/>
    <w:rPr>
      <w:rFonts w:ascii="Arial" w:hAnsi="Arial" w:eastAsia="仿宋_GB2312"/>
      <w:sz w:val="28"/>
      <w:lang w:val="en-US" w:eastAsia="zh-CN" w:bidi="ar-SA"/>
    </w:rPr>
  </w:style>
  <w:style w:type="character" w:customStyle="1" w:styleId="151">
    <w:name w:val="样式 标题 1 + 橙色 Char"/>
    <w:qFormat/>
    <w:uiPriority w:val="0"/>
    <w:rPr>
      <w:rFonts w:eastAsia="宋体"/>
      <w:b/>
      <w:bCs/>
      <w:kern w:val="44"/>
      <w:sz w:val="30"/>
      <w:szCs w:val="30"/>
      <w:lang w:val="en-US" w:eastAsia="zh-CN" w:bidi="ar-SA"/>
    </w:rPr>
  </w:style>
  <w:style w:type="character" w:customStyle="1" w:styleId="152">
    <w:name w:val="Char Char10"/>
    <w:qFormat/>
    <w:uiPriority w:val="0"/>
    <w:rPr>
      <w:rFonts w:eastAsia="宋体"/>
      <w:kern w:val="2"/>
      <w:sz w:val="18"/>
      <w:szCs w:val="18"/>
      <w:lang w:val="en-US" w:eastAsia="zh-CN" w:bidi="ar-SA"/>
    </w:rPr>
  </w:style>
  <w:style w:type="character" w:customStyle="1" w:styleId="153">
    <w:name w:val="ourfont31"/>
    <w:qFormat/>
    <w:uiPriority w:val="0"/>
    <w:rPr>
      <w:spacing w:val="20"/>
      <w:sz w:val="21"/>
    </w:rPr>
  </w:style>
  <w:style w:type="character" w:customStyle="1" w:styleId="154">
    <w:name w:val="样式 (西文) Arial (中文) 仿宋_GB2312"/>
    <w:qFormat/>
    <w:uiPriority w:val="0"/>
    <w:rPr>
      <w:rFonts w:ascii="Arial" w:hAnsi="Arial" w:eastAsia="仿宋_GB2312"/>
      <w:sz w:val="28"/>
      <w:szCs w:val="28"/>
    </w:rPr>
  </w:style>
  <w:style w:type="character" w:customStyle="1" w:styleId="155">
    <w:name w:val="正文文本 3 Char1"/>
    <w:qFormat/>
    <w:uiPriority w:val="0"/>
    <w:rPr>
      <w:kern w:val="2"/>
      <w:sz w:val="16"/>
      <w:szCs w:val="16"/>
    </w:rPr>
  </w:style>
  <w:style w:type="character" w:customStyle="1" w:styleId="156">
    <w:name w:val="标题 1 宋体 三号 Char Char Char Char"/>
    <w:link w:val="157"/>
    <w:qFormat/>
    <w:uiPriority w:val="0"/>
    <w:rPr>
      <w:rFonts w:ascii="宋体" w:hAnsi="宋体" w:eastAsia="宋体"/>
      <w:b/>
      <w:kern w:val="44"/>
      <w:sz w:val="32"/>
    </w:rPr>
  </w:style>
  <w:style w:type="paragraph" w:customStyle="1" w:styleId="157">
    <w:name w:val="标题 1 宋体 三号 Char Char"/>
    <w:basedOn w:val="2"/>
    <w:link w:val="156"/>
    <w:qFormat/>
    <w:uiPriority w:val="0"/>
    <w:pPr>
      <w:tabs>
        <w:tab w:val="left" w:pos="425"/>
      </w:tabs>
      <w:topLinePunct w:val="0"/>
      <w:adjustRightInd/>
      <w:spacing w:before="340" w:beforeAutospacing="0" w:after="330" w:afterAutospacing="0"/>
      <w:ind w:left="425" w:hanging="425"/>
      <w:jc w:val="center"/>
    </w:pPr>
    <w:rPr>
      <w:rFonts w:ascii="宋体" w:hAnsi="宋体" w:eastAsia="宋体"/>
      <w:szCs w:val="20"/>
    </w:rPr>
  </w:style>
  <w:style w:type="character" w:customStyle="1" w:styleId="158">
    <w:name w:val="纯文本 Char1"/>
    <w:qFormat/>
    <w:uiPriority w:val="0"/>
    <w:rPr>
      <w:rFonts w:ascii="宋体" w:hAnsi="Courier New" w:eastAsia="宋体" w:cs="Courier New"/>
      <w:kern w:val="2"/>
      <w:sz w:val="21"/>
      <w:szCs w:val="21"/>
      <w:lang w:val="en-US" w:eastAsia="zh-CN" w:bidi="ar-SA"/>
    </w:rPr>
  </w:style>
  <w:style w:type="character" w:customStyle="1" w:styleId="159">
    <w:name w:val="正文缩进 Char"/>
    <w:link w:val="17"/>
    <w:qFormat/>
    <w:uiPriority w:val="0"/>
    <w:rPr>
      <w:rFonts w:eastAsia="宋体"/>
    </w:rPr>
  </w:style>
  <w:style w:type="character" w:customStyle="1" w:styleId="160">
    <w:name w:val="fwriter1"/>
    <w:qFormat/>
    <w:uiPriority w:val="0"/>
    <w:rPr>
      <w:color w:val="A50010"/>
    </w:rPr>
  </w:style>
  <w:style w:type="character" w:customStyle="1" w:styleId="161">
    <w:name w:val="初设正文 Char Char"/>
    <w:link w:val="162"/>
    <w:qFormat/>
    <w:uiPriority w:val="0"/>
    <w:rPr>
      <w:rFonts w:ascii="宋体" w:hAnsi="宋体" w:eastAsia="宋体"/>
      <w:sz w:val="24"/>
      <w:szCs w:val="24"/>
    </w:rPr>
  </w:style>
  <w:style w:type="paragraph" w:customStyle="1" w:styleId="162">
    <w:name w:val="初设正文"/>
    <w:basedOn w:val="1"/>
    <w:link w:val="161"/>
    <w:qFormat/>
    <w:uiPriority w:val="0"/>
    <w:pPr>
      <w:topLinePunct w:val="0"/>
      <w:snapToGrid w:val="0"/>
      <w:spacing w:line="324" w:lineRule="auto"/>
      <w:ind w:left="227" w:right="170"/>
    </w:pPr>
    <w:rPr>
      <w:rFonts w:hAnsi="宋体" w:cs="Times New Roman"/>
    </w:rPr>
  </w:style>
  <w:style w:type="character" w:customStyle="1" w:styleId="163">
    <w:name w:val="Char Char18"/>
    <w:qFormat/>
    <w:uiPriority w:val="0"/>
    <w:rPr>
      <w:rFonts w:ascii="Arial" w:hAnsi="Arial" w:eastAsia="黑体"/>
      <w:b/>
      <w:kern w:val="2"/>
      <w:sz w:val="28"/>
    </w:rPr>
  </w:style>
  <w:style w:type="character" w:customStyle="1" w:styleId="164">
    <w:name w:val="正文（首行缩进两字） Char Char Char1"/>
    <w:qFormat/>
    <w:uiPriority w:val="0"/>
    <w:rPr>
      <w:rFonts w:eastAsia="宋体"/>
      <w:kern w:val="2"/>
      <w:sz w:val="21"/>
      <w:lang w:val="en-US" w:eastAsia="zh-CN" w:bidi="ar-SA"/>
    </w:rPr>
  </w:style>
  <w:style w:type="character" w:customStyle="1" w:styleId="165">
    <w:name w:val="unnamed51"/>
    <w:uiPriority w:val="0"/>
    <w:rPr>
      <w:rFonts w:hint="eastAsia" w:ascii="宋体" w:hAnsi="宋体" w:eastAsia="宋体"/>
      <w:color w:val="0066CC"/>
      <w:sz w:val="18"/>
    </w:rPr>
  </w:style>
  <w:style w:type="character" w:customStyle="1" w:styleId="166">
    <w:name w:val="titletext1"/>
    <w:qFormat/>
    <w:uiPriority w:val="0"/>
    <w:rPr>
      <w:color w:val="000000"/>
      <w:sz w:val="21"/>
    </w:rPr>
  </w:style>
  <w:style w:type="character" w:customStyle="1" w:styleId="167">
    <w:name w:val="标题 2 字符1"/>
    <w:qFormat/>
    <w:uiPriority w:val="0"/>
    <w:rPr>
      <w:rFonts w:ascii="Arial" w:hAnsi="Arial" w:eastAsia="黑体" w:cs="Times New Roman"/>
      <w:b/>
      <w:sz w:val="32"/>
      <w:szCs w:val="20"/>
    </w:rPr>
  </w:style>
  <w:style w:type="character" w:customStyle="1" w:styleId="168">
    <w:name w:val="p121"/>
    <w:uiPriority w:val="0"/>
    <w:rPr>
      <w:color w:val="000000"/>
      <w:sz w:val="24"/>
      <w:szCs w:val="24"/>
      <w:u w:val="none"/>
    </w:rPr>
  </w:style>
  <w:style w:type="character" w:customStyle="1" w:styleId="169">
    <w:name w:val="正文（科宏） Char Char Char"/>
    <w:qFormat/>
    <w:uiPriority w:val="0"/>
    <w:rPr>
      <w:rFonts w:ascii="Arial" w:hAnsi="Arial" w:eastAsia="仿宋_GB2312"/>
      <w:sz w:val="28"/>
      <w:lang w:val="en-US" w:eastAsia="zh-CN" w:bidi="ar-SA"/>
    </w:rPr>
  </w:style>
  <w:style w:type="character" w:customStyle="1" w:styleId="170">
    <w:name w:val="1.1.1 Char Char"/>
    <w:qFormat/>
    <w:uiPriority w:val="0"/>
    <w:rPr>
      <w:rFonts w:ascii="Arial" w:hAnsi="Arial" w:eastAsia="宋体"/>
      <w:kern w:val="2"/>
      <w:position w:val="-30"/>
      <w:sz w:val="28"/>
      <w:lang w:val="en-US" w:eastAsia="zh-CN"/>
    </w:rPr>
  </w:style>
  <w:style w:type="character" w:customStyle="1" w:styleId="171">
    <w:name w:val="14hei1"/>
    <w:qFormat/>
    <w:uiPriority w:val="0"/>
    <w:rPr>
      <w:color w:val="000000"/>
      <w:sz w:val="16"/>
      <w:u w:val="none"/>
    </w:rPr>
  </w:style>
  <w:style w:type="character" w:customStyle="1" w:styleId="172">
    <w:name w:val="偶的正文 Char Char Char Char Char"/>
    <w:link w:val="173"/>
    <w:qFormat/>
    <w:uiPriority w:val="0"/>
    <w:rPr>
      <w:sz w:val="24"/>
    </w:rPr>
  </w:style>
  <w:style w:type="paragraph" w:customStyle="1" w:styleId="173">
    <w:name w:val="偶的正文 Char Char Char"/>
    <w:basedOn w:val="55"/>
    <w:link w:val="172"/>
    <w:qFormat/>
    <w:uiPriority w:val="0"/>
    <w:pPr>
      <w:spacing w:beforeLines="50" w:afterLines="50" w:line="460" w:lineRule="exact"/>
      <w:ind w:firstLine="480" w:firstLineChars="200"/>
    </w:pPr>
    <w:rPr>
      <w:sz w:val="24"/>
    </w:rPr>
  </w:style>
  <w:style w:type="character" w:customStyle="1" w:styleId="174">
    <w:name w:val="正文首行缩进 Char"/>
    <w:link w:val="55"/>
    <w:qFormat/>
    <w:uiPriority w:val="0"/>
  </w:style>
  <w:style w:type="character" w:customStyle="1" w:styleId="175">
    <w:name w:val="样式 标题 1 + (西文) Arial (中文) 仿宋_GB2312 四号 Char"/>
    <w:qFormat/>
    <w:uiPriority w:val="0"/>
    <w:rPr>
      <w:rFonts w:ascii="Arial" w:hAnsi="Arial" w:eastAsia="仿宋_GB2312" w:cs="Arial"/>
      <w:b/>
      <w:bCs/>
      <w:color w:val="000000"/>
      <w:kern w:val="44"/>
      <w:sz w:val="32"/>
      <w:szCs w:val="44"/>
      <w:lang w:val="en-US" w:eastAsia="zh-CN" w:bidi="ar-SA"/>
    </w:rPr>
  </w:style>
  <w:style w:type="character" w:customStyle="1" w:styleId="176">
    <w:name w:val="列表编号 Char"/>
    <w:link w:val="16"/>
    <w:uiPriority w:val="0"/>
    <w:rPr>
      <w:rFonts w:eastAsia="宋体"/>
    </w:rPr>
  </w:style>
  <w:style w:type="character" w:customStyle="1" w:styleId="177">
    <w:name w:val="正文文本缩进 Char1"/>
    <w:uiPriority w:val="0"/>
    <w:rPr>
      <w:rFonts w:ascii="Arial" w:hAnsi="Arial" w:eastAsia="仿宋_GB2312" w:cs="Arial"/>
      <w:kern w:val="2"/>
      <w:sz w:val="28"/>
    </w:rPr>
  </w:style>
  <w:style w:type="character" w:customStyle="1" w:styleId="178">
    <w:name w:val="style211"/>
    <w:qFormat/>
    <w:uiPriority w:val="0"/>
    <w:rPr>
      <w:rFonts w:hint="eastAsia" w:ascii="宋体" w:hAnsi="宋体" w:eastAsia="宋体"/>
      <w:sz w:val="18"/>
    </w:rPr>
  </w:style>
  <w:style w:type="character" w:customStyle="1" w:styleId="179">
    <w:name w:val="正文文本 2 Char1"/>
    <w:uiPriority w:val="0"/>
    <w:rPr>
      <w:kern w:val="2"/>
      <w:sz w:val="21"/>
    </w:rPr>
  </w:style>
  <w:style w:type="character" w:customStyle="1" w:styleId="180">
    <w:name w:val="表格字体（科宏） Char"/>
    <w:qFormat/>
    <w:uiPriority w:val="0"/>
    <w:rPr>
      <w:rFonts w:ascii="Arial" w:hAnsi="Arial" w:eastAsia="仿宋_GB2312" w:cs="Times New Roman"/>
      <w:kern w:val="0"/>
      <w:sz w:val="24"/>
      <w:szCs w:val="20"/>
    </w:rPr>
  </w:style>
  <w:style w:type="character" w:customStyle="1" w:styleId="181">
    <w:name w:val="h91"/>
    <w:qFormat/>
    <w:uiPriority w:val="0"/>
    <w:rPr>
      <w:color w:val="000000"/>
      <w:sz w:val="21"/>
    </w:rPr>
  </w:style>
  <w:style w:type="character" w:customStyle="1" w:styleId="182">
    <w:name w:val="条标题（科宏） Char Char Char"/>
    <w:qFormat/>
    <w:uiPriority w:val="0"/>
    <w:rPr>
      <w:rFonts w:ascii="Arial" w:hAnsi="Arial" w:eastAsia="仿宋_GB2312"/>
      <w:sz w:val="28"/>
      <w:lang w:val="en-US" w:eastAsia="zh-CN" w:bidi="ar-SA"/>
    </w:rPr>
  </w:style>
  <w:style w:type="character" w:customStyle="1" w:styleId="183">
    <w:name w:val="Char Char1"/>
    <w:uiPriority w:val="0"/>
    <w:rPr>
      <w:rFonts w:eastAsia="宋体"/>
      <w:kern w:val="2"/>
      <w:sz w:val="21"/>
      <w:lang w:val="en-US" w:eastAsia="zh-CN" w:bidi="ar-SA"/>
    </w:rPr>
  </w:style>
  <w:style w:type="character" w:customStyle="1" w:styleId="184">
    <w:name w:val="1.1.1.1 Char"/>
    <w:qFormat/>
    <w:uiPriority w:val="0"/>
    <w:rPr>
      <w:rFonts w:ascii="Arial" w:hAnsi="Arial" w:eastAsia="黑体"/>
      <w:b/>
      <w:kern w:val="2"/>
      <w:sz w:val="28"/>
      <w:lang w:val="en-US" w:eastAsia="zh-CN"/>
    </w:rPr>
  </w:style>
  <w:style w:type="character" w:customStyle="1" w:styleId="185">
    <w:name w:val="陕西，正文 Char Char"/>
    <w:uiPriority w:val="0"/>
    <w:rPr>
      <w:rFonts w:eastAsia="宋体" w:cs="宋体"/>
      <w:kern w:val="2"/>
      <w:sz w:val="28"/>
      <w:lang w:val="en-US" w:eastAsia="zh-CN" w:bidi="ar-SA"/>
    </w:rPr>
  </w:style>
  <w:style w:type="character" w:customStyle="1" w:styleId="186">
    <w:name w:val="正文文本 3 Char"/>
    <w:link w:val="23"/>
    <w:uiPriority w:val="0"/>
    <w:rPr>
      <w:rFonts w:eastAsia="宋体"/>
      <w:sz w:val="16"/>
      <w:szCs w:val="16"/>
    </w:rPr>
  </w:style>
  <w:style w:type="character" w:customStyle="1" w:styleId="187">
    <w:name w:val="标题 3 字符1"/>
    <w:qFormat/>
    <w:uiPriority w:val="0"/>
    <w:rPr>
      <w:rFonts w:ascii="Times New Roman" w:hAnsi="Times New Roman" w:eastAsia="宋体" w:cs="Times New Roman"/>
      <w:b/>
      <w:bCs/>
      <w:sz w:val="32"/>
      <w:szCs w:val="32"/>
    </w:rPr>
  </w:style>
  <w:style w:type="character" w:customStyle="1" w:styleId="188">
    <w:name w:val="正文文本 2 Char"/>
    <w:link w:val="49"/>
    <w:uiPriority w:val="0"/>
    <w:rPr>
      <w:rFonts w:eastAsia="宋体"/>
    </w:rPr>
  </w:style>
  <w:style w:type="character" w:customStyle="1" w:styleId="189">
    <w:name w:val="z-窗体顶端 Char"/>
    <w:link w:val="190"/>
    <w:qFormat/>
    <w:uiPriority w:val="0"/>
    <w:rPr>
      <w:rFonts w:ascii="Arial" w:hAnsi="Arial" w:eastAsia="仿宋_GB2312" w:cs="Arial"/>
      <w:vanish/>
      <w:sz w:val="16"/>
      <w:szCs w:val="16"/>
    </w:rPr>
  </w:style>
  <w:style w:type="paragraph" w:customStyle="1" w:styleId="190">
    <w:name w:val="z-窗体顶端1"/>
    <w:basedOn w:val="1"/>
    <w:next w:val="1"/>
    <w:link w:val="189"/>
    <w:qFormat/>
    <w:uiPriority w:val="0"/>
    <w:pPr>
      <w:pBdr>
        <w:bottom w:val="single" w:color="auto" w:sz="6" w:space="1"/>
      </w:pBdr>
      <w:topLinePunct w:val="0"/>
      <w:adjustRightInd/>
      <w:ind w:firstLine="0" w:firstLineChars="0"/>
      <w:jc w:val="center"/>
    </w:pPr>
    <w:rPr>
      <w:rFonts w:ascii="Arial" w:hAnsi="Arial" w:eastAsia="仿宋_GB2312" w:cs="Times New Roman"/>
      <w:vanish/>
      <w:sz w:val="16"/>
      <w:szCs w:val="16"/>
    </w:rPr>
  </w:style>
  <w:style w:type="character" w:customStyle="1" w:styleId="191">
    <w:name w:val="条标题（科宏） Char Char"/>
    <w:uiPriority w:val="0"/>
    <w:rPr>
      <w:rFonts w:ascii="Arial" w:hAnsi="Arial" w:eastAsia="仿宋_GB2312"/>
      <w:kern w:val="2"/>
      <w:sz w:val="28"/>
      <w:szCs w:val="36"/>
      <w:lang w:val="en-US" w:eastAsia="zh-CN" w:bidi="ar-SA"/>
    </w:rPr>
  </w:style>
  <w:style w:type="character" w:customStyle="1" w:styleId="192">
    <w:name w:val="space201"/>
    <w:basedOn w:val="60"/>
    <w:qFormat/>
    <w:uiPriority w:val="0"/>
  </w:style>
  <w:style w:type="character" w:customStyle="1" w:styleId="193">
    <w:name w:val="标题 3 Char"/>
    <w:qFormat/>
    <w:uiPriority w:val="0"/>
    <w:rPr>
      <w:rFonts w:ascii="Arial" w:hAnsi="Arial" w:eastAsia="宋体"/>
      <w:bCs/>
      <w:kern w:val="2"/>
      <w:position w:val="-30"/>
      <w:sz w:val="28"/>
      <w:szCs w:val="32"/>
      <w:lang w:val="en-US" w:eastAsia="zh-CN" w:bidi="ar-SA"/>
    </w:rPr>
  </w:style>
  <w:style w:type="character" w:customStyle="1" w:styleId="194">
    <w:name w:val="正文文本缩进 3 Char"/>
    <w:link w:val="44"/>
    <w:uiPriority w:val="0"/>
    <w:rPr>
      <w:rFonts w:eastAsia="宋体"/>
      <w:sz w:val="16"/>
      <w:szCs w:val="16"/>
    </w:rPr>
  </w:style>
  <w:style w:type="character" w:customStyle="1" w:styleId="195">
    <w:name w:val="Char Char Char"/>
    <w:link w:val="196"/>
    <w:qFormat/>
    <w:uiPriority w:val="0"/>
    <w:rPr>
      <w:rFonts w:eastAsia="宋体"/>
    </w:rPr>
  </w:style>
  <w:style w:type="paragraph" w:customStyle="1" w:styleId="196">
    <w:name w:val="Char"/>
    <w:basedOn w:val="1"/>
    <w:link w:val="195"/>
    <w:qFormat/>
    <w:uiPriority w:val="0"/>
    <w:pPr>
      <w:topLinePunct w:val="0"/>
      <w:adjustRightInd/>
      <w:spacing w:line="240" w:lineRule="auto"/>
      <w:ind w:firstLine="0" w:firstLineChars="0"/>
    </w:pPr>
    <w:rPr>
      <w:rFonts w:ascii="Calibri" w:hAnsi="Calibri" w:cs="Times New Roman"/>
      <w:sz w:val="20"/>
      <w:szCs w:val="20"/>
    </w:rPr>
  </w:style>
  <w:style w:type="character" w:customStyle="1" w:styleId="197">
    <w:name w:val="表格字体（科宏） Char Char Char"/>
    <w:qFormat/>
    <w:uiPriority w:val="0"/>
    <w:rPr>
      <w:rFonts w:ascii="Arial" w:hAnsi="Arial" w:eastAsia="仿宋_GB2312" w:cs="Times New Roman"/>
      <w:kern w:val="0"/>
      <w:sz w:val="24"/>
      <w:szCs w:val="20"/>
    </w:rPr>
  </w:style>
  <w:style w:type="character" w:customStyle="1" w:styleId="198">
    <w:name w:val="正文缩进 字符"/>
    <w:uiPriority w:val="0"/>
    <w:rPr>
      <w:rFonts w:eastAsia="宋体"/>
      <w:kern w:val="2"/>
      <w:sz w:val="21"/>
      <w:lang w:val="en-US" w:eastAsia="zh-CN" w:bidi="ar-SA"/>
    </w:rPr>
  </w:style>
  <w:style w:type="character" w:customStyle="1" w:styleId="199">
    <w:name w:val="正文1234"/>
    <w:qFormat/>
    <w:uiPriority w:val="0"/>
    <w:rPr>
      <w:sz w:val="28"/>
    </w:rPr>
  </w:style>
  <w:style w:type="character" w:customStyle="1" w:styleId="200">
    <w:name w:val="总院 Char Char"/>
    <w:link w:val="201"/>
    <w:qFormat/>
    <w:uiPriority w:val="0"/>
    <w:rPr>
      <w:rFonts w:ascii="宋体" w:hAnsi="宋体" w:eastAsia="宋体"/>
      <w:sz w:val="28"/>
      <w:lang w:val="ru-RU"/>
    </w:rPr>
  </w:style>
  <w:style w:type="paragraph" w:customStyle="1" w:styleId="201">
    <w:name w:val="总院"/>
    <w:basedOn w:val="1"/>
    <w:link w:val="200"/>
    <w:uiPriority w:val="0"/>
    <w:pPr>
      <w:topLinePunct w:val="0"/>
      <w:adjustRightInd/>
      <w:snapToGrid w:val="0"/>
      <w:spacing w:line="300" w:lineRule="auto"/>
      <w:ind w:firstLine="560"/>
    </w:pPr>
    <w:rPr>
      <w:rFonts w:hAnsi="宋体" w:cs="Times New Roman"/>
      <w:sz w:val="28"/>
      <w:szCs w:val="20"/>
      <w:lang w:val="ru-RU"/>
    </w:rPr>
  </w:style>
  <w:style w:type="character" w:customStyle="1" w:styleId="202">
    <w:name w:val="标题 4 Char2"/>
    <w:qFormat/>
    <w:uiPriority w:val="0"/>
    <w:rPr>
      <w:rFonts w:ascii="Arial" w:hAnsi="Arial" w:eastAsia="仿宋_GB2312"/>
      <w:kern w:val="2"/>
      <w:sz w:val="28"/>
      <w:szCs w:val="28"/>
      <w:lang w:val="en-US" w:eastAsia="zh-CN" w:bidi="ar-SA"/>
    </w:rPr>
  </w:style>
  <w:style w:type="character" w:customStyle="1" w:styleId="203">
    <w:name w:val="马学海内容 Char Char"/>
    <w:link w:val="204"/>
    <w:qFormat/>
    <w:uiPriority w:val="0"/>
    <w:rPr>
      <w:rFonts w:ascii="新宋体" w:hAnsi="新宋体" w:eastAsia="宋体"/>
      <w:kern w:val="44"/>
      <w:sz w:val="24"/>
      <w:szCs w:val="24"/>
    </w:rPr>
  </w:style>
  <w:style w:type="paragraph" w:customStyle="1" w:styleId="204">
    <w:name w:val="马学海内容"/>
    <w:basedOn w:val="1"/>
    <w:link w:val="203"/>
    <w:uiPriority w:val="0"/>
    <w:pPr>
      <w:tabs>
        <w:tab w:val="left" w:pos="5725"/>
        <w:tab w:val="left" w:pos="5880"/>
      </w:tabs>
      <w:topLinePunct w:val="0"/>
      <w:adjustRightInd/>
    </w:pPr>
    <w:rPr>
      <w:rFonts w:ascii="新宋体" w:hAnsi="新宋体" w:cs="Times New Roman"/>
      <w:kern w:val="44"/>
    </w:rPr>
  </w:style>
  <w:style w:type="character" w:customStyle="1" w:styleId="205">
    <w:name w:val="正文缩进 Char2"/>
    <w:qFormat/>
    <w:uiPriority w:val="0"/>
    <w:rPr>
      <w:rFonts w:eastAsia="宋体"/>
      <w:kern w:val="2"/>
      <w:sz w:val="21"/>
      <w:lang w:val="en-US" w:eastAsia="zh-CN" w:bidi="ar-SA"/>
    </w:rPr>
  </w:style>
  <w:style w:type="character" w:customStyle="1" w:styleId="206">
    <w:name w:val="样式 标题 1 + (西文) Arial (中文) 仿宋_GB2312 四号 Char Char"/>
    <w:link w:val="207"/>
    <w:uiPriority w:val="0"/>
    <w:rPr>
      <w:rFonts w:ascii="Arial" w:hAnsi="Arial" w:eastAsia="仿宋_GB2312" w:cs="Arial"/>
      <w:b/>
      <w:bCs/>
      <w:color w:val="000000"/>
      <w:kern w:val="44"/>
      <w:sz w:val="32"/>
      <w:szCs w:val="44"/>
    </w:rPr>
  </w:style>
  <w:style w:type="paragraph" w:customStyle="1" w:styleId="207">
    <w:name w:val="样式 标题 1 + (西文) Arial (中文) 仿宋_GB2312 四号"/>
    <w:basedOn w:val="2"/>
    <w:link w:val="206"/>
    <w:qFormat/>
    <w:uiPriority w:val="0"/>
    <w:pPr>
      <w:pageBreakBefore/>
      <w:topLinePunct w:val="0"/>
      <w:adjustRightInd/>
      <w:spacing w:beforeLines="50" w:afterLines="50"/>
      <w:jc w:val="center"/>
    </w:pPr>
    <w:rPr>
      <w:rFonts w:ascii="Arial" w:hAnsi="Arial" w:eastAsia="仿宋_GB2312"/>
      <w:bCs/>
      <w:color w:val="000000"/>
    </w:rPr>
  </w:style>
  <w:style w:type="character" w:customStyle="1" w:styleId="208">
    <w:name w:val="3级标题 Char Char"/>
    <w:link w:val="209"/>
    <w:qFormat/>
    <w:uiPriority w:val="0"/>
    <w:rPr>
      <w:rFonts w:eastAsia="黑体"/>
      <w:sz w:val="24"/>
    </w:rPr>
  </w:style>
  <w:style w:type="paragraph" w:customStyle="1" w:styleId="209">
    <w:name w:val="3级标题"/>
    <w:basedOn w:val="1"/>
    <w:link w:val="208"/>
    <w:uiPriority w:val="0"/>
    <w:pPr>
      <w:topLinePunct w:val="0"/>
      <w:adjustRightInd/>
      <w:ind w:firstLine="0" w:firstLineChars="0"/>
    </w:pPr>
    <w:rPr>
      <w:rFonts w:ascii="Calibri" w:hAnsi="Calibri" w:eastAsia="黑体" w:cs="Times New Roman"/>
      <w:szCs w:val="20"/>
    </w:rPr>
  </w:style>
  <w:style w:type="character" w:customStyle="1" w:styleId="210">
    <w:name w:val="标题 1 Char3"/>
    <w:qFormat/>
    <w:uiPriority w:val="0"/>
    <w:rPr>
      <w:rFonts w:eastAsia="宋体"/>
      <w:b/>
      <w:bCs/>
      <w:kern w:val="44"/>
      <w:sz w:val="44"/>
      <w:szCs w:val="44"/>
      <w:lang w:val="en-US" w:eastAsia="zh-CN" w:bidi="ar-SA"/>
    </w:rPr>
  </w:style>
  <w:style w:type="character" w:customStyle="1" w:styleId="211">
    <w:name w:val="马学海4.1.1.1 Char Char"/>
    <w:link w:val="212"/>
    <w:qFormat/>
    <w:uiPriority w:val="0"/>
    <w:rPr>
      <w:rFonts w:ascii="Arial" w:hAnsi="Arial"/>
      <w:b/>
      <w:bCs/>
      <w:sz w:val="24"/>
      <w:szCs w:val="24"/>
    </w:rPr>
  </w:style>
  <w:style w:type="paragraph" w:customStyle="1" w:styleId="212">
    <w:name w:val="马学海4.1.1.1"/>
    <w:basedOn w:val="5"/>
    <w:next w:val="204"/>
    <w:link w:val="211"/>
    <w:qFormat/>
    <w:uiPriority w:val="0"/>
    <w:pPr>
      <w:keepNext/>
      <w:keepLines/>
      <w:widowControl w:val="0"/>
      <w:numPr>
        <w:ilvl w:val="3"/>
        <w:numId w:val="1"/>
      </w:numPr>
      <w:tabs>
        <w:tab w:val="left" w:pos="2585"/>
      </w:tabs>
      <w:adjustRightInd/>
      <w:snapToGrid/>
      <w:spacing w:before="156" w:afterLines="50" w:line="360" w:lineRule="auto"/>
      <w:ind w:left="1133"/>
    </w:pPr>
    <w:rPr>
      <w:b/>
      <w:bCs/>
      <w:kern w:val="0"/>
      <w:sz w:val="24"/>
      <w:szCs w:val="24"/>
    </w:rPr>
  </w:style>
  <w:style w:type="character" w:customStyle="1" w:styleId="213">
    <w:name w:val="表格字体（科宏） Char Char"/>
    <w:link w:val="214"/>
    <w:uiPriority w:val="0"/>
    <w:rPr>
      <w:rFonts w:ascii="Arial" w:hAnsi="Arial" w:eastAsia="仿宋_GB2312"/>
      <w:sz w:val="28"/>
    </w:rPr>
  </w:style>
  <w:style w:type="paragraph" w:customStyle="1" w:styleId="214">
    <w:name w:val="表格字体（科宏）"/>
    <w:basedOn w:val="215"/>
    <w:link w:val="213"/>
    <w:uiPriority w:val="0"/>
    <w:pPr>
      <w:jc w:val="center"/>
    </w:pPr>
    <w:rPr>
      <w:sz w:val="28"/>
    </w:rPr>
  </w:style>
  <w:style w:type="paragraph" w:customStyle="1" w:styleId="215">
    <w:name w:val="正文（科宏）"/>
    <w:link w:val="216"/>
    <w:qFormat/>
    <w:uiPriority w:val="0"/>
    <w:pPr>
      <w:jc w:val="both"/>
    </w:pPr>
    <w:rPr>
      <w:rFonts w:ascii="Arial" w:hAnsi="Arial" w:eastAsia="仿宋_GB2312" w:cs="Times New Roman"/>
      <w:lang w:val="en-US" w:eastAsia="zh-CN" w:bidi="ar-SA"/>
    </w:rPr>
  </w:style>
  <w:style w:type="character" w:customStyle="1" w:styleId="216">
    <w:name w:val="正文（科宏） Char Char"/>
    <w:link w:val="215"/>
    <w:qFormat/>
    <w:uiPriority w:val="0"/>
    <w:rPr>
      <w:rFonts w:ascii="Arial" w:hAnsi="Arial" w:eastAsia="仿宋_GB2312"/>
      <w:lang w:val="en-US" w:eastAsia="zh-CN" w:bidi="ar-SA"/>
    </w:rPr>
  </w:style>
  <w:style w:type="character" w:customStyle="1" w:styleId="217">
    <w:name w:val="标题 1 宋体 三号 Char Char Char1"/>
    <w:qFormat/>
    <w:uiPriority w:val="0"/>
    <w:rPr>
      <w:rFonts w:ascii="宋体" w:hAnsi="宋体" w:eastAsia="宋体"/>
      <w:b/>
      <w:kern w:val="44"/>
      <w:position w:val="-30"/>
      <w:sz w:val="32"/>
      <w:lang w:val="en-US" w:eastAsia="zh-CN"/>
    </w:rPr>
  </w:style>
  <w:style w:type="character" w:customStyle="1" w:styleId="218">
    <w:name w:val="Char Char2"/>
    <w:qFormat/>
    <w:uiPriority w:val="0"/>
    <w:rPr>
      <w:kern w:val="2"/>
      <w:sz w:val="21"/>
      <w:szCs w:val="18"/>
    </w:rPr>
  </w:style>
  <w:style w:type="character" w:customStyle="1" w:styleId="219">
    <w:name w:val="正文文本 Char1"/>
    <w:uiPriority w:val="0"/>
    <w:rPr>
      <w:kern w:val="2"/>
      <w:sz w:val="21"/>
    </w:rPr>
  </w:style>
  <w:style w:type="character" w:customStyle="1" w:styleId="220">
    <w:name w:val="Char Char17"/>
    <w:uiPriority w:val="0"/>
    <w:rPr>
      <w:rFonts w:ascii="Times New Roman" w:hAnsi="Times New Roman"/>
      <w:b/>
      <w:kern w:val="2"/>
      <w:sz w:val="24"/>
    </w:rPr>
  </w:style>
  <w:style w:type="character" w:customStyle="1" w:styleId="221">
    <w:name w:val="样式5"/>
    <w:qFormat/>
    <w:uiPriority w:val="0"/>
    <w:rPr>
      <w:b/>
      <w:sz w:val="32"/>
    </w:rPr>
  </w:style>
  <w:style w:type="character" w:customStyle="1" w:styleId="222">
    <w:name w:val="HTML 预设格式 Char1"/>
    <w:qFormat/>
    <w:uiPriority w:val="0"/>
    <w:rPr>
      <w:rFonts w:ascii="Courier New" w:hAnsi="Courier New" w:cs="Courier New"/>
      <w:kern w:val="2"/>
    </w:rPr>
  </w:style>
  <w:style w:type="character" w:customStyle="1" w:styleId="223">
    <w:name w:val="text2"/>
    <w:basedOn w:val="60"/>
    <w:qFormat/>
    <w:uiPriority w:val="0"/>
  </w:style>
  <w:style w:type="character" w:customStyle="1" w:styleId="224">
    <w:name w:val="款正文（科宏） Char Char"/>
    <w:link w:val="225"/>
    <w:qFormat/>
    <w:uiPriority w:val="0"/>
    <w:rPr>
      <w:rFonts w:ascii="Arial" w:hAnsi="Arial" w:eastAsia="仿宋_GB2312"/>
      <w:sz w:val="28"/>
      <w:lang w:val="en-US" w:eastAsia="zh-CN" w:bidi="ar-SA"/>
    </w:rPr>
  </w:style>
  <w:style w:type="paragraph" w:customStyle="1" w:styleId="225">
    <w:name w:val="款正文（科宏）"/>
    <w:next w:val="215"/>
    <w:link w:val="224"/>
    <w:uiPriority w:val="0"/>
    <w:pPr>
      <w:widowControl w:val="0"/>
      <w:tabs>
        <w:tab w:val="left" w:pos="927"/>
      </w:tabs>
      <w:spacing w:line="360" w:lineRule="auto"/>
      <w:ind w:firstLine="567"/>
      <w:jc w:val="both"/>
    </w:pPr>
    <w:rPr>
      <w:rFonts w:ascii="Arial" w:hAnsi="Arial" w:eastAsia="仿宋_GB2312" w:cs="Times New Roman"/>
      <w:sz w:val="28"/>
      <w:lang w:val="en-US" w:eastAsia="zh-CN" w:bidi="ar-SA"/>
    </w:rPr>
  </w:style>
  <w:style w:type="character" w:customStyle="1" w:styleId="226">
    <w:name w:val="我的图表标题 Char Char"/>
    <w:link w:val="227"/>
    <w:qFormat/>
    <w:uiPriority w:val="0"/>
    <w:rPr>
      <w:rFonts w:ascii="Arial" w:hAnsi="Arial" w:eastAsia="仿宋_GB2312" w:cs="Arial"/>
      <w:bCs/>
      <w:sz w:val="28"/>
      <w:szCs w:val="28"/>
    </w:rPr>
  </w:style>
  <w:style w:type="paragraph" w:customStyle="1" w:styleId="227">
    <w:name w:val="我的图表标题"/>
    <w:basedOn w:val="25"/>
    <w:link w:val="226"/>
    <w:qFormat/>
    <w:uiPriority w:val="0"/>
    <w:pPr>
      <w:spacing w:after="0" w:line="360" w:lineRule="auto"/>
      <w:ind w:left="0" w:leftChars="0"/>
    </w:pPr>
    <w:rPr>
      <w:rFonts w:ascii="Arial" w:hAnsi="Arial" w:eastAsia="仿宋_GB2312"/>
      <w:bCs/>
      <w:kern w:val="0"/>
      <w:sz w:val="28"/>
      <w:szCs w:val="28"/>
    </w:rPr>
  </w:style>
  <w:style w:type="character" w:customStyle="1" w:styleId="228">
    <w:name w:val="正文文本缩进 Char"/>
    <w:basedOn w:val="60"/>
    <w:link w:val="25"/>
    <w:uiPriority w:val="0"/>
    <w:rPr>
      <w:rFonts w:ascii="Times New Roman" w:hAnsi="Times New Roman" w:eastAsia="宋体" w:cs="Times New Roman"/>
      <w:kern w:val="2"/>
      <w:sz w:val="21"/>
      <w:szCs w:val="24"/>
    </w:rPr>
  </w:style>
  <w:style w:type="character" w:customStyle="1" w:styleId="229">
    <w:name w:val="(页眉)科宏 Char Char"/>
    <w:uiPriority w:val="0"/>
    <w:rPr>
      <w:rFonts w:ascii="Arial" w:hAnsi="Arial" w:eastAsia="仿宋_GB2312"/>
      <w:sz w:val="21"/>
    </w:rPr>
  </w:style>
  <w:style w:type="character" w:customStyle="1" w:styleId="230">
    <w:name w:val="1.1 Char1"/>
    <w:qFormat/>
    <w:uiPriority w:val="0"/>
    <w:rPr>
      <w:rFonts w:ascii="Arial" w:hAnsi="Arial" w:eastAsia="宋体"/>
      <w:b/>
      <w:bCs/>
      <w:kern w:val="2"/>
      <w:sz w:val="28"/>
      <w:szCs w:val="28"/>
      <w:lang w:val="en-US" w:eastAsia="zh-CN" w:bidi="ar-SA"/>
    </w:rPr>
  </w:style>
  <w:style w:type="character" w:customStyle="1" w:styleId="231">
    <w:name w:val="条标题（科宏） Char Char Char Char"/>
    <w:link w:val="232"/>
    <w:uiPriority w:val="0"/>
    <w:rPr>
      <w:rFonts w:ascii="Arial" w:hAnsi="Arial" w:eastAsia="仿宋_GB2312"/>
      <w:sz w:val="28"/>
      <w:lang w:val="en-US" w:eastAsia="zh-CN" w:bidi="ar-SA"/>
    </w:rPr>
  </w:style>
  <w:style w:type="paragraph" w:customStyle="1" w:styleId="232">
    <w:name w:val="条标题（科宏）"/>
    <w:next w:val="1"/>
    <w:link w:val="231"/>
    <w:qFormat/>
    <w:uiPriority w:val="0"/>
    <w:pPr>
      <w:widowControl w:val="0"/>
      <w:spacing w:line="360" w:lineRule="auto"/>
      <w:jc w:val="both"/>
      <w:outlineLvl w:val="2"/>
    </w:pPr>
    <w:rPr>
      <w:rFonts w:ascii="Arial" w:hAnsi="Arial" w:eastAsia="仿宋_GB2312" w:cs="Times New Roman"/>
      <w:sz w:val="28"/>
      <w:lang w:val="en-US" w:eastAsia="zh-CN" w:bidi="ar-SA"/>
    </w:rPr>
  </w:style>
  <w:style w:type="character" w:customStyle="1" w:styleId="233">
    <w:name w:val="偶的正文 Char Char"/>
    <w:link w:val="234"/>
    <w:qFormat/>
    <w:uiPriority w:val="0"/>
    <w:rPr>
      <w:rFonts w:ascii="仿宋_GB2312" w:eastAsia="仿宋_GB2312" w:cs="Arial"/>
      <w:sz w:val="28"/>
      <w:szCs w:val="28"/>
    </w:rPr>
  </w:style>
  <w:style w:type="paragraph" w:customStyle="1" w:styleId="234">
    <w:name w:val="偶的正文"/>
    <w:basedOn w:val="55"/>
    <w:link w:val="233"/>
    <w:qFormat/>
    <w:uiPriority w:val="0"/>
    <w:pPr>
      <w:spacing w:after="0" w:line="360" w:lineRule="auto"/>
      <w:ind w:firstLine="560" w:firstLineChars="200"/>
    </w:pPr>
    <w:rPr>
      <w:rFonts w:ascii="仿宋_GB2312" w:eastAsia="仿宋_GB2312"/>
      <w:sz w:val="28"/>
      <w:szCs w:val="28"/>
    </w:rPr>
  </w:style>
  <w:style w:type="character" w:customStyle="1" w:styleId="235">
    <w:name w:val="文本一 Char Char"/>
    <w:link w:val="236"/>
    <w:qFormat/>
    <w:uiPriority w:val="0"/>
    <w:rPr>
      <w:rFonts w:eastAsia="仿宋_GB2312"/>
      <w:sz w:val="24"/>
    </w:rPr>
  </w:style>
  <w:style w:type="paragraph" w:customStyle="1" w:styleId="236">
    <w:name w:val="文本一"/>
    <w:basedOn w:val="6"/>
    <w:link w:val="235"/>
    <w:qFormat/>
    <w:uiPriority w:val="0"/>
    <w:pPr>
      <w:topLinePunct w:val="0"/>
      <w:adjustRightInd/>
    </w:pPr>
    <w:rPr>
      <w:rFonts w:ascii="Calibri" w:hAnsi="Calibri" w:eastAsia="仿宋_GB2312" w:cs="Times New Roman"/>
      <w:szCs w:val="20"/>
    </w:rPr>
  </w:style>
  <w:style w:type="character" w:customStyle="1" w:styleId="237">
    <w:name w:val="无节款 Char Char"/>
    <w:qFormat/>
    <w:uiPriority w:val="0"/>
    <w:rPr>
      <w:rFonts w:ascii="Arial" w:hAnsi="Arial"/>
      <w:b/>
      <w:spacing w:val="-4"/>
      <w:kern w:val="20"/>
      <w:sz w:val="18"/>
    </w:rPr>
  </w:style>
  <w:style w:type="character" w:customStyle="1" w:styleId="238">
    <w:name w:val="标题 Char2"/>
    <w:qFormat/>
    <w:uiPriority w:val="0"/>
    <w:rPr>
      <w:rFonts w:ascii="Cambria" w:hAnsi="Cambria" w:cs="Times New Roman"/>
      <w:b/>
      <w:bCs/>
      <w:kern w:val="2"/>
      <w:sz w:val="32"/>
      <w:szCs w:val="32"/>
    </w:rPr>
  </w:style>
  <w:style w:type="character" w:customStyle="1" w:styleId="239">
    <w:name w:val="款正文（科宏） Char"/>
    <w:qFormat/>
    <w:uiPriority w:val="0"/>
    <w:rPr>
      <w:rFonts w:ascii="Arial" w:hAnsi="Arial" w:eastAsia="仿宋_GB2312"/>
      <w:sz w:val="28"/>
      <w:lang w:val="en-US" w:eastAsia="zh-CN" w:bidi="ar-SA"/>
    </w:rPr>
  </w:style>
  <w:style w:type="character" w:customStyle="1" w:styleId="240">
    <w:name w:val="样式 标题 4 + (符号) 宋体 小四 非加粗 两端对齐 Char Char"/>
    <w:uiPriority w:val="0"/>
    <w:rPr>
      <w:rFonts w:eastAsia="宋体"/>
      <w:kern w:val="2"/>
      <w:sz w:val="21"/>
      <w:lang w:val="en-US" w:eastAsia="zh-CN"/>
    </w:rPr>
  </w:style>
  <w:style w:type="character" w:customStyle="1" w:styleId="241">
    <w:name w:val="正文首行缩进 2 Char"/>
    <w:link w:val="56"/>
    <w:uiPriority w:val="0"/>
    <w:rPr>
      <w:rFonts w:ascii="Arial" w:hAnsi="Arial" w:eastAsia="宋体" w:cs="Arial"/>
    </w:rPr>
  </w:style>
  <w:style w:type="character" w:customStyle="1" w:styleId="242">
    <w:name w:val="style21"/>
    <w:qFormat/>
    <w:uiPriority w:val="0"/>
    <w:rPr>
      <w:sz w:val="40"/>
    </w:rPr>
  </w:style>
  <w:style w:type="character" w:customStyle="1" w:styleId="243">
    <w:name w:val="1.1 Char Char"/>
    <w:qFormat/>
    <w:uiPriority w:val="0"/>
    <w:rPr>
      <w:rFonts w:ascii="Arial" w:hAnsi="Arial" w:eastAsia="黑体"/>
      <w:b/>
      <w:kern w:val="2"/>
      <w:sz w:val="32"/>
      <w:lang w:val="en-US" w:eastAsia="zh-CN"/>
    </w:rPr>
  </w:style>
  <w:style w:type="character" w:customStyle="1" w:styleId="244">
    <w:name w:val="标题 2 Char Char Char"/>
    <w:qFormat/>
    <w:uiPriority w:val="0"/>
    <w:rPr>
      <w:rFonts w:ascii="黑体" w:hAnsi="宋体" w:eastAsia="黑体"/>
      <w:b/>
      <w:bCs/>
      <w:kern w:val="2"/>
      <w:sz w:val="32"/>
      <w:szCs w:val="32"/>
      <w:lang w:val="en-US" w:eastAsia="zh-CN" w:bidi="ar-SA"/>
    </w:rPr>
  </w:style>
  <w:style w:type="character" w:customStyle="1" w:styleId="245">
    <w:name w:val="xl26 Char Char"/>
    <w:link w:val="246"/>
    <w:qFormat/>
    <w:uiPriority w:val="0"/>
    <w:rPr>
      <w:rFonts w:ascii="Arial Unicode MS" w:hAnsi="Arial Unicode MS" w:eastAsia="Arial Unicode MS"/>
      <w:sz w:val="24"/>
      <w:szCs w:val="24"/>
    </w:rPr>
  </w:style>
  <w:style w:type="paragraph" w:customStyle="1" w:styleId="246">
    <w:name w:val="xl26"/>
    <w:basedOn w:val="1"/>
    <w:link w:val="245"/>
    <w:uiPriority w:val="0"/>
    <w:pPr>
      <w:widowControl/>
      <w:topLinePunct w:val="0"/>
      <w:adjustRightInd/>
      <w:spacing w:before="100" w:beforeAutospacing="1" w:after="100" w:afterAutospacing="1" w:line="240" w:lineRule="auto"/>
      <w:ind w:firstLine="0" w:firstLineChars="0"/>
      <w:jc w:val="center"/>
    </w:pPr>
    <w:rPr>
      <w:rFonts w:ascii="Arial Unicode MS" w:hAnsi="Arial Unicode MS" w:eastAsia="Arial Unicode MS" w:cs="Times New Roman"/>
    </w:rPr>
  </w:style>
  <w:style w:type="character" w:customStyle="1" w:styleId="247">
    <w:name w:val="样式 标题 1 + 两端对齐 行距: 多倍行距 1.4 字行 Char Char"/>
    <w:link w:val="248"/>
    <w:uiPriority w:val="0"/>
    <w:rPr>
      <w:rFonts w:ascii="宋体" w:hAnsi="宋体" w:eastAsia="黑体"/>
      <w:b/>
      <w:kern w:val="44"/>
      <w:position w:val="-30"/>
      <w:sz w:val="28"/>
    </w:rPr>
  </w:style>
  <w:style w:type="paragraph" w:customStyle="1" w:styleId="248">
    <w:name w:val="样式 标题 1 + 两端对齐 行距: 多倍行距 1.4 字行"/>
    <w:basedOn w:val="2"/>
    <w:link w:val="247"/>
    <w:qFormat/>
    <w:uiPriority w:val="0"/>
    <w:pPr>
      <w:topLinePunct w:val="0"/>
      <w:snapToGrid w:val="0"/>
      <w:spacing w:before="120" w:beforeAutospacing="0" w:after="120" w:afterAutospacing="0"/>
      <w:ind w:left="240" w:right="240"/>
      <w:jc w:val="center"/>
      <w:textAlignment w:val="baseline"/>
    </w:pPr>
    <w:rPr>
      <w:rFonts w:ascii="宋体" w:hAnsi="宋体" w:eastAsia="黑体"/>
      <w:position w:val="-30"/>
      <w:sz w:val="28"/>
      <w:szCs w:val="20"/>
    </w:rPr>
  </w:style>
  <w:style w:type="character" w:customStyle="1" w:styleId="249">
    <w:name w:val="正文（科宏） Char"/>
    <w:qFormat/>
    <w:uiPriority w:val="0"/>
    <w:rPr>
      <w:rFonts w:ascii="Arial" w:hAnsi="Arial" w:eastAsia="仿宋_GB2312"/>
      <w:sz w:val="28"/>
      <w:lang w:val="en-US" w:eastAsia="zh-CN" w:bidi="ar-SA"/>
    </w:rPr>
  </w:style>
  <w:style w:type="character" w:customStyle="1" w:styleId="250">
    <w:name w:val="标题 1 字符1"/>
    <w:qFormat/>
    <w:uiPriority w:val="0"/>
    <w:rPr>
      <w:rFonts w:ascii="Times New Roman" w:hAnsi="Times New Roman" w:eastAsia="宋体" w:cs="Times New Roman"/>
      <w:b/>
      <w:bCs/>
      <w:kern w:val="44"/>
      <w:sz w:val="44"/>
      <w:szCs w:val="44"/>
    </w:rPr>
  </w:style>
  <w:style w:type="character" w:customStyle="1" w:styleId="251">
    <w:name w:val="章2 Char"/>
    <w:link w:val="252"/>
    <w:qFormat/>
    <w:uiPriority w:val="0"/>
    <w:rPr>
      <w:rFonts w:ascii="Arial" w:hAnsi="Arial"/>
      <w:b/>
      <w:bCs/>
      <w:sz w:val="24"/>
      <w:szCs w:val="21"/>
      <w:lang w:val="en-US" w:eastAsia="zh-CN" w:bidi="ar-SA"/>
    </w:rPr>
  </w:style>
  <w:style w:type="paragraph" w:customStyle="1" w:styleId="252">
    <w:name w:val="章2"/>
    <w:link w:val="251"/>
    <w:qFormat/>
    <w:uiPriority w:val="0"/>
    <w:pPr>
      <w:spacing w:before="50" w:after="50" w:line="360" w:lineRule="auto"/>
      <w:jc w:val="center"/>
      <w:outlineLvl w:val="0"/>
    </w:pPr>
    <w:rPr>
      <w:rFonts w:ascii="Arial" w:hAnsi="Arial" w:eastAsia="宋体" w:cs="Times New Roman"/>
      <w:b/>
      <w:bCs/>
      <w:sz w:val="24"/>
      <w:szCs w:val="21"/>
      <w:lang w:val="en-US" w:eastAsia="zh-CN" w:bidi="ar-SA"/>
    </w:rPr>
  </w:style>
  <w:style w:type="character" w:customStyle="1" w:styleId="253">
    <w:name w:val="标题 3 Char2"/>
    <w:qFormat/>
    <w:uiPriority w:val="0"/>
    <w:rPr>
      <w:rFonts w:eastAsia="宋体"/>
      <w:b/>
      <w:kern w:val="2"/>
      <w:sz w:val="32"/>
      <w:lang w:val="en-US" w:eastAsia="zh-CN"/>
    </w:rPr>
  </w:style>
  <w:style w:type="character" w:customStyle="1" w:styleId="254">
    <w:name w:val="3级标题 Char"/>
    <w:qFormat/>
    <w:uiPriority w:val="0"/>
    <w:rPr>
      <w:rFonts w:eastAsia="黑体"/>
      <w:kern w:val="2"/>
      <w:sz w:val="24"/>
      <w:szCs w:val="24"/>
      <w:lang w:val="en-US" w:eastAsia="zh-CN" w:bidi="ar-SA"/>
    </w:rPr>
  </w:style>
  <w:style w:type="character" w:customStyle="1" w:styleId="255">
    <w:name w:val="t13l14green1"/>
    <w:qFormat/>
    <w:uiPriority w:val="0"/>
    <w:rPr>
      <w:color w:val="008484"/>
      <w:sz w:val="21"/>
    </w:rPr>
  </w:style>
  <w:style w:type="character" w:customStyle="1" w:styleId="256">
    <w:name w:val="款正文（科宏） Char Char Char"/>
    <w:uiPriority w:val="0"/>
    <w:rPr>
      <w:rFonts w:ascii="Arial" w:hAnsi="Arial" w:eastAsia="仿宋_GB2312"/>
      <w:sz w:val="28"/>
      <w:lang w:val="en-US" w:eastAsia="zh-CN" w:bidi="ar-SA"/>
    </w:rPr>
  </w:style>
  <w:style w:type="character" w:customStyle="1" w:styleId="257">
    <w:name w:val="标题 Char1"/>
    <w:qFormat/>
    <w:uiPriority w:val="0"/>
    <w:rPr>
      <w:rFonts w:ascii="Cambria" w:hAnsi="Cambria"/>
      <w:b/>
      <w:kern w:val="2"/>
      <w:sz w:val="32"/>
    </w:rPr>
  </w:style>
  <w:style w:type="character" w:customStyle="1" w:styleId="258">
    <w:name w:val="样式 标题 4 + (符号) 宋体 小四 非加粗 两端对齐 Char Char Char Char Char"/>
    <w:link w:val="259"/>
    <w:uiPriority w:val="0"/>
    <w:rPr>
      <w:rFonts w:eastAsia="宋体"/>
    </w:rPr>
  </w:style>
  <w:style w:type="paragraph" w:customStyle="1" w:styleId="259">
    <w:name w:val="样式 标题 4 + (符号) 宋体 小四 非加粗 两端对齐 Char Char Char"/>
    <w:basedOn w:val="1"/>
    <w:link w:val="258"/>
    <w:qFormat/>
    <w:uiPriority w:val="0"/>
    <w:pPr>
      <w:tabs>
        <w:tab w:val="left" w:pos="425"/>
      </w:tabs>
      <w:topLinePunct w:val="0"/>
      <w:adjustRightInd/>
      <w:spacing w:line="240" w:lineRule="auto"/>
      <w:ind w:left="360" w:hanging="360" w:firstLineChars="0"/>
    </w:pPr>
    <w:rPr>
      <w:rFonts w:ascii="Calibri" w:hAnsi="Calibri" w:cs="Times New Roman"/>
      <w:sz w:val="20"/>
      <w:szCs w:val="20"/>
    </w:rPr>
  </w:style>
  <w:style w:type="character" w:customStyle="1" w:styleId="260">
    <w:name w:val="章标题（科宏） Char"/>
    <w:link w:val="261"/>
    <w:qFormat/>
    <w:uiPriority w:val="0"/>
    <w:rPr>
      <w:rFonts w:ascii="Arial" w:hAnsi="Arial" w:eastAsia="仿宋_GB2312"/>
      <w:b/>
      <w:sz w:val="32"/>
      <w:lang w:val="en-US" w:eastAsia="zh-CN" w:bidi="ar-SA"/>
    </w:rPr>
  </w:style>
  <w:style w:type="paragraph" w:customStyle="1" w:styleId="261">
    <w:name w:val="章标题（科宏）"/>
    <w:next w:val="215"/>
    <w:link w:val="260"/>
    <w:uiPriority w:val="0"/>
    <w:pPr>
      <w:pageBreakBefore/>
      <w:widowControl w:val="0"/>
      <w:numPr>
        <w:ilvl w:val="0"/>
        <w:numId w:val="1"/>
      </w:numPr>
      <w:spacing w:beforeLines="50" w:afterLines="50" w:line="360" w:lineRule="auto"/>
      <w:jc w:val="center"/>
      <w:outlineLvl w:val="0"/>
    </w:pPr>
    <w:rPr>
      <w:rFonts w:ascii="Arial" w:hAnsi="Arial" w:eastAsia="仿宋_GB2312" w:cs="Times New Roman"/>
      <w:b/>
      <w:sz w:val="32"/>
      <w:lang w:val="en-US" w:eastAsia="zh-CN" w:bidi="ar-SA"/>
    </w:rPr>
  </w:style>
  <w:style w:type="character" w:customStyle="1" w:styleId="262">
    <w:name w:val="正文文本缩进 字符"/>
    <w:qFormat/>
    <w:uiPriority w:val="0"/>
    <w:rPr>
      <w:rFonts w:ascii="Arial" w:hAnsi="Arial" w:eastAsia="仿宋_GB2312" w:cs="Arial"/>
      <w:kern w:val="2"/>
      <w:sz w:val="28"/>
      <w:lang w:val="en-US" w:eastAsia="zh-CN" w:bidi="ar-SA"/>
    </w:rPr>
  </w:style>
  <w:style w:type="character" w:customStyle="1" w:styleId="263">
    <w:name w:val="z-窗体底端 Char"/>
    <w:link w:val="264"/>
    <w:uiPriority w:val="0"/>
    <w:rPr>
      <w:rFonts w:ascii="Arial" w:hAnsi="Arial" w:eastAsia="仿宋_GB2312" w:cs="Arial"/>
      <w:vanish/>
      <w:sz w:val="16"/>
      <w:szCs w:val="16"/>
    </w:rPr>
  </w:style>
  <w:style w:type="paragraph" w:customStyle="1" w:styleId="264">
    <w:name w:val="z-窗体底端1"/>
    <w:basedOn w:val="1"/>
    <w:next w:val="1"/>
    <w:link w:val="263"/>
    <w:uiPriority w:val="0"/>
    <w:pPr>
      <w:pBdr>
        <w:top w:val="single" w:color="auto" w:sz="6" w:space="1"/>
      </w:pBdr>
      <w:topLinePunct w:val="0"/>
      <w:adjustRightInd/>
      <w:ind w:firstLine="0" w:firstLineChars="0"/>
      <w:jc w:val="center"/>
    </w:pPr>
    <w:rPr>
      <w:rFonts w:ascii="Arial" w:hAnsi="Arial" w:eastAsia="仿宋_GB2312" w:cs="Times New Roman"/>
      <w:vanish/>
      <w:sz w:val="16"/>
      <w:szCs w:val="16"/>
    </w:rPr>
  </w:style>
  <w:style w:type="character" w:customStyle="1" w:styleId="265">
    <w:name w:val="Char Char22"/>
    <w:qFormat/>
    <w:uiPriority w:val="0"/>
    <w:rPr>
      <w:rFonts w:eastAsia="宋体"/>
      <w:kern w:val="2"/>
      <w:sz w:val="21"/>
      <w:lang w:val="en-US" w:eastAsia="zh-CN"/>
    </w:rPr>
  </w:style>
  <w:style w:type="character" w:customStyle="1" w:styleId="266">
    <w:name w:val="Char Char27"/>
    <w:qFormat/>
    <w:uiPriority w:val="0"/>
    <w:rPr>
      <w:rFonts w:eastAsia="宋体"/>
      <w:b/>
      <w:bCs/>
      <w:kern w:val="2"/>
      <w:sz w:val="32"/>
      <w:szCs w:val="32"/>
      <w:lang w:val="en-US" w:eastAsia="zh-CN" w:bidi="ar-SA"/>
    </w:rPr>
  </w:style>
  <w:style w:type="character" w:customStyle="1" w:styleId="267">
    <w:name w:val="(页眉)科宏 Char"/>
    <w:link w:val="268"/>
    <w:uiPriority w:val="0"/>
    <w:rPr>
      <w:rFonts w:ascii="Arial" w:hAnsi="Arial" w:eastAsia="仿宋_GB2312"/>
      <w:lang w:val="en-US" w:eastAsia="zh-CN" w:bidi="ar-SA"/>
    </w:rPr>
  </w:style>
  <w:style w:type="paragraph" w:customStyle="1" w:styleId="268">
    <w:name w:val="(页眉)科宏"/>
    <w:link w:val="267"/>
    <w:qFormat/>
    <w:uiPriority w:val="0"/>
    <w:rPr>
      <w:rFonts w:ascii="Arial" w:hAnsi="Arial" w:eastAsia="仿宋_GB2312" w:cs="Times New Roman"/>
      <w:lang w:val="en-US" w:eastAsia="zh-CN" w:bidi="ar-SA"/>
    </w:rPr>
  </w:style>
  <w:style w:type="character" w:customStyle="1" w:styleId="269">
    <w:name w:val="textcontents"/>
    <w:basedOn w:val="60"/>
    <w:qFormat/>
    <w:uiPriority w:val="0"/>
  </w:style>
  <w:style w:type="character" w:customStyle="1" w:styleId="270">
    <w:name w:val="纯文本 Char Char"/>
    <w:uiPriority w:val="0"/>
    <w:rPr>
      <w:rFonts w:ascii="宋体" w:hAnsi="Courier New" w:eastAsia="仿宋_GB2312"/>
      <w:kern w:val="2"/>
      <w:sz w:val="28"/>
      <w:lang w:val="en-US" w:eastAsia="zh-CN" w:bidi="he-IL"/>
    </w:rPr>
  </w:style>
  <w:style w:type="character" w:customStyle="1" w:styleId="271">
    <w:name w:val="Char Char7"/>
    <w:qFormat/>
    <w:uiPriority w:val="0"/>
    <w:rPr>
      <w:rFonts w:ascii="Arial" w:hAnsi="Arial" w:eastAsia="仿宋_GB2312"/>
      <w:kern w:val="2"/>
      <w:sz w:val="28"/>
    </w:rPr>
  </w:style>
  <w:style w:type="character" w:customStyle="1" w:styleId="272">
    <w:name w:val="样式 标题 31.1.1标题03Level 3 HeadH3level_3PIM 3h333rd level... Char Char"/>
    <w:link w:val="273"/>
    <w:qFormat/>
    <w:uiPriority w:val="0"/>
    <w:rPr>
      <w:rFonts w:ascii="宋体" w:hAnsi="宋体" w:eastAsia="宋体"/>
      <w:sz w:val="24"/>
    </w:rPr>
  </w:style>
  <w:style w:type="paragraph" w:customStyle="1" w:styleId="273">
    <w:name w:val="样式 标题 31.1.1标题03Level 3 HeadH3level_3PIM 3h333rd level..."/>
    <w:basedOn w:val="4"/>
    <w:link w:val="272"/>
    <w:uiPriority w:val="0"/>
    <w:pPr>
      <w:topLinePunct w:val="0"/>
      <w:jc w:val="left"/>
      <w:textAlignment w:val="baseline"/>
    </w:pPr>
    <w:rPr>
      <w:rFonts w:ascii="宋体" w:hAnsi="宋体" w:eastAsia="宋体"/>
      <w:b w:val="0"/>
      <w:szCs w:val="20"/>
    </w:rPr>
  </w:style>
  <w:style w:type="character" w:customStyle="1" w:styleId="274">
    <w:name w:val="标题 2 Char"/>
    <w:uiPriority w:val="0"/>
    <w:rPr>
      <w:rFonts w:ascii="Arial" w:hAnsi="Arial" w:eastAsia="黑体"/>
      <w:b/>
      <w:kern w:val="2"/>
      <w:sz w:val="32"/>
      <w:lang w:val="en-US" w:eastAsia="zh-CN" w:bidi="ar-SA"/>
    </w:rPr>
  </w:style>
  <w:style w:type="character" w:customStyle="1" w:styleId="275">
    <w:name w:val="纯文本 Char"/>
    <w:link w:val="30"/>
    <w:qFormat/>
    <w:uiPriority w:val="0"/>
    <w:rPr>
      <w:rFonts w:ascii="宋体" w:hAnsi="Courier New" w:eastAsia="宋体" w:cs="Courier New"/>
      <w:szCs w:val="21"/>
    </w:rPr>
  </w:style>
  <w:style w:type="character" w:customStyle="1" w:styleId="276">
    <w:name w:val="Char Char16"/>
    <w:qFormat/>
    <w:uiPriority w:val="0"/>
    <w:rPr>
      <w:rFonts w:ascii="Arial" w:hAnsi="Arial" w:eastAsia="仿宋_GB2312"/>
      <w:b/>
      <w:kern w:val="2"/>
      <w:sz w:val="30"/>
      <w:lang w:val="en-US" w:eastAsia="zh-CN"/>
    </w:rPr>
  </w:style>
  <w:style w:type="character" w:customStyle="1" w:styleId="277">
    <w:name w:val="Char Char21"/>
    <w:qFormat/>
    <w:uiPriority w:val="0"/>
    <w:rPr>
      <w:rFonts w:eastAsia="宋体"/>
      <w:kern w:val="2"/>
      <w:sz w:val="21"/>
      <w:szCs w:val="18"/>
      <w:lang w:val="en-US" w:eastAsia="zh-CN" w:bidi="ar-SA"/>
    </w:rPr>
  </w:style>
  <w:style w:type="paragraph" w:customStyle="1" w:styleId="278">
    <w:name w:val="xl61"/>
    <w:basedOn w:val="1"/>
    <w:qFormat/>
    <w:uiPriority w:val="0"/>
    <w:pPr>
      <w:widowControl/>
      <w:pBdr>
        <w:top w:val="single" w:color="auto" w:sz="4" w:space="0"/>
        <w:lef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color w:val="FF0000"/>
      <w:sz w:val="20"/>
      <w:szCs w:val="20"/>
    </w:rPr>
  </w:style>
  <w:style w:type="paragraph" w:customStyle="1" w:styleId="279">
    <w:name w:val="表格文字"/>
    <w:basedOn w:val="1"/>
    <w:qFormat/>
    <w:uiPriority w:val="0"/>
    <w:pPr>
      <w:topLinePunct w:val="0"/>
      <w:snapToGrid w:val="0"/>
      <w:spacing w:line="240" w:lineRule="auto"/>
      <w:ind w:firstLine="0" w:firstLineChars="0"/>
      <w:jc w:val="center"/>
    </w:pPr>
    <w:rPr>
      <w:rFonts w:ascii="Arial" w:hAnsi="Arial" w:eastAsia="仿宋_GB2312" w:cs="Arial"/>
      <w:color w:val="000000"/>
      <w:spacing w:val="-20"/>
      <w:kern w:val="2"/>
      <w:szCs w:val="20"/>
    </w:rPr>
  </w:style>
  <w:style w:type="paragraph" w:customStyle="1" w:styleId="280">
    <w:name w:val="小标题"/>
    <w:basedOn w:val="1"/>
    <w:qFormat/>
    <w:uiPriority w:val="0"/>
    <w:pPr>
      <w:topLinePunct w:val="0"/>
      <w:adjustRightInd/>
      <w:spacing w:line="240" w:lineRule="auto"/>
      <w:ind w:firstLine="0" w:firstLineChars="0"/>
    </w:pPr>
    <w:rPr>
      <w:rFonts w:hint="eastAsia" w:hAnsi="宋体" w:cs="Times New Roman"/>
      <w:kern w:val="2"/>
      <w:sz w:val="28"/>
      <w:szCs w:val="20"/>
    </w:rPr>
  </w:style>
  <w:style w:type="paragraph" w:customStyle="1" w:styleId="281">
    <w:name w:val="xl74"/>
    <w:basedOn w:val="1"/>
    <w:qFormat/>
    <w:uiPriority w:val="0"/>
    <w:pPr>
      <w:widowControl/>
      <w:pBdr>
        <w:top w:val="single" w:color="auto" w:sz="4" w:space="0"/>
        <w:left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ascii="Times New Roman" w:eastAsia="Arial Unicode MS" w:cs="Times New Roman"/>
      <w:sz w:val="20"/>
      <w:szCs w:val="20"/>
    </w:rPr>
  </w:style>
  <w:style w:type="paragraph" w:customStyle="1" w:styleId="282">
    <w:name w:val="小表左"/>
    <w:basedOn w:val="1"/>
    <w:qFormat/>
    <w:uiPriority w:val="0"/>
    <w:pPr>
      <w:keepNext/>
      <w:topLinePunct w:val="0"/>
      <w:adjustRightInd/>
      <w:snapToGrid w:val="0"/>
      <w:spacing w:line="240" w:lineRule="atLeast"/>
      <w:ind w:left="63" w:leftChars="30" w:firstLine="0" w:firstLineChars="0"/>
      <w:jc w:val="center"/>
    </w:pPr>
    <w:rPr>
      <w:rFonts w:hint="eastAsia" w:hAnsi="宋体" w:cs="Times New Roman"/>
      <w:kern w:val="2"/>
      <w:sz w:val="21"/>
      <w:szCs w:val="20"/>
    </w:rPr>
  </w:style>
  <w:style w:type="paragraph" w:customStyle="1" w:styleId="283">
    <w:name w:val="MY 表格文字"/>
    <w:next w:val="1"/>
    <w:qFormat/>
    <w:uiPriority w:val="0"/>
    <w:pPr>
      <w:adjustRightInd w:val="0"/>
      <w:snapToGrid w:val="0"/>
      <w:jc w:val="center"/>
    </w:pPr>
    <w:rPr>
      <w:rFonts w:ascii="宋体" w:hAnsi="Times New Roman" w:eastAsia="宋体" w:cs="Times New Roman"/>
      <w:kern w:val="2"/>
      <w:sz w:val="21"/>
      <w:szCs w:val="21"/>
      <w:lang w:val="en-US" w:eastAsia="zh-CN" w:bidi="ar-SA"/>
    </w:rPr>
  </w:style>
  <w:style w:type="paragraph" w:customStyle="1" w:styleId="284">
    <w:name w:val="正文段落"/>
    <w:basedOn w:val="1"/>
    <w:qFormat/>
    <w:uiPriority w:val="0"/>
    <w:pPr>
      <w:topLinePunct w:val="0"/>
      <w:adjustRightInd/>
      <w:spacing w:line="288" w:lineRule="auto"/>
    </w:pPr>
    <w:rPr>
      <w:rFonts w:ascii="Times New Roman" w:cs="Times New Roman"/>
      <w:kern w:val="2"/>
      <w:szCs w:val="20"/>
    </w:rPr>
  </w:style>
  <w:style w:type="paragraph" w:customStyle="1" w:styleId="285">
    <w:name w:val="节内编号2"/>
    <w:qFormat/>
    <w:uiPriority w:val="0"/>
    <w:pPr>
      <w:adjustRightInd w:val="0"/>
      <w:snapToGrid w:val="0"/>
      <w:spacing w:line="360" w:lineRule="auto"/>
      <w:ind w:right="100" w:rightChars="100"/>
      <w:jc w:val="both"/>
    </w:pPr>
    <w:rPr>
      <w:rFonts w:ascii="Times New Roman" w:hAnsi="Times New Roman" w:eastAsia="宋体" w:cs="Times New Roman"/>
      <w:color w:val="000000"/>
      <w:sz w:val="24"/>
      <w:lang w:val="en-US" w:eastAsia="zh-CN" w:bidi="ar-SA"/>
    </w:rPr>
  </w:style>
  <w:style w:type="paragraph" w:customStyle="1" w:styleId="286">
    <w:name w:val="Char Char Char Char Char Char Char Char Char1 Char Char Char Char"/>
    <w:basedOn w:val="1"/>
    <w:qFormat/>
    <w:uiPriority w:val="0"/>
    <w:pPr>
      <w:topLinePunct w:val="0"/>
      <w:adjustRightInd/>
      <w:spacing w:line="240" w:lineRule="auto"/>
      <w:ind w:firstLine="0" w:firstLineChars="0"/>
    </w:pPr>
    <w:rPr>
      <w:rFonts w:ascii="Times New Roman" w:eastAsia="仿宋_GB2312" w:cs="Times New Roman"/>
      <w:kern w:val="2"/>
      <w:sz w:val="28"/>
      <w:szCs w:val="20"/>
    </w:rPr>
  </w:style>
  <w:style w:type="character" w:customStyle="1" w:styleId="287">
    <w:name w:val="正文文本首行缩进 2 字符1"/>
    <w:basedOn w:val="228"/>
    <w:semiHidden/>
    <w:uiPriority w:val="99"/>
    <w:rPr>
      <w:rFonts w:ascii="Times New Roman" w:hAnsi="Times New Roman" w:eastAsia="宋体" w:cs="Times New Roman"/>
      <w:kern w:val="2"/>
      <w:sz w:val="21"/>
      <w:szCs w:val="24"/>
    </w:rPr>
  </w:style>
  <w:style w:type="paragraph" w:customStyle="1" w:styleId="288">
    <w:name w:val="xl80"/>
    <w:basedOn w:val="1"/>
    <w:qFormat/>
    <w:uiPriority w:val="0"/>
    <w:pPr>
      <w:widowControl/>
      <w:pBdr>
        <w:top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ascii="Arial Unicode MS" w:hAnsi="Arial Unicode MS" w:eastAsia="Arial Unicode MS" w:cs="Times New Roman"/>
      <w:sz w:val="20"/>
      <w:szCs w:val="20"/>
    </w:rPr>
  </w:style>
  <w:style w:type="paragraph" w:customStyle="1" w:styleId="289">
    <w:name w:val="备注"/>
    <w:basedOn w:val="1"/>
    <w:qFormat/>
    <w:uiPriority w:val="0"/>
    <w:pPr>
      <w:keepNext/>
      <w:topLinePunct w:val="0"/>
      <w:adjustRightInd/>
      <w:snapToGrid w:val="0"/>
      <w:spacing w:line="240" w:lineRule="atLeast"/>
      <w:ind w:firstLine="420"/>
    </w:pPr>
    <w:rPr>
      <w:rFonts w:cs="Times New Roman"/>
      <w:kern w:val="2"/>
      <w:sz w:val="21"/>
      <w:szCs w:val="20"/>
    </w:rPr>
  </w:style>
  <w:style w:type="paragraph" w:customStyle="1" w:styleId="290">
    <w:name w:val="样式 标题 4  +段后：0磅"/>
    <w:basedOn w:val="259"/>
    <w:next w:val="5"/>
    <w:uiPriority w:val="0"/>
    <w:pPr>
      <w:tabs>
        <w:tab w:val="left" w:pos="2240"/>
        <w:tab w:val="clear" w:pos="425"/>
      </w:tabs>
      <w:spacing w:line="480" w:lineRule="auto"/>
      <w:ind w:left="2240" w:hanging="420"/>
    </w:pPr>
  </w:style>
  <w:style w:type="paragraph" w:customStyle="1" w:styleId="291">
    <w:name w:val="正文－ST4"/>
    <w:basedOn w:val="1"/>
    <w:qFormat/>
    <w:uiPriority w:val="0"/>
    <w:pPr>
      <w:topLinePunct w:val="0"/>
      <w:snapToGrid w:val="0"/>
      <w:ind w:left="240" w:leftChars="100" w:right="-57" w:firstLine="480"/>
    </w:pPr>
    <w:rPr>
      <w:rFonts w:hAnsi="宋体" w:cs="Times New Roman"/>
      <w:color w:val="000000"/>
      <w:szCs w:val="20"/>
    </w:rPr>
  </w:style>
  <w:style w:type="paragraph" w:customStyle="1" w:styleId="292">
    <w:name w:val="目录1"/>
    <w:basedOn w:val="1"/>
    <w:next w:val="47"/>
    <w:qFormat/>
    <w:uiPriority w:val="0"/>
    <w:pPr>
      <w:topLinePunct w:val="0"/>
      <w:adjustRightInd/>
      <w:spacing w:line="300" w:lineRule="auto"/>
      <w:ind w:firstLine="0" w:firstLineChars="0"/>
    </w:pPr>
    <w:rPr>
      <w:rFonts w:ascii="Times New Roman" w:cs="Times New Roman"/>
      <w:b/>
      <w:kern w:val="2"/>
      <w:sz w:val="28"/>
      <w:szCs w:val="20"/>
    </w:rPr>
  </w:style>
  <w:style w:type="paragraph" w:customStyle="1" w:styleId="293">
    <w:name w:val="标题：样式 标题 2 + 左侧:  0 厘米 首行缩进:  0 厘米"/>
    <w:basedOn w:val="3"/>
    <w:qFormat/>
    <w:uiPriority w:val="0"/>
    <w:pPr>
      <w:tabs>
        <w:tab w:val="left" w:pos="1320"/>
      </w:tabs>
      <w:topLinePunct w:val="0"/>
      <w:adjustRightInd/>
      <w:spacing w:before="260" w:after="260" w:line="413" w:lineRule="auto"/>
      <w:ind w:left="1320" w:hanging="420"/>
      <w:jc w:val="center"/>
    </w:pPr>
    <w:rPr>
      <w:rFonts w:ascii="华文中宋" w:hAnsi="华文中宋" w:eastAsia="华文中宋" w:cs="Times New Roman"/>
      <w:b w:val="0"/>
      <w:bCs w:val="0"/>
      <w:kern w:val="2"/>
      <w:sz w:val="36"/>
      <w:szCs w:val="20"/>
    </w:rPr>
  </w:style>
  <w:style w:type="paragraph" w:customStyle="1" w:styleId="294">
    <w:name w:val="样式 标题 2 + 段前: 0.3 行"/>
    <w:basedOn w:val="3"/>
    <w:next w:val="1"/>
    <w:qFormat/>
    <w:uiPriority w:val="0"/>
    <w:pPr>
      <w:widowControl/>
      <w:topLinePunct w:val="0"/>
      <w:spacing w:beforeLines="10" w:afterLines="10"/>
    </w:pPr>
    <w:rPr>
      <w:rFonts w:ascii="Arial Unicode MS" w:hAnsi="Arial Unicode MS" w:cs="Times New Roman"/>
      <w:b w:val="0"/>
      <w:bCs w:val="0"/>
      <w:color w:val="3366FF"/>
      <w:kern w:val="2"/>
      <w:szCs w:val="20"/>
    </w:rPr>
  </w:style>
  <w:style w:type="paragraph" w:customStyle="1" w:styleId="295">
    <w:name w:val="xl58"/>
    <w:basedOn w:val="1"/>
    <w:qFormat/>
    <w:uiPriority w:val="0"/>
    <w:pPr>
      <w:widowControl/>
      <w:pBdr>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Cs w:val="20"/>
    </w:rPr>
  </w:style>
  <w:style w:type="character" w:customStyle="1" w:styleId="296">
    <w:name w:val="正文文本 3 字符1"/>
    <w:basedOn w:val="60"/>
    <w:semiHidden/>
    <w:qFormat/>
    <w:uiPriority w:val="99"/>
    <w:rPr>
      <w:rFonts w:ascii="宋体" w:hAnsi="Times New Roman" w:cs="宋体"/>
      <w:sz w:val="16"/>
      <w:szCs w:val="16"/>
    </w:rPr>
  </w:style>
  <w:style w:type="character" w:customStyle="1" w:styleId="297">
    <w:name w:val="z-窗体顶端 字符1"/>
    <w:basedOn w:val="60"/>
    <w:semiHidden/>
    <w:qFormat/>
    <w:uiPriority w:val="99"/>
    <w:rPr>
      <w:rFonts w:ascii="Arial" w:hAnsi="Arial" w:cs="Arial"/>
      <w:vanish/>
      <w:sz w:val="16"/>
      <w:szCs w:val="16"/>
    </w:rPr>
  </w:style>
  <w:style w:type="paragraph" w:customStyle="1" w:styleId="298">
    <w:name w:val="xl53"/>
    <w:basedOn w:val="1"/>
    <w:qFormat/>
    <w:uiPriority w:val="0"/>
    <w:pPr>
      <w:widowControl/>
      <w:pBdr>
        <w:top w:val="single" w:color="auto" w:sz="4" w:space="0"/>
        <w:left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299">
    <w:name w:val="标题 2（用）"/>
    <w:basedOn w:val="3"/>
    <w:qFormat/>
    <w:uiPriority w:val="0"/>
    <w:pPr>
      <w:tabs>
        <w:tab w:val="center" w:pos="4918"/>
        <w:tab w:val="left" w:pos="6375"/>
      </w:tabs>
      <w:topLinePunct w:val="0"/>
      <w:snapToGrid w:val="0"/>
      <w:spacing w:beforeLines="50" w:afterLines="25" w:line="336" w:lineRule="auto"/>
      <w:ind w:left="57" w:leftChars="50" w:right="210" w:rightChars="100" w:firstLine="104" w:firstLineChars="37"/>
      <w:jc w:val="center"/>
    </w:pPr>
    <w:rPr>
      <w:rFonts w:ascii="黑体" w:hAnsi="宋体" w:eastAsia="黑体" w:cs="Arial"/>
      <w:bCs w:val="0"/>
      <w:color w:val="000000"/>
      <w:kern w:val="2"/>
      <w:szCs w:val="28"/>
    </w:rPr>
  </w:style>
  <w:style w:type="paragraph" w:customStyle="1" w:styleId="300">
    <w:name w:val="10"/>
    <w:basedOn w:val="1"/>
    <w:next w:val="30"/>
    <w:qFormat/>
    <w:uiPriority w:val="0"/>
    <w:pPr>
      <w:topLinePunct w:val="0"/>
      <w:adjustRightInd/>
      <w:spacing w:line="240" w:lineRule="auto"/>
      <w:ind w:firstLine="0" w:firstLineChars="0"/>
    </w:pPr>
    <w:rPr>
      <w:rFonts w:hAnsi="Courier New" w:cs="Times New Roman"/>
      <w:kern w:val="2"/>
      <w:sz w:val="28"/>
      <w:szCs w:val="20"/>
    </w:rPr>
  </w:style>
  <w:style w:type="character" w:customStyle="1" w:styleId="301">
    <w:name w:val="正文文本缩进 3 字符1"/>
    <w:basedOn w:val="60"/>
    <w:semiHidden/>
    <w:qFormat/>
    <w:uiPriority w:val="99"/>
    <w:rPr>
      <w:rFonts w:ascii="宋体" w:hAnsi="Times New Roman" w:cs="宋体"/>
      <w:sz w:val="16"/>
      <w:szCs w:val="16"/>
    </w:rPr>
  </w:style>
  <w:style w:type="paragraph" w:customStyle="1" w:styleId="302">
    <w:name w:val="Char Char Char Char Char Char Char Char Char Char"/>
    <w:basedOn w:val="1"/>
    <w:qFormat/>
    <w:uiPriority w:val="0"/>
    <w:pPr>
      <w:widowControl/>
      <w:topLinePunct w:val="0"/>
      <w:adjustRightInd/>
      <w:ind w:firstLine="0" w:firstLineChars="0"/>
      <w:jc w:val="left"/>
    </w:pPr>
    <w:rPr>
      <w:rFonts w:ascii="Times New Roman" w:eastAsia="黑体" w:cs="Times New Roman"/>
      <w:szCs w:val="20"/>
    </w:rPr>
  </w:style>
  <w:style w:type="paragraph" w:customStyle="1" w:styleId="303">
    <w:name w:val="xl48"/>
    <w:basedOn w:val="1"/>
    <w:qFormat/>
    <w:uiPriority w:val="0"/>
    <w:pPr>
      <w:widowControl/>
      <w:pBdr>
        <w:lef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304">
    <w:name w:val="Char Char Char1 Char Char Char Char Char Char Char Char Char Char"/>
    <w:basedOn w:val="1"/>
    <w:qFormat/>
    <w:uiPriority w:val="0"/>
    <w:pPr>
      <w:widowControl/>
      <w:topLinePunct w:val="0"/>
      <w:adjustRightInd/>
      <w:spacing w:line="540" w:lineRule="exact"/>
      <w:jc w:val="left"/>
    </w:pPr>
    <w:rPr>
      <w:rFonts w:hAnsi="宋体"/>
      <w:szCs w:val="21"/>
    </w:rPr>
  </w:style>
  <w:style w:type="paragraph" w:customStyle="1" w:styleId="305">
    <w:name w:val="TOC 标题2"/>
    <w:basedOn w:val="2"/>
    <w:next w:val="1"/>
    <w:qFormat/>
    <w:uiPriority w:val="39"/>
    <w:pPr>
      <w:widowControl/>
      <w:topLinePunct w:val="0"/>
      <w:adjustRightInd/>
      <w:spacing w:before="480" w:beforeAutospacing="0" w:after="0" w:afterAutospacing="0" w:line="276" w:lineRule="auto"/>
      <w:outlineLvl w:val="9"/>
    </w:pPr>
    <w:rPr>
      <w:rFonts w:ascii="Cambria" w:hAnsi="Cambria" w:eastAsia="宋体"/>
      <w:color w:val="365F91"/>
      <w:kern w:val="0"/>
      <w:sz w:val="28"/>
      <w:szCs w:val="20"/>
    </w:rPr>
  </w:style>
  <w:style w:type="character" w:customStyle="1" w:styleId="306">
    <w:name w:val="纯文本 字符1"/>
    <w:basedOn w:val="60"/>
    <w:semiHidden/>
    <w:qFormat/>
    <w:uiPriority w:val="99"/>
    <w:rPr>
      <w:rFonts w:ascii="宋体" w:hAnsi="Courier New" w:cs="Courier New"/>
      <w:sz w:val="24"/>
      <w:szCs w:val="24"/>
    </w:rPr>
  </w:style>
  <w:style w:type="paragraph" w:customStyle="1" w:styleId="307">
    <w:name w:val="xl33"/>
    <w:basedOn w:val="1"/>
    <w:uiPriority w:val="0"/>
    <w:pPr>
      <w:widowControl/>
      <w:pBdr>
        <w:top w:val="single" w:color="auto" w:sz="4" w:space="0"/>
        <w:left w:val="single" w:color="auto" w:sz="8" w:space="0"/>
        <w:bottom w:val="single" w:color="auto" w:sz="4" w:space="0"/>
        <w:right w:val="single" w:color="auto" w:sz="4" w:space="0"/>
      </w:pBdr>
      <w:topLinePunct w:val="0"/>
      <w:adjustRightInd/>
      <w:spacing w:before="100" w:beforeAutospacing="1" w:after="100" w:afterAutospacing="1" w:line="240" w:lineRule="auto"/>
      <w:ind w:firstLine="0" w:firstLineChars="0"/>
      <w:jc w:val="left"/>
    </w:pPr>
    <w:rPr>
      <w:rFonts w:hAnsi="宋体" w:cs="Times New Roman"/>
    </w:rPr>
  </w:style>
  <w:style w:type="paragraph" w:customStyle="1" w:styleId="308">
    <w:name w:val="xl45"/>
    <w:basedOn w:val="1"/>
    <w:qFormat/>
    <w:uiPriority w:val="0"/>
    <w:pPr>
      <w:widowControl/>
      <w:pBdr>
        <w:lef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character" w:customStyle="1" w:styleId="309">
    <w:name w:val="正文文本首行缩进 字符1"/>
    <w:basedOn w:val="72"/>
    <w:semiHidden/>
    <w:qFormat/>
    <w:uiPriority w:val="99"/>
    <w:rPr>
      <w:rFonts w:ascii="宋体" w:hAnsi="Times New Roman" w:cs="宋体"/>
      <w:kern w:val="0"/>
      <w:sz w:val="24"/>
      <w:szCs w:val="24"/>
    </w:rPr>
  </w:style>
  <w:style w:type="paragraph" w:customStyle="1" w:styleId="310">
    <w:name w:val="孙立刚01"/>
    <w:basedOn w:val="37"/>
    <w:qFormat/>
    <w:uiPriority w:val="0"/>
    <w:pPr>
      <w:tabs>
        <w:tab w:val="right" w:leader="dot" w:pos="8296"/>
      </w:tabs>
      <w:topLinePunct w:val="0"/>
      <w:adjustRightInd/>
      <w:spacing w:before="120" w:after="80"/>
      <w:jc w:val="left"/>
    </w:pPr>
    <w:rPr>
      <w:rFonts w:ascii="黑体" w:eastAsia="黑体" w:cs="Times New Roman"/>
      <w:b w:val="0"/>
      <w:caps/>
      <w:kern w:val="2"/>
      <w:szCs w:val="20"/>
    </w:rPr>
  </w:style>
  <w:style w:type="paragraph" w:customStyle="1" w:styleId="311">
    <w:name w:val="表文字"/>
    <w:basedOn w:val="17"/>
    <w:link w:val="616"/>
    <w:qFormat/>
    <w:uiPriority w:val="0"/>
    <w:pPr>
      <w:widowControl/>
      <w:spacing w:line="380" w:lineRule="exact"/>
      <w:ind w:firstLine="0" w:firstLineChars="0"/>
      <w:jc w:val="center"/>
    </w:pPr>
    <w:rPr>
      <w:snapToGrid w:val="0"/>
      <w:sz w:val="24"/>
      <w:szCs w:val="21"/>
    </w:rPr>
  </w:style>
  <w:style w:type="paragraph" w:customStyle="1" w:styleId="312">
    <w:name w:val="11"/>
    <w:basedOn w:val="1"/>
    <w:next w:val="30"/>
    <w:uiPriority w:val="0"/>
    <w:pPr>
      <w:topLinePunct w:val="0"/>
      <w:snapToGrid w:val="0"/>
      <w:spacing w:line="580" w:lineRule="exact"/>
      <w:ind w:firstLine="510" w:firstLineChars="0"/>
    </w:pPr>
    <w:rPr>
      <w:rFonts w:hAnsi="Courier New" w:cs="Times New Roman"/>
      <w:kern w:val="2"/>
      <w:sz w:val="28"/>
      <w:szCs w:val="20"/>
    </w:rPr>
  </w:style>
  <w:style w:type="paragraph" w:customStyle="1" w:styleId="313">
    <w:name w:val="_Style 17"/>
    <w:basedOn w:val="1"/>
    <w:uiPriority w:val="0"/>
    <w:pPr>
      <w:topLinePunct w:val="0"/>
      <w:adjustRightInd/>
      <w:spacing w:line="240" w:lineRule="auto"/>
      <w:ind w:firstLine="0" w:firstLineChars="0"/>
    </w:pPr>
    <w:rPr>
      <w:rFonts w:ascii="Times New Roman" w:cs="Times New Roman"/>
      <w:kern w:val="2"/>
      <w:sz w:val="21"/>
      <w:szCs w:val="20"/>
    </w:rPr>
  </w:style>
  <w:style w:type="character" w:customStyle="1" w:styleId="314">
    <w:name w:val="标题 字符1"/>
    <w:basedOn w:val="60"/>
    <w:qFormat/>
    <w:uiPriority w:val="10"/>
    <w:rPr>
      <w:rFonts w:ascii="Cambria" w:hAnsi="Cambria" w:eastAsia="宋体" w:cs="Times New Roman"/>
      <w:b/>
      <w:bCs/>
      <w:sz w:val="32"/>
      <w:szCs w:val="32"/>
    </w:rPr>
  </w:style>
  <w:style w:type="paragraph" w:customStyle="1" w:styleId="315">
    <w:name w:val="样式 标题 1h11st levelSection Headl1 + 宋体 三号"/>
    <w:basedOn w:val="2"/>
    <w:qFormat/>
    <w:uiPriority w:val="0"/>
    <w:pPr>
      <w:tabs>
        <w:tab w:val="left" w:pos="3751"/>
      </w:tabs>
      <w:topLinePunct w:val="0"/>
      <w:adjustRightInd/>
      <w:spacing w:before="340" w:beforeAutospacing="0" w:after="330" w:afterAutospacing="0"/>
      <w:ind w:left="3751" w:firstLine="29"/>
      <w:jc w:val="center"/>
    </w:pPr>
    <w:rPr>
      <w:rFonts w:ascii="宋体" w:hAnsi="宋体" w:eastAsia="宋体"/>
      <w:szCs w:val="20"/>
    </w:rPr>
  </w:style>
  <w:style w:type="paragraph" w:customStyle="1" w:styleId="316">
    <w:name w:val="Char Char Char1 Char"/>
    <w:basedOn w:val="1"/>
    <w:uiPriority w:val="0"/>
    <w:pPr>
      <w:topLinePunct w:val="0"/>
      <w:adjustRightInd/>
      <w:spacing w:line="240" w:lineRule="auto"/>
      <w:ind w:firstLine="0" w:firstLineChars="0"/>
    </w:pPr>
    <w:rPr>
      <w:rFonts w:ascii="Times New Roman" w:cs="Times New Roman"/>
      <w:kern w:val="2"/>
      <w:sz w:val="21"/>
    </w:rPr>
  </w:style>
  <w:style w:type="paragraph" w:customStyle="1" w:styleId="317">
    <w:name w:val="LS2"/>
    <w:basedOn w:val="1"/>
    <w:qFormat/>
    <w:uiPriority w:val="0"/>
    <w:pPr>
      <w:topLinePunct w:val="0"/>
      <w:adjustRightInd/>
      <w:snapToGrid w:val="0"/>
      <w:spacing w:line="336" w:lineRule="auto"/>
      <w:ind w:firstLine="0" w:firstLineChars="0"/>
      <w:jc w:val="center"/>
    </w:pPr>
    <w:rPr>
      <w:rFonts w:cs="Times New Roman"/>
      <w:color w:val="000000"/>
      <w:kern w:val="2"/>
      <w:szCs w:val="20"/>
    </w:rPr>
  </w:style>
  <w:style w:type="paragraph" w:customStyle="1" w:styleId="318">
    <w:name w:val="Char1 Char Char Char Char Char Char"/>
    <w:basedOn w:val="1"/>
    <w:uiPriority w:val="0"/>
    <w:pPr>
      <w:topLinePunct w:val="0"/>
      <w:adjustRightInd/>
      <w:spacing w:line="240" w:lineRule="auto"/>
      <w:ind w:firstLine="0" w:firstLineChars="0"/>
    </w:pPr>
    <w:rPr>
      <w:rFonts w:ascii="Times New Roman" w:cs="Times New Roman"/>
      <w:kern w:val="2"/>
      <w:sz w:val="21"/>
    </w:rPr>
  </w:style>
  <w:style w:type="paragraph" w:customStyle="1" w:styleId="319">
    <w:name w:val="内容"/>
    <w:basedOn w:val="1"/>
    <w:uiPriority w:val="0"/>
    <w:pPr>
      <w:tabs>
        <w:tab w:val="left" w:pos="5725"/>
      </w:tabs>
      <w:topLinePunct w:val="0"/>
      <w:snapToGrid w:val="0"/>
      <w:ind w:left="280" w:leftChars="100" w:right="280" w:rightChars="100" w:firstLine="560"/>
    </w:pPr>
    <w:rPr>
      <w:rFonts w:ascii="Times New Roman" w:cs="Arial"/>
      <w:kern w:val="2"/>
      <w:sz w:val="28"/>
      <w:szCs w:val="20"/>
    </w:rPr>
  </w:style>
  <w:style w:type="paragraph" w:customStyle="1" w:styleId="320">
    <w:name w:val="表中"/>
    <w:basedOn w:val="1"/>
    <w:qFormat/>
    <w:uiPriority w:val="0"/>
    <w:pPr>
      <w:keepNext/>
      <w:topLinePunct w:val="0"/>
      <w:adjustRightInd/>
      <w:snapToGrid w:val="0"/>
      <w:spacing w:line="200" w:lineRule="atLeast"/>
      <w:ind w:firstLine="0" w:firstLineChars="0"/>
      <w:jc w:val="center"/>
    </w:pPr>
    <w:rPr>
      <w:rFonts w:hAnsi="宋体" w:cs="Times New Roman"/>
      <w:kern w:val="2"/>
      <w:szCs w:val="20"/>
    </w:rPr>
  </w:style>
  <w:style w:type="paragraph" w:customStyle="1" w:styleId="321">
    <w:name w:val="xl63"/>
    <w:basedOn w:val="1"/>
    <w:qFormat/>
    <w:uiPriority w:val="0"/>
    <w:pPr>
      <w:widowControl/>
      <w:pBdr>
        <w:left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color w:val="FF0000"/>
      <w:sz w:val="20"/>
      <w:szCs w:val="20"/>
    </w:rPr>
  </w:style>
  <w:style w:type="paragraph" w:customStyle="1" w:styleId="322">
    <w:name w:val="表头1"/>
    <w:link w:val="563"/>
    <w:uiPriority w:val="0"/>
    <w:pPr>
      <w:tabs>
        <w:tab w:val="left" w:pos="284"/>
        <w:tab w:val="center" w:pos="4253"/>
        <w:tab w:val="left" w:pos="7938"/>
      </w:tabs>
      <w:spacing w:before="240" w:after="240"/>
    </w:pPr>
    <w:rPr>
      <w:rFonts w:ascii="黑体" w:hAnsi="Times New Roman" w:eastAsia="黑体" w:cs="Times New Roman"/>
      <w:sz w:val="24"/>
      <w:lang w:val="en-US" w:eastAsia="zh-CN" w:bidi="ar-SA"/>
    </w:rPr>
  </w:style>
  <w:style w:type="character" w:customStyle="1" w:styleId="323">
    <w:name w:val="正文文本 2 字符1"/>
    <w:basedOn w:val="60"/>
    <w:semiHidden/>
    <w:qFormat/>
    <w:uiPriority w:val="99"/>
    <w:rPr>
      <w:rFonts w:ascii="宋体" w:hAnsi="Times New Roman" w:cs="宋体"/>
      <w:sz w:val="24"/>
      <w:szCs w:val="24"/>
    </w:rPr>
  </w:style>
  <w:style w:type="paragraph" w:customStyle="1" w:styleId="324">
    <w:name w:val="5"/>
    <w:basedOn w:val="1"/>
    <w:next w:val="27"/>
    <w:uiPriority w:val="0"/>
    <w:pPr>
      <w:tabs>
        <w:tab w:val="left" w:pos="120"/>
      </w:tabs>
      <w:topLinePunct w:val="0"/>
      <w:ind w:left="280" w:leftChars="100" w:right="100" w:rightChars="100" w:firstLine="560"/>
      <w:jc w:val="left"/>
      <w:textAlignment w:val="baseline"/>
    </w:pPr>
    <w:rPr>
      <w:rFonts w:hAnsi="宋体" w:cs="Times New Roman"/>
      <w:color w:val="000000"/>
      <w:sz w:val="28"/>
      <w:szCs w:val="20"/>
    </w:rPr>
  </w:style>
  <w:style w:type="paragraph" w:customStyle="1" w:styleId="325">
    <w:name w:val="一级子标题：样式 标题 3 + 四号"/>
    <w:basedOn w:val="4"/>
    <w:uiPriority w:val="0"/>
    <w:pPr>
      <w:topLinePunct w:val="0"/>
      <w:adjustRightInd/>
      <w:spacing w:before="260" w:after="260" w:line="413" w:lineRule="auto"/>
    </w:pPr>
    <w:rPr>
      <w:rFonts w:ascii="Arial" w:hAnsi="Arial" w:eastAsia="宋体"/>
      <w:kern w:val="2"/>
      <w:sz w:val="28"/>
      <w:szCs w:val="20"/>
    </w:rPr>
  </w:style>
  <w:style w:type="paragraph" w:customStyle="1" w:styleId="326">
    <w:name w:val="正文文本缩进1"/>
    <w:basedOn w:val="1"/>
    <w:qFormat/>
    <w:uiPriority w:val="0"/>
    <w:pPr>
      <w:topLinePunct w:val="0"/>
      <w:spacing w:line="360" w:lineRule="atLeast"/>
      <w:ind w:left="280" w:firstLine="560" w:firstLineChars="0"/>
      <w:jc w:val="left"/>
      <w:textAlignment w:val="baseline"/>
    </w:pPr>
    <w:rPr>
      <w:rFonts w:ascii="Times New Roman" w:cs="Times New Roman"/>
    </w:rPr>
  </w:style>
  <w:style w:type="paragraph" w:customStyle="1" w:styleId="327">
    <w:name w:val="列表段落1"/>
    <w:basedOn w:val="1"/>
    <w:qFormat/>
    <w:uiPriority w:val="34"/>
    <w:pPr>
      <w:topLinePunct w:val="0"/>
      <w:adjustRightInd/>
      <w:spacing w:line="240" w:lineRule="auto"/>
      <w:ind w:firstLine="420"/>
    </w:pPr>
    <w:rPr>
      <w:rFonts w:ascii="Times New Roman" w:cs="Times New Roman"/>
      <w:kern w:val="2"/>
      <w:sz w:val="21"/>
      <w:szCs w:val="20"/>
    </w:rPr>
  </w:style>
  <w:style w:type="paragraph" w:customStyle="1" w:styleId="328">
    <w:name w:val="表内文字 Char Char"/>
    <w:qFormat/>
    <w:uiPriority w:val="0"/>
    <w:rPr>
      <w:rFonts w:ascii="Times New Roman" w:hAnsi="Times New Roman" w:eastAsia="宋体" w:cs="Times New Roman"/>
      <w:kern w:val="2"/>
      <w:sz w:val="21"/>
      <w:lang w:val="en-US" w:eastAsia="zh-CN" w:bidi="ar-SA"/>
    </w:rPr>
  </w:style>
  <w:style w:type="paragraph" w:customStyle="1" w:styleId="329">
    <w:name w:val="样式 标题 3 + 段后: 0 磅 行距: 1.5 倍行距1"/>
    <w:basedOn w:val="1"/>
    <w:qFormat/>
    <w:uiPriority w:val="0"/>
    <w:pPr>
      <w:tabs>
        <w:tab w:val="left" w:pos="709"/>
      </w:tabs>
      <w:topLinePunct w:val="0"/>
      <w:adjustRightInd/>
      <w:spacing w:line="240" w:lineRule="auto"/>
      <w:ind w:left="709" w:hanging="709" w:firstLineChars="0"/>
    </w:pPr>
    <w:rPr>
      <w:rFonts w:ascii="Times New Roman" w:cs="Times New Roman"/>
      <w:kern w:val="2"/>
      <w:szCs w:val="20"/>
    </w:rPr>
  </w:style>
  <w:style w:type="paragraph" w:customStyle="1" w:styleId="330">
    <w:name w:val="È±Ê¡ÎÄ±¾"/>
    <w:basedOn w:val="1"/>
    <w:qFormat/>
    <w:uiPriority w:val="0"/>
    <w:pPr>
      <w:widowControl/>
      <w:overflowPunct w:val="0"/>
      <w:topLinePunct w:val="0"/>
      <w:autoSpaceDE w:val="0"/>
      <w:autoSpaceDN w:val="0"/>
      <w:spacing w:line="240" w:lineRule="auto"/>
      <w:ind w:firstLine="0" w:firstLineChars="0"/>
      <w:jc w:val="left"/>
      <w:textAlignment w:val="baseline"/>
    </w:pPr>
    <w:rPr>
      <w:rFonts w:ascii="Times New Roman" w:cs="Times New Roman"/>
      <w:szCs w:val="20"/>
    </w:rPr>
  </w:style>
  <w:style w:type="paragraph" w:customStyle="1" w:styleId="331">
    <w:name w:val="样式 样式 样式 标题 21.11.1标题 2Major HeadingL2ËÑÇ¢ˆmÍ 2RSKH2hseHeading ....1"/>
    <w:basedOn w:val="1"/>
    <w:qFormat/>
    <w:uiPriority w:val="0"/>
    <w:pPr>
      <w:keepNext/>
      <w:keepLines/>
      <w:topLinePunct w:val="0"/>
      <w:spacing w:beforeLines="50"/>
      <w:ind w:firstLine="0" w:firstLineChars="0"/>
      <w:jc w:val="center"/>
      <w:textAlignment w:val="baseline"/>
      <w:outlineLvl w:val="1"/>
    </w:pPr>
    <w:rPr>
      <w:rFonts w:ascii="仿宋_GB2312" w:eastAsia="仿宋_GB2312" w:cs="Times New Roman"/>
      <w:sz w:val="28"/>
      <w:szCs w:val="20"/>
    </w:rPr>
  </w:style>
  <w:style w:type="paragraph" w:customStyle="1" w:styleId="332">
    <w:name w:val="Char Char Char Char Char Char Char Char Char1 Char Char Char Char1"/>
    <w:basedOn w:val="1"/>
    <w:qFormat/>
    <w:uiPriority w:val="0"/>
    <w:pPr>
      <w:topLinePunct w:val="0"/>
      <w:adjustRightInd/>
      <w:spacing w:line="240" w:lineRule="auto"/>
      <w:ind w:firstLine="0" w:firstLineChars="0"/>
    </w:pPr>
    <w:rPr>
      <w:rFonts w:ascii="Times New Roman" w:eastAsia="仿宋_GB2312" w:cs="Times New Roman"/>
      <w:kern w:val="2"/>
      <w:sz w:val="28"/>
      <w:szCs w:val="20"/>
    </w:rPr>
  </w:style>
  <w:style w:type="paragraph" w:customStyle="1" w:styleId="333">
    <w:name w:val="样式15"/>
    <w:basedOn w:val="334"/>
    <w:qFormat/>
    <w:uiPriority w:val="0"/>
  </w:style>
  <w:style w:type="paragraph" w:customStyle="1" w:styleId="334">
    <w:name w:val="节标题（科宏）"/>
    <w:next w:val="1"/>
    <w:qFormat/>
    <w:uiPriority w:val="0"/>
    <w:pPr>
      <w:widowControl w:val="0"/>
      <w:spacing w:beforeLines="50" w:afterLines="50" w:line="360" w:lineRule="auto"/>
      <w:ind w:left="1320" w:hanging="420"/>
      <w:jc w:val="center"/>
      <w:outlineLvl w:val="1"/>
    </w:pPr>
    <w:rPr>
      <w:rFonts w:ascii="Arial" w:hAnsi="Arial" w:eastAsia="仿宋_GB2312" w:cs="Times New Roman"/>
      <w:b/>
      <w:sz w:val="30"/>
      <w:lang w:val="en-US" w:eastAsia="zh-CN" w:bidi="ar-SA"/>
    </w:rPr>
  </w:style>
  <w:style w:type="paragraph" w:customStyle="1" w:styleId="335">
    <w:name w:val="简单回函地址"/>
    <w:basedOn w:val="1"/>
    <w:uiPriority w:val="0"/>
    <w:pPr>
      <w:topLinePunct w:val="0"/>
      <w:adjustRightInd/>
      <w:spacing w:line="240" w:lineRule="auto"/>
      <w:ind w:firstLine="0" w:firstLineChars="0"/>
    </w:pPr>
    <w:rPr>
      <w:rFonts w:ascii="Times New Roman" w:eastAsia="仿宋_GB2312" w:cs="Times New Roman"/>
      <w:kern w:val="2"/>
      <w:szCs w:val="20"/>
    </w:rPr>
  </w:style>
  <w:style w:type="paragraph" w:customStyle="1" w:styleId="336">
    <w:name w:val="xl65"/>
    <w:basedOn w:val="1"/>
    <w:qFormat/>
    <w:uiPriority w:val="0"/>
    <w:pPr>
      <w:widowControl/>
      <w:pBdr>
        <w:top w:val="single" w:color="auto" w:sz="4" w:space="0"/>
        <w:left w:val="single" w:color="auto" w:sz="4" w:space="0"/>
        <w:bottom w:val="single" w:color="auto" w:sz="4" w:space="0"/>
      </w:pBdr>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337">
    <w:name w:val="a"/>
    <w:basedOn w:val="1"/>
    <w:qFormat/>
    <w:uiPriority w:val="0"/>
    <w:pPr>
      <w:widowControl/>
      <w:topLinePunct w:val="0"/>
      <w:adjustRightInd/>
      <w:spacing w:line="240" w:lineRule="auto"/>
      <w:ind w:firstLine="0" w:firstLineChars="0"/>
      <w:jc w:val="center"/>
    </w:pPr>
    <w:rPr>
      <w:rFonts w:ascii="Times New Roman" w:cs="Times New Roman"/>
      <w:szCs w:val="20"/>
    </w:rPr>
  </w:style>
  <w:style w:type="paragraph" w:customStyle="1" w:styleId="338">
    <w:name w:val="xl76"/>
    <w:basedOn w:val="1"/>
    <w:uiPriority w:val="0"/>
    <w:pPr>
      <w:widowControl/>
      <w:pBdr>
        <w:top w:val="single" w:color="auto" w:sz="4" w:space="0"/>
        <w:left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ascii="Arial Unicode MS" w:hAnsi="Arial Unicode MS" w:eastAsia="Arial Unicode MS" w:cs="Times New Roman"/>
      <w:sz w:val="20"/>
      <w:szCs w:val="20"/>
    </w:rPr>
  </w:style>
  <w:style w:type="paragraph" w:customStyle="1" w:styleId="339">
    <w:name w:val="样式1"/>
    <w:basedOn w:val="1"/>
    <w:link w:val="576"/>
    <w:qFormat/>
    <w:uiPriority w:val="0"/>
    <w:pPr>
      <w:topLinePunct w:val="0"/>
      <w:adjustRightInd/>
      <w:spacing w:line="240" w:lineRule="auto"/>
      <w:ind w:firstLine="0" w:firstLineChars="0"/>
    </w:pPr>
    <w:rPr>
      <w:rFonts w:ascii="Times New Roman" w:cs="Times New Roman"/>
      <w:kern w:val="2"/>
      <w:sz w:val="28"/>
    </w:rPr>
  </w:style>
  <w:style w:type="paragraph" w:customStyle="1" w:styleId="340">
    <w:name w:val="图表正文"/>
    <w:basedOn w:val="1"/>
    <w:qFormat/>
    <w:uiPriority w:val="0"/>
    <w:pPr>
      <w:topLinePunct w:val="0"/>
      <w:adjustRightInd/>
      <w:spacing w:line="0" w:lineRule="atLeast"/>
      <w:ind w:firstLine="0" w:firstLineChars="0"/>
      <w:jc w:val="center"/>
      <w:textAlignment w:val="center"/>
    </w:pPr>
    <w:rPr>
      <w:rFonts w:ascii="Times New Roman" w:cs="Times New Roman"/>
      <w:kern w:val="2"/>
      <w:sz w:val="21"/>
      <w:szCs w:val="20"/>
    </w:rPr>
  </w:style>
  <w:style w:type="paragraph" w:customStyle="1" w:styleId="341">
    <w:name w:val="总院表格"/>
    <w:basedOn w:val="279"/>
    <w:next w:val="201"/>
    <w:qFormat/>
    <w:uiPriority w:val="0"/>
    <w:pPr>
      <w:spacing w:beforeLines="15" w:afterLines="10" w:line="336" w:lineRule="auto"/>
      <w:ind w:left="63" w:leftChars="-45" w:right="-7" w:rightChars="-7" w:firstLine="12"/>
      <w:jc w:val="both"/>
      <w:textAlignment w:val="baseline"/>
    </w:pPr>
    <w:rPr>
      <w:rFonts w:ascii="宋体" w:hAnsi="宋体" w:eastAsia="宋体" w:cs="Times New Roman"/>
      <w:spacing w:val="0"/>
    </w:rPr>
  </w:style>
  <w:style w:type="paragraph" w:customStyle="1" w:styleId="342">
    <w:name w:val="科宏表格文字"/>
    <w:basedOn w:val="1"/>
    <w:qFormat/>
    <w:uiPriority w:val="0"/>
    <w:pPr>
      <w:topLinePunct w:val="0"/>
      <w:adjustRightInd/>
      <w:ind w:firstLine="0" w:firstLineChars="0"/>
      <w:jc w:val="center"/>
    </w:pPr>
    <w:rPr>
      <w:rFonts w:ascii="Arial" w:hAnsi="Arial" w:eastAsia="仿宋_GB2312" w:cs="Times New Roman"/>
      <w:color w:val="FF0000"/>
      <w:kern w:val="2"/>
      <w:szCs w:val="20"/>
    </w:rPr>
  </w:style>
  <w:style w:type="paragraph" w:customStyle="1" w:styleId="343">
    <w:name w:val="font10"/>
    <w:basedOn w:val="1"/>
    <w:qFormat/>
    <w:uiPriority w:val="0"/>
    <w:pPr>
      <w:widowControl/>
      <w:topLinePunct w:val="0"/>
      <w:adjustRightInd/>
      <w:spacing w:before="100" w:beforeAutospacing="1" w:after="100" w:afterAutospacing="1" w:line="240" w:lineRule="auto"/>
      <w:ind w:firstLine="0" w:firstLineChars="0"/>
      <w:jc w:val="left"/>
    </w:pPr>
    <w:rPr>
      <w:rFonts w:hint="eastAsia" w:hAnsi="宋体" w:cs="Times New Roman"/>
      <w:sz w:val="20"/>
      <w:szCs w:val="20"/>
    </w:rPr>
  </w:style>
  <w:style w:type="character" w:customStyle="1" w:styleId="344">
    <w:name w:val="z-窗体底端 字符1"/>
    <w:basedOn w:val="60"/>
    <w:semiHidden/>
    <w:qFormat/>
    <w:uiPriority w:val="99"/>
    <w:rPr>
      <w:rFonts w:ascii="Arial" w:hAnsi="Arial" w:cs="Arial"/>
      <w:vanish/>
      <w:sz w:val="16"/>
      <w:szCs w:val="16"/>
    </w:rPr>
  </w:style>
  <w:style w:type="paragraph" w:customStyle="1" w:styleId="345">
    <w:name w:val="xl68"/>
    <w:basedOn w:val="1"/>
    <w:qFormat/>
    <w:uiPriority w:val="0"/>
    <w:pPr>
      <w:widowControl/>
      <w:pBdr>
        <w:top w:val="single" w:color="auto" w:sz="4" w:space="0"/>
        <w:left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ascii="Times New Roman" w:cs="Times New Roman"/>
      <w:sz w:val="20"/>
      <w:szCs w:val="20"/>
    </w:rPr>
  </w:style>
  <w:style w:type="paragraph" w:customStyle="1" w:styleId="346">
    <w:name w:val="xl64"/>
    <w:basedOn w:val="1"/>
    <w:qFormat/>
    <w:uiPriority w:val="0"/>
    <w:pPr>
      <w:widowControl/>
      <w:pBdr>
        <w:bottom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color w:val="FF0000"/>
      <w:sz w:val="20"/>
      <w:szCs w:val="20"/>
    </w:rPr>
  </w:style>
  <w:style w:type="paragraph" w:customStyle="1" w:styleId="347">
    <w:name w:val="我的表格文字"/>
    <w:basedOn w:val="1"/>
    <w:qFormat/>
    <w:uiPriority w:val="0"/>
    <w:pPr>
      <w:shd w:val="clear" w:color="auto" w:fill="FFFFFF"/>
      <w:topLinePunct w:val="0"/>
      <w:adjustRightInd/>
      <w:spacing w:line="240" w:lineRule="auto"/>
      <w:ind w:firstLine="0" w:firstLineChars="0"/>
      <w:jc w:val="center"/>
    </w:pPr>
    <w:rPr>
      <w:rFonts w:ascii="Times New Roman" w:cs="Times New Roman"/>
      <w:kern w:val="2"/>
      <w:sz w:val="21"/>
      <w:szCs w:val="21"/>
    </w:rPr>
  </w:style>
  <w:style w:type="paragraph" w:customStyle="1" w:styleId="348">
    <w:name w:val="样式4"/>
    <w:basedOn w:val="349"/>
    <w:link w:val="652"/>
    <w:qFormat/>
    <w:uiPriority w:val="0"/>
    <w:pPr>
      <w:tabs>
        <w:tab w:val="left" w:pos="425"/>
      </w:tabs>
    </w:pPr>
  </w:style>
  <w:style w:type="paragraph" w:customStyle="1" w:styleId="349">
    <w:name w:val="样式 标题 4 宋体"/>
    <w:basedOn w:val="259"/>
    <w:qFormat/>
    <w:uiPriority w:val="0"/>
    <w:pPr>
      <w:spacing w:beforeLines="50" w:line="360" w:lineRule="auto"/>
      <w:ind w:left="0" w:firstLine="0"/>
      <w:jc w:val="center"/>
      <w:outlineLvl w:val="3"/>
    </w:pPr>
    <w:rPr>
      <w:rFonts w:ascii="宋体" w:hAnsi="宋体"/>
      <w:sz w:val="24"/>
    </w:rPr>
  </w:style>
  <w:style w:type="paragraph" w:customStyle="1" w:styleId="350">
    <w:name w:val="地告正文"/>
    <w:basedOn w:val="1"/>
    <w:qFormat/>
    <w:uiPriority w:val="0"/>
    <w:pPr>
      <w:topLinePunct w:val="0"/>
      <w:snapToGrid w:val="0"/>
      <w:spacing w:line="620" w:lineRule="atLeast"/>
    </w:pPr>
    <w:rPr>
      <w:rFonts w:ascii="Times New Roman" w:cs="Times New Roman"/>
      <w:kern w:val="2"/>
      <w:sz w:val="28"/>
      <w:szCs w:val="21"/>
    </w:rPr>
  </w:style>
  <w:style w:type="paragraph" w:customStyle="1" w:styleId="351">
    <w:name w:val="style10"/>
    <w:basedOn w:val="1"/>
    <w:qFormat/>
    <w:uiPriority w:val="0"/>
    <w:pPr>
      <w:widowControl/>
      <w:topLinePunct w:val="0"/>
      <w:adjustRightInd/>
      <w:spacing w:before="100" w:beforeAutospacing="1" w:after="100" w:afterAutospacing="1" w:line="288" w:lineRule="atLeast"/>
      <w:ind w:firstLine="0" w:firstLineChars="0"/>
      <w:jc w:val="left"/>
    </w:pPr>
    <w:rPr>
      <w:rFonts w:hAnsi="宋体"/>
      <w:sz w:val="40"/>
      <w:szCs w:val="40"/>
    </w:rPr>
  </w:style>
  <w:style w:type="paragraph" w:customStyle="1" w:styleId="352">
    <w:name w:val="xl34"/>
    <w:basedOn w:val="1"/>
    <w:qFormat/>
    <w:uiPriority w:val="0"/>
    <w:pPr>
      <w:widowControl/>
      <w:pBdr>
        <w:top w:val="single" w:color="auto" w:sz="4" w:space="0"/>
        <w:left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353">
    <w:name w:val="正文-ST-4"/>
    <w:basedOn w:val="1"/>
    <w:qFormat/>
    <w:uiPriority w:val="0"/>
    <w:pPr>
      <w:widowControl/>
      <w:topLinePunct w:val="0"/>
      <w:adjustRightInd/>
      <w:ind w:firstLine="567" w:firstLineChars="0"/>
    </w:pPr>
    <w:rPr>
      <w:rFonts w:ascii="Times New Roman" w:cs="Times New Roman"/>
      <w:sz w:val="28"/>
      <w:szCs w:val="20"/>
    </w:rPr>
  </w:style>
  <w:style w:type="paragraph" w:customStyle="1" w:styleId="354">
    <w:name w:val="附件"/>
    <w:basedOn w:val="1"/>
    <w:next w:val="1"/>
    <w:qFormat/>
    <w:uiPriority w:val="0"/>
    <w:pPr>
      <w:topLinePunct w:val="0"/>
      <w:snapToGrid w:val="0"/>
      <w:spacing w:line="300" w:lineRule="auto"/>
      <w:ind w:firstLine="527" w:firstLineChars="0"/>
    </w:pPr>
    <w:rPr>
      <w:rFonts w:ascii="Times New Roman" w:cs="Times New Roman"/>
      <w:kern w:val="2"/>
      <w:sz w:val="28"/>
      <w:szCs w:val="20"/>
    </w:rPr>
  </w:style>
  <w:style w:type="paragraph" w:customStyle="1" w:styleId="355">
    <w:name w:val="(页眉)天科"/>
    <w:uiPriority w:val="0"/>
    <w:rPr>
      <w:rFonts w:ascii="Arial" w:hAnsi="Arial" w:eastAsia="仿宋_GB2312" w:cs="Times New Roman"/>
      <w:sz w:val="21"/>
      <w:lang w:val="en-US" w:eastAsia="zh-CN" w:bidi="ar-SA"/>
    </w:rPr>
  </w:style>
  <w:style w:type="paragraph" w:customStyle="1" w:styleId="356">
    <w:name w:val="xl69"/>
    <w:basedOn w:val="1"/>
    <w:qFormat/>
    <w:uiPriority w:val="0"/>
    <w:pPr>
      <w:widowControl/>
      <w:pBdr>
        <w:top w:val="single" w:color="auto" w:sz="4" w:space="0"/>
        <w:left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357">
    <w:name w:val="小表右"/>
    <w:basedOn w:val="1"/>
    <w:qFormat/>
    <w:uiPriority w:val="0"/>
    <w:pPr>
      <w:keepNext/>
      <w:topLinePunct w:val="0"/>
      <w:adjustRightInd/>
      <w:snapToGrid w:val="0"/>
      <w:spacing w:line="240" w:lineRule="atLeast"/>
      <w:ind w:right="30" w:rightChars="30" w:firstLine="0" w:firstLineChars="0"/>
      <w:jc w:val="right"/>
    </w:pPr>
    <w:rPr>
      <w:rFonts w:hint="eastAsia" w:hAnsi="宋体" w:cs="Times New Roman"/>
      <w:kern w:val="2"/>
      <w:sz w:val="21"/>
      <w:szCs w:val="20"/>
    </w:rPr>
  </w:style>
  <w:style w:type="paragraph" w:customStyle="1" w:styleId="358">
    <w:name w:val="页脚(科宏)"/>
    <w:uiPriority w:val="0"/>
    <w:pPr>
      <w:jc w:val="center"/>
    </w:pPr>
    <w:rPr>
      <w:rFonts w:ascii="Arial" w:hAnsi="Arial" w:eastAsia="仿宋_GB2312" w:cs="Times New Roman"/>
      <w:sz w:val="21"/>
      <w:lang w:val="en-US" w:eastAsia="zh-CN" w:bidi="ar-SA"/>
    </w:rPr>
  </w:style>
  <w:style w:type="paragraph" w:customStyle="1" w:styleId="359">
    <w:name w:val="xl56"/>
    <w:basedOn w:val="1"/>
    <w:uiPriority w:val="0"/>
    <w:pPr>
      <w:widowControl/>
      <w:pBdr>
        <w:top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Cs w:val="20"/>
    </w:rPr>
  </w:style>
  <w:style w:type="paragraph" w:customStyle="1" w:styleId="360">
    <w:name w:val="图"/>
    <w:basedOn w:val="17"/>
    <w:next w:val="1"/>
    <w:qFormat/>
    <w:uiPriority w:val="0"/>
    <w:pPr>
      <w:adjustRightInd w:val="0"/>
      <w:snapToGrid w:val="0"/>
      <w:ind w:firstLine="480"/>
      <w:jc w:val="center"/>
    </w:pPr>
    <w:rPr>
      <w:rFonts w:ascii="Arial" w:hAnsi="Arial"/>
      <w:color w:val="000000"/>
      <w:sz w:val="24"/>
    </w:rPr>
  </w:style>
  <w:style w:type="paragraph" w:customStyle="1" w:styleId="361">
    <w:name w:val="样式 标题 2标题21.1标题 21.1sect 1.2H2H21R2h2Level 2 Topic Head..."/>
    <w:basedOn w:val="3"/>
    <w:qFormat/>
    <w:uiPriority w:val="0"/>
    <w:pPr>
      <w:keepLines w:val="0"/>
      <w:tabs>
        <w:tab w:val="left" w:pos="840"/>
      </w:tabs>
      <w:topLinePunct w:val="0"/>
      <w:snapToGrid w:val="0"/>
      <w:spacing w:beforeLines="50" w:afterLines="50"/>
      <w:ind w:left="840" w:hanging="420"/>
    </w:pPr>
    <w:rPr>
      <w:rFonts w:cs="Times New Roman"/>
      <w:bCs w:val="0"/>
      <w:color w:val="000000"/>
      <w:kern w:val="2"/>
      <w:sz w:val="24"/>
      <w:szCs w:val="20"/>
    </w:rPr>
  </w:style>
  <w:style w:type="paragraph" w:customStyle="1" w:styleId="362">
    <w:name w:val="xl79"/>
    <w:basedOn w:val="1"/>
    <w:qFormat/>
    <w:uiPriority w:val="0"/>
    <w:pPr>
      <w:widowControl/>
      <w:pBdr>
        <w:top w:val="single" w:color="auto" w:sz="4" w:space="0"/>
        <w:left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ascii="Arial Unicode MS" w:hAnsi="Arial Unicode MS" w:eastAsia="Arial Unicode MS" w:cs="Times New Roman"/>
      <w:sz w:val="20"/>
      <w:szCs w:val="20"/>
    </w:rPr>
  </w:style>
  <w:style w:type="paragraph" w:customStyle="1" w:styleId="363">
    <w:name w:val="Char Char Char Char Char Char Char Char Char Char1"/>
    <w:basedOn w:val="1"/>
    <w:uiPriority w:val="0"/>
    <w:pPr>
      <w:widowControl/>
      <w:topLinePunct w:val="0"/>
      <w:adjustRightInd/>
      <w:ind w:firstLine="0" w:firstLineChars="0"/>
      <w:jc w:val="left"/>
    </w:pPr>
    <w:rPr>
      <w:rFonts w:ascii="Times New Roman" w:eastAsia="黑体" w:cs="Times New Roman"/>
      <w:szCs w:val="20"/>
    </w:rPr>
  </w:style>
  <w:style w:type="paragraph" w:customStyle="1" w:styleId="364">
    <w:name w:val="xl50"/>
    <w:basedOn w:val="1"/>
    <w:uiPriority w:val="0"/>
    <w:pPr>
      <w:widowControl/>
      <w:pBdr>
        <w:top w:val="single" w:color="auto" w:sz="4" w:space="0"/>
        <w:left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365">
    <w:name w:val="xl49"/>
    <w:basedOn w:val="1"/>
    <w:qFormat/>
    <w:uiPriority w:val="0"/>
    <w:pPr>
      <w:widowControl/>
      <w:pBdr>
        <w:left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Cs w:val="20"/>
    </w:rPr>
  </w:style>
  <w:style w:type="paragraph" w:customStyle="1" w:styleId="366">
    <w:name w:val="页脚(利能)"/>
    <w:qFormat/>
    <w:uiPriority w:val="0"/>
    <w:pPr>
      <w:jc w:val="center"/>
    </w:pPr>
    <w:rPr>
      <w:rFonts w:ascii="Arial" w:hAnsi="Arial" w:eastAsia="仿宋_GB2312" w:cs="Times New Roman"/>
      <w:sz w:val="21"/>
      <w:lang w:val="en-US" w:eastAsia="zh-CN" w:bidi="ar-SA"/>
    </w:rPr>
  </w:style>
  <w:style w:type="paragraph" w:customStyle="1" w:styleId="367">
    <w:name w:val="样式 仿宋_GB2312 小四 居中 行距: 固定值 20 磅"/>
    <w:basedOn w:val="1"/>
    <w:uiPriority w:val="0"/>
    <w:pPr>
      <w:topLinePunct w:val="0"/>
      <w:adjustRightInd/>
      <w:spacing w:line="400" w:lineRule="exact"/>
      <w:ind w:firstLine="0" w:firstLineChars="0"/>
      <w:jc w:val="center"/>
    </w:pPr>
    <w:rPr>
      <w:rFonts w:ascii="Arial" w:hAnsi="Arial" w:eastAsia="仿宋_GB2312" w:cs="Times New Roman"/>
      <w:kern w:val="2"/>
      <w:szCs w:val="20"/>
    </w:rPr>
  </w:style>
  <w:style w:type="paragraph" w:customStyle="1" w:styleId="368">
    <w:name w:val="6"/>
    <w:basedOn w:val="1"/>
    <w:next w:val="25"/>
    <w:qFormat/>
    <w:uiPriority w:val="0"/>
    <w:pPr>
      <w:widowControl/>
      <w:topLinePunct w:val="0"/>
      <w:ind w:firstLine="735" w:firstLineChars="0"/>
      <w:jc w:val="left"/>
      <w:textAlignment w:val="baseline"/>
    </w:pPr>
    <w:rPr>
      <w:rFonts w:ascii="Times New Roman" w:cs="Times New Roman"/>
      <w:sz w:val="28"/>
      <w:szCs w:val="20"/>
    </w:rPr>
  </w:style>
  <w:style w:type="paragraph" w:customStyle="1" w:styleId="369">
    <w:name w:val="样式2"/>
    <w:basedOn w:val="1"/>
    <w:link w:val="608"/>
    <w:uiPriority w:val="0"/>
    <w:pPr>
      <w:topLinePunct w:val="0"/>
      <w:snapToGrid w:val="0"/>
      <w:ind w:left="280" w:right="280" w:firstLine="560" w:firstLineChars="0"/>
      <w:jc w:val="left"/>
      <w:textAlignment w:val="baseline"/>
    </w:pPr>
    <w:rPr>
      <w:rFonts w:ascii="Times New Roman" w:cs="Times New Roman"/>
      <w:color w:val="000000"/>
      <w:sz w:val="28"/>
      <w:szCs w:val="20"/>
    </w:rPr>
  </w:style>
  <w:style w:type="paragraph" w:customStyle="1" w:styleId="370">
    <w:name w:val="xl44"/>
    <w:basedOn w:val="1"/>
    <w:uiPriority w:val="0"/>
    <w:pPr>
      <w:widowControl/>
      <w:pBdr>
        <w:top w:val="single" w:color="auto" w:sz="4" w:space="0"/>
        <w:left w:val="single" w:color="auto" w:sz="4" w:space="0"/>
        <w:bottom w:val="single" w:color="auto" w:sz="4" w:space="0"/>
        <w:right w:val="single" w:color="auto" w:sz="4" w:space="0"/>
      </w:pBdr>
      <w:shd w:val="clear" w:color="auto" w:fill="C0C0C0"/>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371">
    <w:name w:val="正文1"/>
    <w:basedOn w:val="1"/>
    <w:next w:val="17"/>
    <w:qFormat/>
    <w:uiPriority w:val="0"/>
    <w:pPr>
      <w:topLinePunct w:val="0"/>
      <w:adjustRightInd/>
      <w:spacing w:line="240" w:lineRule="auto"/>
      <w:ind w:firstLine="0" w:firstLineChars="0"/>
      <w:jc w:val="center"/>
    </w:pPr>
    <w:rPr>
      <w:rFonts w:ascii="Times New Roman" w:cs="Times New Roman"/>
      <w:kern w:val="2"/>
      <w:sz w:val="21"/>
      <w:szCs w:val="20"/>
    </w:rPr>
  </w:style>
  <w:style w:type="paragraph" w:customStyle="1" w:styleId="372">
    <w:name w:val="8"/>
    <w:basedOn w:val="1"/>
    <w:next w:val="25"/>
    <w:uiPriority w:val="0"/>
    <w:pPr>
      <w:topLinePunct w:val="0"/>
      <w:ind w:left="280" w:firstLine="560" w:firstLineChars="0"/>
      <w:jc w:val="left"/>
      <w:textAlignment w:val="baseline"/>
    </w:pPr>
    <w:rPr>
      <w:rFonts w:ascii="Times New Roman" w:cs="Times New Roman"/>
      <w:sz w:val="28"/>
      <w:szCs w:val="20"/>
    </w:rPr>
  </w:style>
  <w:style w:type="paragraph" w:customStyle="1" w:styleId="373">
    <w:name w:val="总院b2"/>
    <w:basedOn w:val="3"/>
    <w:next w:val="201"/>
    <w:qFormat/>
    <w:uiPriority w:val="0"/>
    <w:pPr>
      <w:topLinePunct w:val="0"/>
      <w:adjustRightInd/>
      <w:snapToGrid w:val="0"/>
      <w:spacing w:before="120" w:after="120" w:line="300" w:lineRule="auto"/>
    </w:pPr>
    <w:rPr>
      <w:rFonts w:ascii="宋体" w:hAnsi="宋体" w:eastAsia="黑体" w:cs="Times New Roman"/>
      <w:bCs w:val="0"/>
      <w:kern w:val="2"/>
      <w:szCs w:val="20"/>
      <w:lang w:val="ru-RU"/>
    </w:rPr>
  </w:style>
  <w:style w:type="paragraph" w:customStyle="1" w:styleId="374">
    <w:name w:val="标题 22"/>
    <w:basedOn w:val="1"/>
    <w:next w:val="1"/>
    <w:qFormat/>
    <w:uiPriority w:val="0"/>
    <w:pPr>
      <w:keepNext/>
      <w:keepLines/>
      <w:topLinePunct w:val="0"/>
      <w:adjustRightInd/>
      <w:spacing w:before="260" w:after="260" w:line="413" w:lineRule="auto"/>
      <w:ind w:firstLine="0" w:firstLineChars="0"/>
      <w:outlineLvl w:val="1"/>
    </w:pPr>
    <w:rPr>
      <w:rFonts w:hint="eastAsia" w:ascii="Cambria" w:hAnsi="Cambria" w:cs="Times New Roman"/>
      <w:b/>
      <w:kern w:val="2"/>
      <w:sz w:val="32"/>
      <w:szCs w:val="20"/>
    </w:rPr>
  </w:style>
  <w:style w:type="paragraph" w:customStyle="1" w:styleId="375">
    <w:name w:val="font9"/>
    <w:basedOn w:val="1"/>
    <w:qFormat/>
    <w:uiPriority w:val="0"/>
    <w:pPr>
      <w:widowControl/>
      <w:topLinePunct w:val="0"/>
      <w:adjustRightInd/>
      <w:spacing w:before="100" w:beforeAutospacing="1" w:after="100" w:afterAutospacing="1" w:line="240" w:lineRule="auto"/>
      <w:ind w:firstLine="0" w:firstLineChars="0"/>
      <w:jc w:val="left"/>
    </w:pPr>
    <w:rPr>
      <w:rFonts w:ascii="Times New Roman" w:eastAsia="Arial Unicode MS" w:cs="Times New Roman"/>
      <w:sz w:val="28"/>
      <w:szCs w:val="28"/>
    </w:rPr>
  </w:style>
  <w:style w:type="paragraph" w:customStyle="1" w:styleId="376">
    <w:name w:val="正文文字（首行缩进2字）"/>
    <w:basedOn w:val="1"/>
    <w:qFormat/>
    <w:uiPriority w:val="0"/>
    <w:pPr>
      <w:topLinePunct w:val="0"/>
      <w:adjustRightInd/>
    </w:pPr>
    <w:rPr>
      <w:rFonts w:ascii="Arial" w:hAnsi="Arial" w:cs="Times New Roman"/>
      <w:kern w:val="2"/>
      <w:position w:val="-30"/>
      <w:sz w:val="28"/>
      <w:szCs w:val="20"/>
    </w:rPr>
  </w:style>
  <w:style w:type="paragraph" w:customStyle="1" w:styleId="377">
    <w:name w:val="科宏表头和图号"/>
    <w:basedOn w:val="1"/>
    <w:next w:val="1"/>
    <w:qFormat/>
    <w:uiPriority w:val="0"/>
    <w:pPr>
      <w:topLinePunct w:val="0"/>
      <w:adjustRightInd/>
      <w:spacing w:line="240" w:lineRule="auto"/>
      <w:ind w:firstLine="0" w:firstLineChars="0"/>
      <w:jc w:val="center"/>
    </w:pPr>
    <w:rPr>
      <w:rFonts w:ascii="Arial" w:hAnsi="Arial" w:eastAsia="仿宋_GB2312" w:cs="Times New Roman"/>
      <w:b/>
      <w:kern w:val="2"/>
      <w:szCs w:val="20"/>
    </w:rPr>
  </w:style>
  <w:style w:type="paragraph" w:customStyle="1" w:styleId="378">
    <w:name w:val="xl35"/>
    <w:basedOn w:val="1"/>
    <w:uiPriority w:val="0"/>
    <w:pPr>
      <w:widowControl/>
      <w:pBdr>
        <w:top w:val="single" w:color="auto" w:sz="4" w:space="0"/>
        <w:left w:val="single" w:color="auto" w:sz="4" w:space="0"/>
        <w:bottom w:val="single" w:color="auto" w:sz="4" w:space="0"/>
        <w:right w:val="single" w:color="auto" w:sz="4" w:space="0"/>
      </w:pBdr>
      <w:shd w:val="clear" w:color="auto" w:fill="FFFF00"/>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379">
    <w:name w:val="标题2"/>
    <w:basedOn w:val="17"/>
    <w:next w:val="4"/>
    <w:qFormat/>
    <w:uiPriority w:val="0"/>
    <w:pPr>
      <w:adjustRightInd w:val="0"/>
      <w:snapToGrid w:val="0"/>
      <w:spacing w:line="360" w:lineRule="auto"/>
      <w:ind w:firstLine="560"/>
    </w:pPr>
    <w:rPr>
      <w:rFonts w:ascii="宋体" w:hAnsi="宋体"/>
      <w:snapToGrid w:val="0"/>
      <w:sz w:val="28"/>
    </w:rPr>
  </w:style>
  <w:style w:type="paragraph" w:customStyle="1" w:styleId="380">
    <w:name w:val="xl78"/>
    <w:basedOn w:val="1"/>
    <w:qFormat/>
    <w:uiPriority w:val="0"/>
    <w:pPr>
      <w:widowControl/>
      <w:pBdr>
        <w:top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ascii="Arial Unicode MS" w:hAnsi="Arial Unicode MS" w:eastAsia="Arial Unicode MS" w:cs="Times New Roman"/>
      <w:sz w:val="20"/>
      <w:szCs w:val="20"/>
    </w:rPr>
  </w:style>
  <w:style w:type="paragraph" w:customStyle="1" w:styleId="381">
    <w:name w:val="Char Char Char Char Char Char Char"/>
    <w:basedOn w:val="1"/>
    <w:uiPriority w:val="0"/>
    <w:pPr>
      <w:topLinePunct w:val="0"/>
      <w:adjustRightInd/>
      <w:spacing w:before="300" w:after="300" w:line="560" w:lineRule="exact"/>
      <w:ind w:firstLine="0" w:firstLineChars="0"/>
    </w:pPr>
    <w:rPr>
      <w:rFonts w:ascii="Times New Roman" w:eastAsia="黑体" w:cs="Times New Roman"/>
      <w:kern w:val="2"/>
      <w:sz w:val="36"/>
      <w:szCs w:val="36"/>
    </w:rPr>
  </w:style>
  <w:style w:type="paragraph" w:customStyle="1" w:styleId="382">
    <w:name w:val="表格标题"/>
    <w:basedOn w:val="17"/>
    <w:qFormat/>
    <w:uiPriority w:val="0"/>
    <w:pPr>
      <w:adjustRightInd w:val="0"/>
      <w:snapToGrid w:val="0"/>
      <w:ind w:right="945" w:rightChars="450" w:firstLine="560"/>
    </w:pPr>
    <w:rPr>
      <w:rFonts w:ascii="Arial" w:hAnsi="Arial" w:cs="Arial"/>
      <w:sz w:val="28"/>
    </w:rPr>
  </w:style>
  <w:style w:type="paragraph" w:customStyle="1" w:styleId="383">
    <w:name w:val="样式16"/>
    <w:basedOn w:val="261"/>
    <w:qFormat/>
    <w:uiPriority w:val="0"/>
  </w:style>
  <w:style w:type="paragraph" w:customStyle="1" w:styleId="384">
    <w:name w:val="xl73"/>
    <w:basedOn w:val="1"/>
    <w:uiPriority w:val="0"/>
    <w:pPr>
      <w:widowControl/>
      <w:pBdr>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385">
    <w:name w:val="样式 标题 2 + 行距: 多倍行距 1.4 字行"/>
    <w:basedOn w:val="3"/>
    <w:qFormat/>
    <w:uiPriority w:val="0"/>
    <w:pPr>
      <w:topLinePunct w:val="0"/>
      <w:snapToGrid w:val="0"/>
      <w:spacing w:before="0" w:afterLines="50"/>
      <w:ind w:left="100" w:right="100"/>
      <w:jc w:val="center"/>
      <w:textAlignment w:val="baseline"/>
    </w:pPr>
    <w:rPr>
      <w:rFonts w:ascii="宋体" w:hAnsi="宋体" w:cs="Times New Roman"/>
      <w:b w:val="0"/>
      <w:bCs w:val="0"/>
      <w:szCs w:val="20"/>
    </w:rPr>
  </w:style>
  <w:style w:type="paragraph" w:customStyle="1" w:styleId="386">
    <w:name w:val="正文（利能）"/>
    <w:qFormat/>
    <w:uiPriority w:val="0"/>
    <w:pPr>
      <w:jc w:val="both"/>
    </w:pPr>
    <w:rPr>
      <w:rFonts w:ascii="Arial" w:hAnsi="Arial" w:eastAsia="仿宋_GB2312" w:cs="Times New Roman"/>
      <w:sz w:val="21"/>
      <w:lang w:val="en-US" w:eastAsia="zh-CN" w:bidi="ar-SA"/>
    </w:rPr>
  </w:style>
  <w:style w:type="paragraph" w:customStyle="1" w:styleId="387">
    <w:name w:val="我的样式（表格内容）"/>
    <w:basedOn w:val="1"/>
    <w:next w:val="1"/>
    <w:uiPriority w:val="0"/>
    <w:pPr>
      <w:topLinePunct w:val="0"/>
      <w:adjustRightInd/>
      <w:ind w:firstLine="0" w:firstLineChars="0"/>
      <w:jc w:val="center"/>
    </w:pPr>
    <w:rPr>
      <w:rFonts w:ascii="Times New Roman" w:cs="Times New Roman"/>
      <w:kern w:val="2"/>
      <w:sz w:val="21"/>
      <w:szCs w:val="20"/>
    </w:rPr>
  </w:style>
  <w:style w:type="paragraph" w:customStyle="1" w:styleId="388">
    <w:name w:val="xl77"/>
    <w:basedOn w:val="1"/>
    <w:qFormat/>
    <w:uiPriority w:val="0"/>
    <w:pPr>
      <w:widowControl/>
      <w:pBdr>
        <w:top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ascii="Arial Unicode MS" w:hAnsi="Arial Unicode MS" w:eastAsia="Arial Unicode MS" w:cs="Times New Roman"/>
      <w:sz w:val="20"/>
      <w:szCs w:val="20"/>
    </w:rPr>
  </w:style>
  <w:style w:type="paragraph" w:customStyle="1" w:styleId="389">
    <w:name w:val="正文（首行缩进两字）"/>
    <w:basedOn w:val="1"/>
    <w:uiPriority w:val="0"/>
    <w:pPr>
      <w:topLinePunct w:val="0"/>
      <w:autoSpaceDE w:val="0"/>
      <w:autoSpaceDN w:val="0"/>
      <w:snapToGrid w:val="0"/>
      <w:ind w:firstLine="560"/>
    </w:pPr>
    <w:rPr>
      <w:rFonts w:ascii="Arial" w:hAnsi="Arial" w:eastAsia="仿宋_GB2312" w:cs="Arial"/>
      <w:bCs/>
      <w:color w:val="000000"/>
      <w:kern w:val="11"/>
      <w:sz w:val="28"/>
      <w:szCs w:val="28"/>
    </w:rPr>
  </w:style>
  <w:style w:type="paragraph" w:customStyle="1" w:styleId="390">
    <w:name w:val="样式 标题 4 + 段后：0磅 行距1.5倍行距 宋体"/>
    <w:basedOn w:val="391"/>
    <w:qFormat/>
    <w:uiPriority w:val="0"/>
    <w:pPr>
      <w:keepNext/>
      <w:keepLines/>
      <w:tabs>
        <w:tab w:val="left" w:pos="840"/>
        <w:tab w:val="left" w:pos="1400"/>
        <w:tab w:val="left" w:pos="3420"/>
      </w:tabs>
      <w:spacing w:before="260" w:after="260" w:line="413" w:lineRule="auto"/>
      <w:ind w:left="3420"/>
      <w:jc w:val="center"/>
      <w:outlineLvl w:val="1"/>
    </w:pPr>
    <w:rPr>
      <w:b/>
      <w:sz w:val="24"/>
      <w:szCs w:val="20"/>
    </w:rPr>
  </w:style>
  <w:style w:type="paragraph" w:customStyle="1" w:styleId="391">
    <w:name w:val="样式 标题 2 + 宋体 居中"/>
    <w:basedOn w:val="1"/>
    <w:qFormat/>
    <w:uiPriority w:val="0"/>
    <w:pPr>
      <w:tabs>
        <w:tab w:val="left" w:pos="840"/>
      </w:tabs>
      <w:topLinePunct w:val="0"/>
      <w:adjustRightInd/>
      <w:spacing w:line="240" w:lineRule="auto"/>
      <w:ind w:left="840" w:hanging="420" w:firstLineChars="0"/>
    </w:pPr>
    <w:rPr>
      <w:rFonts w:ascii="Times New Roman" w:cs="Times New Roman"/>
      <w:kern w:val="2"/>
      <w:sz w:val="21"/>
      <w:szCs w:val="21"/>
    </w:rPr>
  </w:style>
  <w:style w:type="paragraph" w:customStyle="1" w:styleId="392">
    <w:name w:val="Char Char Char1"/>
    <w:basedOn w:val="1"/>
    <w:uiPriority w:val="0"/>
    <w:pPr>
      <w:topLinePunct w:val="0"/>
      <w:adjustRightInd/>
      <w:ind w:firstLine="0" w:firstLineChars="0"/>
    </w:pPr>
    <w:rPr>
      <w:rFonts w:ascii="Times New Roman" w:cs="Times New Roman"/>
      <w:kern w:val="2"/>
    </w:rPr>
  </w:style>
  <w:style w:type="paragraph" w:customStyle="1" w:styleId="393">
    <w:name w:val="xl67"/>
    <w:basedOn w:val="1"/>
    <w:qFormat/>
    <w:uiPriority w:val="0"/>
    <w:pPr>
      <w:widowControl/>
      <w:pBdr>
        <w:top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394">
    <w:name w:val="总院b1"/>
    <w:basedOn w:val="2"/>
    <w:next w:val="373"/>
    <w:qFormat/>
    <w:uiPriority w:val="0"/>
    <w:pPr>
      <w:topLinePunct w:val="0"/>
      <w:adjustRightInd/>
      <w:snapToGrid w:val="0"/>
      <w:spacing w:before="0" w:beforeAutospacing="0" w:after="240" w:afterAutospacing="0" w:line="300" w:lineRule="auto"/>
    </w:pPr>
    <w:rPr>
      <w:rFonts w:ascii="黑体" w:hAnsi="Arial Narrow" w:eastAsia="黑体"/>
      <w:b w:val="0"/>
      <w:sz w:val="28"/>
      <w:szCs w:val="20"/>
    </w:rPr>
  </w:style>
  <w:style w:type="paragraph" w:customStyle="1" w:styleId="395">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00"/>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396">
    <w:name w:val="INE Normal"/>
    <w:basedOn w:val="1"/>
    <w:qFormat/>
    <w:uiPriority w:val="0"/>
    <w:pPr>
      <w:widowControl/>
      <w:tabs>
        <w:tab w:val="left" w:pos="6445"/>
      </w:tabs>
      <w:topLinePunct w:val="0"/>
      <w:adjustRightInd/>
      <w:spacing w:line="240" w:lineRule="auto"/>
      <w:ind w:left="1077" w:firstLine="0" w:firstLineChars="0"/>
    </w:pPr>
    <w:rPr>
      <w:rFonts w:ascii="Arial" w:hAnsi="Arial" w:cs="Times New Roman"/>
      <w:sz w:val="22"/>
      <w:szCs w:val="20"/>
    </w:rPr>
  </w:style>
  <w:style w:type="paragraph" w:customStyle="1" w:styleId="397">
    <w:name w:val="样式 AA正文首行缩进 2 + 首行缩进:  2 字符 Char Char Char Char Char Char Char Char Char"/>
    <w:basedOn w:val="1"/>
    <w:qFormat/>
    <w:uiPriority w:val="0"/>
    <w:pPr>
      <w:topLinePunct w:val="0"/>
      <w:adjustRightInd/>
      <w:spacing w:after="120" w:line="240" w:lineRule="auto"/>
      <w:ind w:firstLine="560"/>
    </w:pPr>
    <w:rPr>
      <w:rFonts w:ascii="Times New Roman" w:eastAsia="仿宋_GB2312" w:cs="Times New Roman"/>
      <w:kern w:val="28"/>
      <w:sz w:val="28"/>
      <w:szCs w:val="20"/>
    </w:rPr>
  </w:style>
  <w:style w:type="paragraph" w:customStyle="1" w:styleId="398">
    <w:name w:val="12"/>
    <w:basedOn w:val="1"/>
    <w:next w:val="30"/>
    <w:uiPriority w:val="0"/>
    <w:pPr>
      <w:topLinePunct w:val="0"/>
      <w:snapToGrid w:val="0"/>
      <w:spacing w:line="580" w:lineRule="exact"/>
      <w:ind w:firstLine="510" w:firstLineChars="0"/>
    </w:pPr>
    <w:rPr>
      <w:rFonts w:hAnsi="Courier New" w:cs="Times New Roman"/>
      <w:kern w:val="2"/>
      <w:sz w:val="28"/>
      <w:szCs w:val="20"/>
    </w:rPr>
  </w:style>
  <w:style w:type="paragraph" w:customStyle="1" w:styleId="399">
    <w:name w:val="缩进正文"/>
    <w:basedOn w:val="25"/>
    <w:qFormat/>
    <w:uiPriority w:val="0"/>
    <w:pPr>
      <w:adjustRightInd w:val="0"/>
      <w:snapToGrid w:val="0"/>
      <w:spacing w:after="0" w:line="300" w:lineRule="auto"/>
      <w:ind w:left="0" w:leftChars="0" w:firstLine="200"/>
    </w:pPr>
    <w:rPr>
      <w:rFonts w:ascii="宋体"/>
      <w:sz w:val="28"/>
      <w:szCs w:val="20"/>
    </w:rPr>
  </w:style>
  <w:style w:type="paragraph" w:customStyle="1" w:styleId="400">
    <w:name w:val="样式 样式 标题 3 + 段前: 自动 段后: 自动 + 段前: 0.5 行 段后: 0.5 行"/>
    <w:basedOn w:val="1"/>
    <w:qFormat/>
    <w:uiPriority w:val="0"/>
    <w:pPr>
      <w:keepNext/>
      <w:keepLines/>
      <w:topLinePunct w:val="0"/>
      <w:adjustRightInd/>
      <w:spacing w:beforeLines="50" w:afterLines="50" w:line="240" w:lineRule="auto"/>
      <w:ind w:firstLine="0" w:firstLineChars="0"/>
      <w:outlineLvl w:val="2"/>
    </w:pPr>
    <w:rPr>
      <w:rFonts w:ascii="Times New Roman" w:cs="Times New Roman"/>
      <w:b/>
      <w:kern w:val="2"/>
      <w:szCs w:val="20"/>
    </w:rPr>
  </w:style>
  <w:style w:type="paragraph" w:customStyle="1" w:styleId="401">
    <w:name w:val="font11"/>
    <w:basedOn w:val="1"/>
    <w:qFormat/>
    <w:uiPriority w:val="0"/>
    <w:pPr>
      <w:widowControl/>
      <w:topLinePunct w:val="0"/>
      <w:adjustRightInd/>
      <w:spacing w:before="100" w:beforeAutospacing="1" w:after="100" w:afterAutospacing="1" w:line="240" w:lineRule="auto"/>
      <w:ind w:firstLine="0" w:firstLineChars="0"/>
      <w:jc w:val="left"/>
    </w:pPr>
    <w:rPr>
      <w:rFonts w:hint="eastAsia" w:hAnsi="宋体" w:cs="Times New Roman"/>
      <w:color w:val="000000"/>
      <w:sz w:val="16"/>
      <w:szCs w:val="20"/>
    </w:rPr>
  </w:style>
  <w:style w:type="paragraph" w:customStyle="1" w:styleId="402">
    <w:name w:val="2"/>
    <w:basedOn w:val="1"/>
    <w:next w:val="27"/>
    <w:qFormat/>
    <w:uiPriority w:val="0"/>
    <w:pPr>
      <w:topLinePunct w:val="0"/>
      <w:snapToGrid w:val="0"/>
      <w:spacing w:line="600" w:lineRule="exact"/>
      <w:ind w:left="329" w:right="284" w:firstLine="515" w:firstLineChars="0"/>
    </w:pPr>
    <w:rPr>
      <w:rFonts w:ascii="Arial" w:hAnsi="Arial" w:eastAsia="仿宋_GB2312" w:cs="Times New Roman"/>
      <w:kern w:val="2"/>
      <w:sz w:val="28"/>
      <w:szCs w:val="20"/>
    </w:rPr>
  </w:style>
  <w:style w:type="paragraph" w:customStyle="1" w:styleId="403">
    <w:name w:val="内容1"/>
    <w:basedOn w:val="1"/>
    <w:qFormat/>
    <w:uiPriority w:val="0"/>
    <w:pPr>
      <w:topLinePunct w:val="0"/>
      <w:adjustRightInd/>
      <w:spacing w:line="240" w:lineRule="auto"/>
      <w:ind w:left="100" w:leftChars="100" w:right="100" w:rightChars="100"/>
    </w:pPr>
    <w:rPr>
      <w:rFonts w:ascii="Times New Roman" w:eastAsia="仿宋_GB2312" w:cs="Times New Roman"/>
      <w:kern w:val="2"/>
      <w:sz w:val="28"/>
      <w:szCs w:val="20"/>
    </w:rPr>
  </w:style>
  <w:style w:type="paragraph" w:customStyle="1" w:styleId="404">
    <w:name w:val="样式 行距: 1.5 倍行距"/>
    <w:basedOn w:val="1"/>
    <w:qFormat/>
    <w:uiPriority w:val="0"/>
    <w:pPr>
      <w:topLinePunct w:val="0"/>
      <w:adjustRightInd/>
      <w:spacing w:line="240" w:lineRule="auto"/>
      <w:ind w:firstLine="560"/>
    </w:pPr>
    <w:rPr>
      <w:rFonts w:ascii="Arial" w:hAnsi="Arial" w:eastAsia="仿宋_GB2312"/>
      <w:kern w:val="2"/>
      <w:sz w:val="28"/>
      <w:szCs w:val="28"/>
    </w:rPr>
  </w:style>
  <w:style w:type="paragraph" w:customStyle="1" w:styleId="405">
    <w:name w:val="xl30"/>
    <w:basedOn w:val="1"/>
    <w:qFormat/>
    <w:uiPriority w:val="0"/>
    <w:pPr>
      <w:widowControl/>
      <w:pBdr>
        <w:left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rPr>
  </w:style>
  <w:style w:type="paragraph" w:customStyle="1" w:styleId="406">
    <w:name w:val="表头2"/>
    <w:basedOn w:val="1"/>
    <w:qFormat/>
    <w:uiPriority w:val="0"/>
    <w:pPr>
      <w:widowControl/>
      <w:tabs>
        <w:tab w:val="left" w:pos="284"/>
        <w:tab w:val="center" w:pos="6237"/>
      </w:tabs>
      <w:topLinePunct w:val="0"/>
      <w:adjustRightInd/>
      <w:spacing w:before="240" w:after="240" w:line="240" w:lineRule="auto"/>
      <w:ind w:firstLine="0" w:firstLineChars="0"/>
      <w:jc w:val="center"/>
    </w:pPr>
    <w:rPr>
      <w:rFonts w:ascii="黑体" w:eastAsia="黑体" w:cs="Times New Roman"/>
      <w:szCs w:val="20"/>
    </w:rPr>
  </w:style>
  <w:style w:type="paragraph" w:customStyle="1" w:styleId="407">
    <w:name w:val="9"/>
    <w:basedOn w:val="1"/>
    <w:next w:val="17"/>
    <w:qFormat/>
    <w:uiPriority w:val="0"/>
    <w:pPr>
      <w:topLinePunct w:val="0"/>
      <w:adjustRightInd/>
      <w:spacing w:line="240" w:lineRule="auto"/>
      <w:ind w:firstLine="420" w:firstLineChars="0"/>
    </w:pPr>
    <w:rPr>
      <w:rFonts w:ascii="Times New Roman" w:cs="Times New Roman"/>
      <w:kern w:val="2"/>
      <w:sz w:val="21"/>
      <w:szCs w:val="20"/>
    </w:rPr>
  </w:style>
  <w:style w:type="paragraph" w:customStyle="1" w:styleId="408">
    <w:name w:val="xl22"/>
    <w:basedOn w:val="1"/>
    <w:qFormat/>
    <w:uiPriority w:val="0"/>
    <w:pPr>
      <w:widowControl/>
      <w:topLinePunct w:val="0"/>
      <w:adjustRightInd/>
      <w:spacing w:before="100" w:beforeAutospacing="1" w:after="100" w:afterAutospacing="1" w:line="240" w:lineRule="auto"/>
      <w:ind w:firstLine="0" w:firstLineChars="0"/>
      <w:jc w:val="center"/>
    </w:pPr>
    <w:rPr>
      <w:rFonts w:cs="Times New Roman"/>
      <w:szCs w:val="20"/>
    </w:rPr>
  </w:style>
  <w:style w:type="paragraph" w:customStyle="1" w:styleId="409">
    <w:name w:val="样式14"/>
    <w:basedOn w:val="334"/>
    <w:uiPriority w:val="0"/>
  </w:style>
  <w:style w:type="paragraph" w:customStyle="1" w:styleId="410">
    <w:name w:val="TESTO"/>
    <w:basedOn w:val="1"/>
    <w:qFormat/>
    <w:uiPriority w:val="0"/>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topLinePunct w:val="0"/>
      <w:autoSpaceDE w:val="0"/>
      <w:autoSpaceDN w:val="0"/>
      <w:spacing w:line="240" w:lineRule="atLeast"/>
      <w:ind w:left="1247" w:right="851" w:hanging="851" w:firstLineChars="0"/>
      <w:textAlignment w:val="baseline"/>
    </w:pPr>
    <w:rPr>
      <w:rFonts w:ascii="Arial" w:hAnsi="Arial" w:cs="Times New Roman"/>
      <w:sz w:val="22"/>
      <w:szCs w:val="20"/>
      <w:lang w:val="en-GB"/>
    </w:rPr>
  </w:style>
  <w:style w:type="paragraph" w:customStyle="1" w:styleId="411">
    <w:name w:val="Char2 Char Char Char Char Char Char"/>
    <w:basedOn w:val="1"/>
    <w:qFormat/>
    <w:uiPriority w:val="0"/>
    <w:pPr>
      <w:topLinePunct w:val="0"/>
      <w:adjustRightInd/>
      <w:spacing w:line="240" w:lineRule="auto"/>
      <w:ind w:firstLine="0" w:firstLineChars="0"/>
    </w:pPr>
    <w:rPr>
      <w:rFonts w:ascii="Times New Roman" w:cs="Times New Roman"/>
      <w:kern w:val="2"/>
      <w:sz w:val="21"/>
      <w:szCs w:val="20"/>
    </w:rPr>
  </w:style>
  <w:style w:type="paragraph" w:customStyle="1" w:styleId="412">
    <w:name w:val="xl25"/>
    <w:basedOn w:val="1"/>
    <w:qFormat/>
    <w:uiPriority w:val="0"/>
    <w:pPr>
      <w:widowControl/>
      <w:pBdr>
        <w:top w:val="single" w:color="auto" w:sz="4" w:space="0"/>
        <w:left w:val="single" w:color="auto" w:sz="4" w:space="0"/>
      </w:pBdr>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413">
    <w:name w:val="Char Char Char Char"/>
    <w:basedOn w:val="1"/>
    <w:qFormat/>
    <w:uiPriority w:val="0"/>
    <w:pPr>
      <w:topLinePunct w:val="0"/>
      <w:adjustRightInd/>
      <w:spacing w:line="240" w:lineRule="auto"/>
      <w:ind w:firstLine="0" w:firstLineChars="0"/>
    </w:pPr>
    <w:rPr>
      <w:rFonts w:ascii="Times New Roman" w:cs="Times New Roman"/>
      <w:kern w:val="2"/>
      <w:sz w:val="21"/>
    </w:rPr>
  </w:style>
  <w:style w:type="paragraph" w:customStyle="1" w:styleId="414">
    <w:name w:val="a0"/>
    <w:basedOn w:val="1"/>
    <w:qFormat/>
    <w:uiPriority w:val="0"/>
    <w:pPr>
      <w:widowControl/>
      <w:topLinePunct w:val="0"/>
      <w:autoSpaceDE w:val="0"/>
      <w:autoSpaceDN w:val="0"/>
      <w:adjustRightInd/>
      <w:spacing w:line="480" w:lineRule="atLeast"/>
      <w:ind w:firstLine="0" w:firstLineChars="0"/>
    </w:pPr>
    <w:rPr>
      <w:rFonts w:ascii="Times New Roman" w:cs="Times New Roman"/>
      <w:spacing w:val="-12"/>
      <w:sz w:val="21"/>
      <w:szCs w:val="20"/>
    </w:rPr>
  </w:style>
  <w:style w:type="paragraph" w:customStyle="1" w:styleId="415">
    <w:name w:val="报告正文"/>
    <w:basedOn w:val="1"/>
    <w:qFormat/>
    <w:uiPriority w:val="0"/>
    <w:pPr>
      <w:topLinePunct w:val="0"/>
      <w:snapToGrid w:val="0"/>
      <w:spacing w:line="300" w:lineRule="auto"/>
      <w:ind w:firstLine="0" w:firstLineChars="0"/>
    </w:pPr>
    <w:rPr>
      <w:rFonts w:cs="Times New Roman"/>
      <w:kern w:val="2"/>
      <w:sz w:val="28"/>
      <w:szCs w:val="20"/>
    </w:rPr>
  </w:style>
  <w:style w:type="paragraph" w:customStyle="1" w:styleId="416">
    <w:name w:val="Char2 Char Char Char Char Char Char1"/>
    <w:basedOn w:val="1"/>
    <w:uiPriority w:val="0"/>
    <w:pPr>
      <w:topLinePunct w:val="0"/>
      <w:adjustRightInd/>
      <w:spacing w:line="240" w:lineRule="auto"/>
      <w:ind w:firstLine="0" w:firstLineChars="0"/>
    </w:pPr>
    <w:rPr>
      <w:rFonts w:ascii="Times New Roman" w:cs="Times New Roman"/>
      <w:kern w:val="2"/>
      <w:sz w:val="21"/>
      <w:szCs w:val="20"/>
    </w:rPr>
  </w:style>
  <w:style w:type="paragraph" w:customStyle="1" w:styleId="417">
    <w:name w:val="xl71"/>
    <w:basedOn w:val="1"/>
    <w:qFormat/>
    <w:uiPriority w:val="0"/>
    <w:pPr>
      <w:widowControl/>
      <w:pBdr>
        <w:left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418">
    <w:name w:val="ohz正文"/>
    <w:basedOn w:val="1"/>
    <w:qFormat/>
    <w:uiPriority w:val="0"/>
    <w:pPr>
      <w:topLinePunct w:val="0"/>
      <w:adjustRightInd/>
    </w:pPr>
    <w:rPr>
      <w:rFonts w:ascii="Times New Roman" w:cs="Times New Roman"/>
      <w:kern w:val="2"/>
      <w:szCs w:val="22"/>
    </w:rPr>
  </w:style>
  <w:style w:type="paragraph" w:customStyle="1" w:styleId="419">
    <w:name w:val="xl70"/>
    <w:basedOn w:val="1"/>
    <w:uiPriority w:val="0"/>
    <w:pPr>
      <w:widowControl/>
      <w:pBdr>
        <w:left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420">
    <w:name w:val="1.1"/>
    <w:basedOn w:val="3"/>
    <w:qFormat/>
    <w:uiPriority w:val="0"/>
    <w:pPr>
      <w:topLinePunct w:val="0"/>
      <w:adjustRightInd/>
      <w:spacing w:before="0"/>
      <w:jc w:val="center"/>
    </w:pPr>
    <w:rPr>
      <w:rFonts w:ascii="Arial" w:hAnsi="Arial" w:eastAsia="仿宋_GB2312" w:cs="Times New Roman"/>
      <w:bCs w:val="0"/>
      <w:sz w:val="30"/>
      <w:szCs w:val="20"/>
    </w:rPr>
  </w:style>
  <w:style w:type="paragraph" w:customStyle="1" w:styleId="421">
    <w:name w:val="样式 正文首缩 + 首行缩进:  2 字符"/>
    <w:basedOn w:val="1"/>
    <w:qFormat/>
    <w:uiPriority w:val="0"/>
    <w:pPr>
      <w:topLinePunct w:val="0"/>
      <w:ind w:firstLine="560"/>
    </w:pPr>
    <w:rPr>
      <w:rFonts w:ascii="Arial" w:hAnsi="Arial" w:eastAsia="仿宋_GB2312" w:cs="Times New Roman"/>
      <w:kern w:val="2"/>
      <w:sz w:val="28"/>
      <w:szCs w:val="20"/>
    </w:rPr>
  </w:style>
  <w:style w:type="paragraph" w:customStyle="1" w:styleId="422">
    <w:name w:val="a1"/>
    <w:basedOn w:val="1"/>
    <w:uiPriority w:val="0"/>
    <w:pPr>
      <w:widowControl/>
      <w:topLinePunct w:val="0"/>
      <w:adjustRightInd/>
      <w:snapToGrid w:val="0"/>
      <w:spacing w:line="240" w:lineRule="auto"/>
      <w:ind w:firstLine="0" w:firstLineChars="0"/>
      <w:jc w:val="center"/>
    </w:pPr>
    <w:rPr>
      <w:rFonts w:ascii="Times New Roman" w:cs="Times New Roman"/>
      <w:spacing w:val="-16"/>
      <w:sz w:val="21"/>
      <w:szCs w:val="20"/>
    </w:rPr>
  </w:style>
  <w:style w:type="paragraph" w:customStyle="1" w:styleId="423">
    <w:name w:val="批注"/>
    <w:basedOn w:val="1"/>
    <w:qFormat/>
    <w:uiPriority w:val="0"/>
    <w:pPr>
      <w:topLinePunct w:val="0"/>
      <w:adjustRightInd/>
      <w:spacing w:line="300" w:lineRule="auto"/>
    </w:pPr>
    <w:rPr>
      <w:rFonts w:ascii="Times New Roman" w:cs="Times New Roman"/>
      <w:kern w:val="2"/>
      <w:szCs w:val="20"/>
    </w:rPr>
  </w:style>
  <w:style w:type="paragraph" w:customStyle="1" w:styleId="424">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topLinePunct w:val="0"/>
      <w:adjustRightInd/>
      <w:spacing w:before="100" w:beforeAutospacing="1" w:after="100" w:afterAutospacing="1" w:line="240" w:lineRule="auto"/>
      <w:ind w:firstLine="0" w:firstLineChars="0"/>
      <w:jc w:val="center"/>
    </w:pPr>
    <w:rPr>
      <w:rFonts w:hAnsi="宋体" w:cs="Times New Roman"/>
      <w:color w:val="3333CC"/>
      <w:sz w:val="20"/>
      <w:szCs w:val="20"/>
    </w:rPr>
  </w:style>
  <w:style w:type="paragraph" w:customStyle="1" w:styleId="425">
    <w:name w:val="Char Char Char Char2"/>
    <w:basedOn w:val="1"/>
    <w:uiPriority w:val="0"/>
    <w:pPr>
      <w:topLinePunct w:val="0"/>
      <w:adjustRightInd/>
      <w:spacing w:line="240" w:lineRule="auto"/>
      <w:ind w:firstLine="0" w:firstLineChars="0"/>
    </w:pPr>
    <w:rPr>
      <w:rFonts w:ascii="Times New Roman" w:cs="Times New Roman"/>
      <w:kern w:val="2"/>
      <w:sz w:val="21"/>
      <w:szCs w:val="20"/>
    </w:rPr>
  </w:style>
  <w:style w:type="paragraph" w:customStyle="1" w:styleId="426">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C0C0C0"/>
      <w:topLinePunct w:val="0"/>
      <w:adjustRightInd/>
      <w:spacing w:before="100" w:beforeAutospacing="1" w:after="100" w:afterAutospacing="1" w:line="240" w:lineRule="auto"/>
      <w:ind w:firstLine="0" w:firstLineChars="0"/>
      <w:jc w:val="center"/>
      <w:textAlignment w:val="center"/>
    </w:pPr>
    <w:rPr>
      <w:rFonts w:hAnsi="宋体" w:cs="Times New Roman"/>
      <w:color w:val="3333CC"/>
      <w:sz w:val="20"/>
      <w:szCs w:val="20"/>
    </w:rPr>
  </w:style>
  <w:style w:type="paragraph" w:customStyle="1" w:styleId="427">
    <w:name w:val="篇号"/>
    <w:basedOn w:val="1"/>
    <w:qFormat/>
    <w:uiPriority w:val="0"/>
    <w:pPr>
      <w:tabs>
        <w:tab w:val="left" w:pos="1729"/>
        <w:tab w:val="left" w:pos="1882"/>
      </w:tabs>
      <w:topLinePunct w:val="0"/>
      <w:snapToGrid w:val="0"/>
      <w:spacing w:line="300" w:lineRule="auto"/>
      <w:ind w:firstLine="567" w:firstLineChars="0"/>
      <w:jc w:val="center"/>
    </w:pPr>
    <w:rPr>
      <w:rFonts w:ascii="Times New Roman" w:eastAsia="黑体" w:cs="Times New Roman"/>
      <w:kern w:val="2"/>
      <w:sz w:val="32"/>
      <w:szCs w:val="20"/>
    </w:rPr>
  </w:style>
  <w:style w:type="paragraph" w:customStyle="1" w:styleId="428">
    <w:name w:val="font8"/>
    <w:basedOn w:val="1"/>
    <w:uiPriority w:val="0"/>
    <w:pPr>
      <w:widowControl/>
      <w:topLinePunct w:val="0"/>
      <w:adjustRightInd/>
      <w:spacing w:before="100" w:beforeAutospacing="1" w:after="100" w:afterAutospacing="1" w:line="240" w:lineRule="auto"/>
      <w:ind w:firstLine="0" w:firstLineChars="0"/>
      <w:jc w:val="left"/>
    </w:pPr>
    <w:rPr>
      <w:rFonts w:ascii="Times New Roman" w:cs="Times New Roman"/>
      <w:color w:val="FF0000"/>
      <w:sz w:val="20"/>
      <w:szCs w:val="20"/>
    </w:rPr>
  </w:style>
  <w:style w:type="paragraph" w:customStyle="1" w:styleId="429">
    <w:name w:val="样式 行距: 1.5 倍行距 左  0.8 字符 首行缩进:  2 字符"/>
    <w:basedOn w:val="1"/>
    <w:qFormat/>
    <w:uiPriority w:val="0"/>
    <w:pPr>
      <w:topLinePunct w:val="0"/>
      <w:snapToGrid w:val="0"/>
      <w:ind w:firstLine="560"/>
    </w:pPr>
    <w:rPr>
      <w:rFonts w:ascii="Times New Roman" w:eastAsia="仿宋_GB2312" w:cs="Times New Roman"/>
      <w:snapToGrid w:val="0"/>
      <w:sz w:val="28"/>
      <w:szCs w:val="20"/>
    </w:rPr>
  </w:style>
  <w:style w:type="paragraph" w:customStyle="1" w:styleId="430">
    <w:name w:val="样式 标题 3 + 非加粗"/>
    <w:basedOn w:val="4"/>
    <w:uiPriority w:val="0"/>
    <w:pPr>
      <w:keepNext w:val="0"/>
      <w:keepLines w:val="0"/>
      <w:tabs>
        <w:tab w:val="left" w:pos="1470"/>
      </w:tabs>
      <w:topLinePunct w:val="0"/>
      <w:adjustRightInd/>
    </w:pPr>
    <w:rPr>
      <w:rFonts w:ascii="仿宋_GB2312" w:hAnsi="Arial" w:eastAsia="仿宋_GB2312"/>
      <w:b w:val="0"/>
      <w:kern w:val="2"/>
      <w:sz w:val="28"/>
      <w:szCs w:val="28"/>
    </w:rPr>
  </w:style>
  <w:style w:type="paragraph" w:customStyle="1" w:styleId="431">
    <w:name w:val="xl60"/>
    <w:basedOn w:val="1"/>
    <w:qFormat/>
    <w:uiPriority w:val="0"/>
    <w:pPr>
      <w:widowControl/>
      <w:pBdr>
        <w:bottom w:val="single" w:color="auto" w:sz="4" w:space="0"/>
      </w:pBdr>
      <w:topLinePunct w:val="0"/>
      <w:adjustRightInd/>
      <w:spacing w:before="100" w:beforeAutospacing="1" w:after="100" w:afterAutospacing="1" w:line="240" w:lineRule="auto"/>
      <w:ind w:firstLine="0" w:firstLineChars="0"/>
      <w:jc w:val="center"/>
    </w:pPr>
    <w:rPr>
      <w:rFonts w:hAnsi="宋体" w:cs="Times New Roman"/>
      <w:color w:val="FF0000"/>
      <w:sz w:val="20"/>
      <w:szCs w:val="20"/>
    </w:rPr>
  </w:style>
  <w:style w:type="paragraph" w:customStyle="1" w:styleId="432">
    <w:name w:val="陕西，正文"/>
    <w:basedOn w:val="1"/>
    <w:qFormat/>
    <w:uiPriority w:val="0"/>
    <w:pPr>
      <w:topLinePunct w:val="0"/>
      <w:adjustRightInd/>
      <w:ind w:firstLine="560"/>
    </w:pPr>
    <w:rPr>
      <w:rFonts w:ascii="Times New Roman"/>
      <w:kern w:val="2"/>
      <w:sz w:val="28"/>
      <w:szCs w:val="20"/>
    </w:rPr>
  </w:style>
  <w:style w:type="paragraph" w:customStyle="1" w:styleId="433">
    <w:name w:val="标准"/>
    <w:basedOn w:val="1"/>
    <w:qFormat/>
    <w:uiPriority w:val="0"/>
    <w:pPr>
      <w:topLinePunct w:val="0"/>
      <w:spacing w:before="120" w:line="336" w:lineRule="auto"/>
      <w:ind w:firstLine="0" w:firstLineChars="0"/>
      <w:jc w:val="center"/>
      <w:textAlignment w:val="baseline"/>
    </w:pPr>
    <w:rPr>
      <w:rFonts w:ascii="黑体" w:eastAsia="黑体" w:cs="Times New Roman"/>
      <w:kern w:val="2"/>
      <w:sz w:val="21"/>
      <w:szCs w:val="20"/>
    </w:rPr>
  </w:style>
  <w:style w:type="paragraph" w:customStyle="1" w:styleId="434">
    <w:name w:val="样式3"/>
    <w:basedOn w:val="390"/>
    <w:qFormat/>
    <w:uiPriority w:val="0"/>
    <w:rPr>
      <w:b w:val="0"/>
      <w:sz w:val="28"/>
    </w:rPr>
  </w:style>
  <w:style w:type="paragraph" w:customStyle="1" w:styleId="435">
    <w:name w:val="样式12"/>
    <w:basedOn w:val="2"/>
    <w:qFormat/>
    <w:uiPriority w:val="0"/>
    <w:pPr>
      <w:keepLines w:val="0"/>
      <w:tabs>
        <w:tab w:val="left" w:pos="425"/>
      </w:tabs>
      <w:topLinePunct w:val="0"/>
      <w:adjustRightInd/>
      <w:spacing w:before="0" w:beforeAutospacing="0" w:after="0" w:afterAutospacing="0" w:line="240" w:lineRule="auto"/>
      <w:ind w:left="425" w:hanging="425"/>
      <w:jc w:val="both"/>
    </w:pPr>
    <w:rPr>
      <w:rFonts w:ascii="黑体" w:hAnsi="楷体_GB2312" w:eastAsia="黑体"/>
      <w:kern w:val="0"/>
      <w:sz w:val="28"/>
      <w:szCs w:val="20"/>
    </w:rPr>
  </w:style>
  <w:style w:type="paragraph" w:customStyle="1" w:styleId="436">
    <w:name w:val="_Style 12"/>
    <w:basedOn w:val="1"/>
    <w:qFormat/>
    <w:uiPriority w:val="0"/>
    <w:pPr>
      <w:topLinePunct w:val="0"/>
      <w:adjustRightInd/>
      <w:spacing w:line="240" w:lineRule="auto"/>
      <w:ind w:firstLine="0" w:firstLineChars="0"/>
    </w:pPr>
    <w:rPr>
      <w:rFonts w:ascii="Times New Roman" w:cs="Times New Roman"/>
      <w:kern w:val="2"/>
      <w:sz w:val="21"/>
      <w:szCs w:val="20"/>
    </w:rPr>
  </w:style>
  <w:style w:type="paragraph" w:customStyle="1" w:styleId="437">
    <w:name w:val="表格字体（利能）"/>
    <w:basedOn w:val="386"/>
    <w:qFormat/>
    <w:uiPriority w:val="0"/>
    <w:pPr>
      <w:jc w:val="center"/>
    </w:pPr>
  </w:style>
  <w:style w:type="paragraph" w:customStyle="1" w:styleId="438">
    <w:name w:val="xl46"/>
    <w:basedOn w:val="1"/>
    <w:uiPriority w:val="0"/>
    <w:pPr>
      <w:widowControl/>
      <w:pBdr>
        <w:top w:val="single" w:color="auto" w:sz="4" w:space="0"/>
        <w:left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439">
    <w:name w:val="font6"/>
    <w:basedOn w:val="1"/>
    <w:qFormat/>
    <w:uiPriority w:val="0"/>
    <w:pPr>
      <w:widowControl/>
      <w:topLinePunct w:val="0"/>
      <w:adjustRightInd/>
      <w:spacing w:before="100" w:beforeAutospacing="1" w:after="100" w:afterAutospacing="1" w:line="240" w:lineRule="auto"/>
      <w:ind w:firstLine="0" w:firstLineChars="0"/>
      <w:jc w:val="left"/>
    </w:pPr>
    <w:rPr>
      <w:rFonts w:ascii="Times New Roman" w:eastAsia="Arial Unicode MS" w:cs="Times New Roman"/>
    </w:rPr>
  </w:style>
  <w:style w:type="paragraph" w:customStyle="1" w:styleId="440">
    <w:name w:val="CM114"/>
    <w:basedOn w:val="1"/>
    <w:next w:val="1"/>
    <w:qFormat/>
    <w:uiPriority w:val="0"/>
    <w:pPr>
      <w:topLinePunct w:val="0"/>
      <w:autoSpaceDE w:val="0"/>
      <w:autoSpaceDN w:val="0"/>
      <w:spacing w:after="170" w:line="240" w:lineRule="auto"/>
      <w:ind w:firstLine="0" w:firstLineChars="0"/>
      <w:jc w:val="left"/>
    </w:pPr>
    <w:rPr>
      <w:rFonts w:cs="Times New Roman"/>
    </w:rPr>
  </w:style>
  <w:style w:type="paragraph" w:customStyle="1" w:styleId="441">
    <w:name w:val="xl62"/>
    <w:basedOn w:val="1"/>
    <w:qFormat/>
    <w:uiPriority w:val="0"/>
    <w:pPr>
      <w:widowControl/>
      <w:pBdr>
        <w:top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color w:val="FF0000"/>
      <w:sz w:val="20"/>
      <w:szCs w:val="20"/>
    </w:rPr>
  </w:style>
  <w:style w:type="paragraph" w:customStyle="1" w:styleId="442">
    <w:name w:val="正文-FS-L"/>
    <w:qFormat/>
    <w:uiPriority w:val="0"/>
    <w:pPr>
      <w:spacing w:line="360" w:lineRule="auto"/>
      <w:ind w:firstLine="567"/>
      <w:jc w:val="both"/>
    </w:pPr>
    <w:rPr>
      <w:rFonts w:ascii="Times New Roman" w:hAnsi="Times New Roman" w:eastAsia="仿宋_GB2312" w:cs="Times New Roman"/>
      <w:sz w:val="28"/>
      <w:lang w:val="en-US" w:eastAsia="zh-CN" w:bidi="ar-SA"/>
    </w:rPr>
  </w:style>
  <w:style w:type="paragraph" w:customStyle="1" w:styleId="443">
    <w:name w:val="样式 表格字体（利能） + 小四"/>
    <w:basedOn w:val="444"/>
    <w:qFormat/>
    <w:uiPriority w:val="0"/>
    <w:rPr>
      <w:sz w:val="24"/>
    </w:rPr>
  </w:style>
  <w:style w:type="paragraph" w:customStyle="1" w:styleId="444">
    <w:name w:val="表格字体（）"/>
    <w:basedOn w:val="1"/>
    <w:qFormat/>
    <w:uiPriority w:val="0"/>
    <w:pPr>
      <w:widowControl/>
      <w:topLinePunct w:val="0"/>
      <w:adjustRightInd/>
      <w:spacing w:line="240" w:lineRule="auto"/>
      <w:ind w:firstLine="0" w:firstLineChars="0"/>
      <w:jc w:val="center"/>
    </w:pPr>
    <w:rPr>
      <w:rFonts w:ascii="Arial" w:hAnsi="Arial" w:eastAsia="仿宋_GB2312" w:cs="Times New Roman"/>
      <w:sz w:val="21"/>
      <w:szCs w:val="20"/>
    </w:rPr>
  </w:style>
  <w:style w:type="paragraph" w:customStyle="1" w:styleId="445">
    <w:name w:val="xl40"/>
    <w:basedOn w:val="1"/>
    <w:uiPriority w:val="0"/>
    <w:pPr>
      <w:widowControl/>
      <w:pBdr>
        <w:top w:val="single" w:color="auto" w:sz="4" w:space="0"/>
        <w:left w:val="single" w:color="auto" w:sz="4" w:space="0"/>
        <w:bottom w:val="single" w:color="auto" w:sz="4" w:space="0"/>
        <w:right w:val="single" w:color="auto" w:sz="4" w:space="0"/>
      </w:pBdr>
      <w:shd w:val="clear" w:color="auto" w:fill="C0C0C0"/>
      <w:topLinePunct w:val="0"/>
      <w:adjustRightInd/>
      <w:spacing w:before="100" w:beforeAutospacing="1" w:after="100" w:afterAutospacing="1" w:line="240" w:lineRule="auto"/>
      <w:ind w:firstLine="0" w:firstLineChars="0"/>
      <w:jc w:val="center"/>
    </w:pPr>
    <w:rPr>
      <w:rFonts w:hAnsi="宋体" w:cs="Times New Roman"/>
      <w:color w:val="FF0000"/>
      <w:sz w:val="20"/>
      <w:szCs w:val="20"/>
    </w:rPr>
  </w:style>
  <w:style w:type="paragraph" w:customStyle="1" w:styleId="446">
    <w:name w:val="表格文字（科宏）"/>
    <w:basedOn w:val="215"/>
    <w:qFormat/>
    <w:uiPriority w:val="0"/>
    <w:pPr>
      <w:jc w:val="center"/>
    </w:pPr>
  </w:style>
  <w:style w:type="paragraph" w:customStyle="1" w:styleId="447">
    <w:name w:val="Char3"/>
    <w:basedOn w:val="1"/>
    <w:uiPriority w:val="0"/>
    <w:pPr>
      <w:topLinePunct w:val="0"/>
      <w:adjustRightInd/>
      <w:spacing w:line="240" w:lineRule="auto"/>
      <w:ind w:firstLine="0" w:firstLineChars="0"/>
    </w:pPr>
    <w:rPr>
      <w:rFonts w:ascii="Times New Roman" w:cs="Times New Roman"/>
      <w:kern w:val="2"/>
      <w:sz w:val="21"/>
      <w:szCs w:val="20"/>
    </w:rPr>
  </w:style>
  <w:style w:type="paragraph" w:customStyle="1" w:styleId="448">
    <w:name w:val="表字"/>
    <w:basedOn w:val="1"/>
    <w:qFormat/>
    <w:uiPriority w:val="0"/>
    <w:pPr>
      <w:topLinePunct w:val="0"/>
      <w:adjustRightInd/>
      <w:snapToGrid w:val="0"/>
      <w:spacing w:line="360" w:lineRule="exact"/>
      <w:ind w:firstLine="0" w:firstLineChars="0"/>
    </w:pPr>
    <w:rPr>
      <w:rFonts w:ascii="Times New Roman" w:cs="Times New Roman"/>
      <w:kern w:val="2"/>
      <w:sz w:val="21"/>
      <w:szCs w:val="20"/>
    </w:rPr>
  </w:style>
  <w:style w:type="paragraph" w:customStyle="1" w:styleId="449">
    <w:name w:val="标题 1 宋体 三号"/>
    <w:basedOn w:val="2"/>
    <w:qFormat/>
    <w:uiPriority w:val="0"/>
    <w:pPr>
      <w:tabs>
        <w:tab w:val="left" w:pos="425"/>
      </w:tabs>
      <w:topLinePunct w:val="0"/>
      <w:adjustRightInd/>
      <w:spacing w:before="340" w:beforeAutospacing="0" w:after="330" w:afterAutospacing="0"/>
      <w:ind w:left="425" w:hanging="425"/>
      <w:jc w:val="center"/>
    </w:pPr>
    <w:rPr>
      <w:rFonts w:ascii="宋体" w:hAnsi="宋体" w:eastAsia="宋体"/>
      <w:szCs w:val="20"/>
    </w:rPr>
  </w:style>
  <w:style w:type="paragraph" w:customStyle="1" w:styleId="450">
    <w:name w:val="样式 标题 4 + (符号) 宋体 小四 非加粗 两端对齐"/>
    <w:basedOn w:val="1"/>
    <w:qFormat/>
    <w:uiPriority w:val="0"/>
    <w:pPr>
      <w:tabs>
        <w:tab w:val="left" w:pos="425"/>
      </w:tabs>
      <w:topLinePunct w:val="0"/>
      <w:adjustRightInd/>
      <w:spacing w:line="240" w:lineRule="auto"/>
      <w:ind w:left="360" w:hanging="360" w:firstLineChars="0"/>
    </w:pPr>
    <w:rPr>
      <w:rFonts w:ascii="Times New Roman" w:cs="Times New Roman"/>
      <w:kern w:val="2"/>
      <w:sz w:val="21"/>
      <w:szCs w:val="20"/>
    </w:rPr>
  </w:style>
  <w:style w:type="paragraph" w:customStyle="1" w:styleId="451">
    <w:name w:val="方框"/>
    <w:basedOn w:val="1"/>
    <w:uiPriority w:val="0"/>
    <w:pPr>
      <w:widowControl/>
      <w:topLinePunct w:val="0"/>
      <w:adjustRightInd/>
      <w:spacing w:line="0" w:lineRule="atLeast"/>
      <w:ind w:firstLine="0" w:firstLineChars="0"/>
    </w:pPr>
    <w:rPr>
      <w:rFonts w:cs="Times New Roman"/>
      <w:szCs w:val="20"/>
    </w:rPr>
  </w:style>
  <w:style w:type="paragraph" w:customStyle="1" w:styleId="452">
    <w:name w:val="节名"/>
    <w:basedOn w:val="1"/>
    <w:qFormat/>
    <w:uiPriority w:val="0"/>
    <w:pPr>
      <w:topLinePunct w:val="0"/>
      <w:snapToGrid w:val="0"/>
      <w:spacing w:line="300" w:lineRule="auto"/>
      <w:ind w:firstLine="0" w:firstLineChars="0"/>
      <w:jc w:val="center"/>
    </w:pPr>
    <w:rPr>
      <w:rFonts w:ascii="Times New Roman" w:cs="Times New Roman"/>
      <w:kern w:val="2"/>
      <w:szCs w:val="20"/>
    </w:rPr>
  </w:style>
  <w:style w:type="paragraph" w:customStyle="1" w:styleId="453">
    <w:name w:val="京唐秦正文2"/>
    <w:basedOn w:val="1"/>
    <w:next w:val="1"/>
    <w:qFormat/>
    <w:uiPriority w:val="0"/>
    <w:pPr>
      <w:tabs>
        <w:tab w:val="left" w:pos="700"/>
      </w:tabs>
      <w:topLinePunct w:val="0"/>
      <w:adjustRightInd/>
      <w:snapToGrid w:val="0"/>
      <w:spacing w:beforeLines="50"/>
      <w:ind w:firstLine="424"/>
      <w:jc w:val="left"/>
    </w:pPr>
    <w:rPr>
      <w:rFonts w:ascii="Times New Roman" w:cs="Times New Roman"/>
      <w:szCs w:val="20"/>
      <w:lang w:eastAsia="en-US"/>
    </w:rPr>
  </w:style>
  <w:style w:type="paragraph" w:customStyle="1" w:styleId="454">
    <w:name w:val="ourfont3"/>
    <w:basedOn w:val="1"/>
    <w:qFormat/>
    <w:uiPriority w:val="0"/>
    <w:pPr>
      <w:widowControl/>
      <w:topLinePunct w:val="0"/>
      <w:adjustRightInd/>
      <w:spacing w:before="100" w:beforeAutospacing="1" w:after="100" w:afterAutospacing="1" w:line="340" w:lineRule="atLeast"/>
      <w:ind w:firstLine="0" w:firstLineChars="0"/>
      <w:jc w:val="left"/>
    </w:pPr>
    <w:rPr>
      <w:rFonts w:hAnsi="宋体" w:cs="Times New Roman"/>
      <w:spacing w:val="20"/>
      <w:sz w:val="21"/>
      <w:szCs w:val="20"/>
    </w:rPr>
  </w:style>
  <w:style w:type="paragraph" w:customStyle="1" w:styleId="455">
    <w:name w:val="xl47"/>
    <w:basedOn w:val="1"/>
    <w:qFormat/>
    <w:uiPriority w:val="0"/>
    <w:pPr>
      <w:widowControl/>
      <w:pBdr>
        <w:top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456">
    <w:name w:val="xl52"/>
    <w:basedOn w:val="1"/>
    <w:qFormat/>
    <w:uiPriority w:val="0"/>
    <w:pPr>
      <w:widowControl/>
      <w:pBdr>
        <w:top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457">
    <w:name w:val="xl28"/>
    <w:basedOn w:val="1"/>
    <w:uiPriority w:val="0"/>
    <w:pPr>
      <w:widowControl/>
      <w:pBdr>
        <w:left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ascii="Arial" w:hAnsi="Arial" w:cs="Arial"/>
    </w:rPr>
  </w:style>
  <w:style w:type="paragraph" w:customStyle="1" w:styleId="458">
    <w:name w:val="总院3"/>
    <w:basedOn w:val="201"/>
    <w:qFormat/>
    <w:uiPriority w:val="0"/>
    <w:pPr>
      <w:ind w:firstLine="0" w:firstLineChars="0"/>
    </w:pPr>
  </w:style>
  <w:style w:type="paragraph" w:customStyle="1" w:styleId="459">
    <w:name w:val="xl29"/>
    <w:basedOn w:val="1"/>
    <w:qFormat/>
    <w:uiPriority w:val="0"/>
    <w:pPr>
      <w:widowControl/>
      <w:pBdr>
        <w:left w:val="single" w:color="auto" w:sz="4" w:space="0"/>
        <w:right w:val="single" w:color="auto" w:sz="4" w:space="0"/>
      </w:pBdr>
      <w:topLinePunct w:val="0"/>
      <w:adjustRightInd/>
      <w:spacing w:before="100" w:beforeAutospacing="1" w:after="100" w:afterAutospacing="1" w:line="240" w:lineRule="auto"/>
      <w:ind w:firstLine="0" w:firstLineChars="0"/>
      <w:jc w:val="center"/>
    </w:pPr>
    <w:rPr>
      <w:rFonts w:hAnsi="宋体" w:cs="Times New Roman"/>
      <w:color w:val="FF0000"/>
      <w:sz w:val="20"/>
      <w:szCs w:val="20"/>
    </w:rPr>
  </w:style>
  <w:style w:type="paragraph" w:customStyle="1" w:styleId="460">
    <w:name w:val="样式 标题 2 + 宋体 小四 行距: 1.5 倍行距"/>
    <w:basedOn w:val="1"/>
    <w:uiPriority w:val="0"/>
    <w:pPr>
      <w:tabs>
        <w:tab w:val="left" w:pos="0"/>
      </w:tabs>
      <w:topLinePunct w:val="0"/>
      <w:adjustRightInd/>
      <w:spacing w:line="240" w:lineRule="auto"/>
      <w:ind w:firstLine="0" w:firstLineChars="0"/>
    </w:pPr>
    <w:rPr>
      <w:rFonts w:ascii="Times New Roman" w:cs="Times New Roman"/>
      <w:kern w:val="2"/>
      <w:sz w:val="21"/>
      <w:szCs w:val="20"/>
    </w:rPr>
  </w:style>
  <w:style w:type="paragraph" w:customStyle="1" w:styleId="461">
    <w:name w:val="007"/>
    <w:basedOn w:val="1"/>
    <w:qFormat/>
    <w:uiPriority w:val="0"/>
    <w:pPr>
      <w:topLinePunct w:val="0"/>
      <w:adjustRightInd/>
      <w:spacing w:line="240" w:lineRule="auto"/>
      <w:ind w:firstLine="0" w:firstLineChars="0"/>
    </w:pPr>
    <w:rPr>
      <w:rFonts w:ascii="Times New Roman" w:cs="Times New Roman"/>
      <w:kern w:val="2"/>
      <w:sz w:val="21"/>
    </w:rPr>
  </w:style>
  <w:style w:type="paragraph" w:customStyle="1" w:styleId="462">
    <w:name w:val="样式 小四"/>
    <w:basedOn w:val="1"/>
    <w:uiPriority w:val="0"/>
    <w:pPr>
      <w:topLinePunct w:val="0"/>
      <w:adjustRightInd/>
      <w:spacing w:line="240" w:lineRule="auto"/>
      <w:ind w:left="13" w:leftChars="13" w:firstLine="0" w:firstLineChars="0"/>
    </w:pPr>
    <w:rPr>
      <w:rFonts w:ascii="Times New Roman" w:cs="Times New Roman"/>
      <w:kern w:val="2"/>
      <w:szCs w:val="20"/>
    </w:rPr>
  </w:style>
  <w:style w:type="paragraph" w:customStyle="1" w:styleId="463">
    <w:name w:val="Char1 Char Char Char1"/>
    <w:basedOn w:val="1"/>
    <w:qFormat/>
    <w:uiPriority w:val="0"/>
    <w:pPr>
      <w:widowControl/>
      <w:topLinePunct w:val="0"/>
      <w:adjustRightInd/>
      <w:spacing w:after="160" w:line="240" w:lineRule="exact"/>
      <w:ind w:firstLine="0" w:firstLineChars="0"/>
      <w:jc w:val="left"/>
    </w:pPr>
    <w:rPr>
      <w:rFonts w:ascii="Verdana" w:hAnsi="Verdana" w:cs="Times New Roman"/>
      <w:snapToGrid w:val="0"/>
      <w:sz w:val="20"/>
      <w:szCs w:val="20"/>
      <w:lang w:eastAsia="en-US"/>
    </w:rPr>
  </w:style>
  <w:style w:type="paragraph" w:customStyle="1" w:styleId="464">
    <w:name w:val="1正文"/>
    <w:basedOn w:val="1"/>
    <w:qFormat/>
    <w:uiPriority w:val="0"/>
    <w:pPr>
      <w:topLinePunct w:val="0"/>
      <w:ind w:left="-38" w:leftChars="-38" w:firstLine="482" w:firstLineChars="0"/>
      <w:textAlignment w:val="baseline"/>
    </w:pPr>
    <w:rPr>
      <w:rFonts w:hAnsi="宋体" w:cs="Times New Roman"/>
      <w:szCs w:val="20"/>
    </w:rPr>
  </w:style>
  <w:style w:type="paragraph" w:customStyle="1" w:styleId="465">
    <w:name w:val="C 正文  1"/>
    <w:basedOn w:val="1"/>
    <w:qFormat/>
    <w:uiPriority w:val="0"/>
    <w:pPr>
      <w:topLinePunct w:val="0"/>
      <w:adjustRightInd/>
      <w:ind w:firstLine="560"/>
    </w:pPr>
    <w:rPr>
      <w:rFonts w:ascii="Arial" w:hAnsi="Arial" w:eastAsia="仿宋_GB2312"/>
      <w:kern w:val="2"/>
      <w:sz w:val="28"/>
      <w:szCs w:val="20"/>
    </w:rPr>
  </w:style>
  <w:style w:type="paragraph" w:customStyle="1" w:styleId="466">
    <w:name w:val="图表名"/>
    <w:basedOn w:val="1"/>
    <w:next w:val="1"/>
    <w:qFormat/>
    <w:uiPriority w:val="0"/>
    <w:pPr>
      <w:topLinePunct w:val="0"/>
      <w:snapToGrid w:val="0"/>
      <w:spacing w:line="240" w:lineRule="auto"/>
      <w:ind w:right="-38" w:rightChars="-38" w:firstLine="0" w:firstLineChars="0"/>
      <w:jc w:val="center"/>
    </w:pPr>
    <w:rPr>
      <w:rFonts w:ascii="黑体" w:hAnsi="宋体" w:eastAsia="黑体" w:cs="Times New Roman"/>
      <w:kern w:val="2"/>
      <w:szCs w:val="20"/>
    </w:rPr>
  </w:style>
  <w:style w:type="paragraph" w:customStyle="1" w:styleId="467">
    <w:name w:val="xl72"/>
    <w:basedOn w:val="1"/>
    <w:qFormat/>
    <w:uiPriority w:val="0"/>
    <w:pPr>
      <w:widowControl/>
      <w:pBdr>
        <w:top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468">
    <w:name w:val="xl66"/>
    <w:basedOn w:val="1"/>
    <w:qFormat/>
    <w:uiPriority w:val="0"/>
    <w:pPr>
      <w:widowControl/>
      <w:pBdr>
        <w:top w:val="single" w:color="auto" w:sz="4" w:space="0"/>
        <w:bottom w:val="single" w:color="auto" w:sz="4" w:space="0"/>
      </w:pBdr>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469">
    <w:name w:val="4"/>
    <w:basedOn w:val="1"/>
    <w:next w:val="27"/>
    <w:qFormat/>
    <w:uiPriority w:val="0"/>
    <w:pPr>
      <w:topLinePunct w:val="0"/>
      <w:snapToGrid w:val="0"/>
      <w:spacing w:line="600" w:lineRule="exact"/>
      <w:ind w:left="329" w:right="284" w:firstLine="515" w:firstLineChars="0"/>
    </w:pPr>
    <w:rPr>
      <w:rFonts w:ascii="Arial" w:hAnsi="Arial" w:eastAsia="仿宋_GB2312" w:cs="Times New Roman"/>
      <w:kern w:val="2"/>
      <w:sz w:val="28"/>
      <w:szCs w:val="20"/>
    </w:rPr>
  </w:style>
  <w:style w:type="paragraph" w:customStyle="1" w:styleId="470">
    <w:name w:val="分类0"/>
    <w:basedOn w:val="1"/>
    <w:qFormat/>
    <w:uiPriority w:val="0"/>
    <w:pPr>
      <w:topLinePunct w:val="0"/>
      <w:adjustRightInd/>
      <w:spacing w:line="240" w:lineRule="auto"/>
      <w:ind w:firstLine="0" w:firstLineChars="0"/>
      <w:outlineLvl w:val="0"/>
    </w:pPr>
    <w:rPr>
      <w:rFonts w:eastAsia="仿宋_GB2312" w:cs="Times New Roman"/>
      <w:kern w:val="2"/>
      <w:sz w:val="28"/>
      <w:szCs w:val="20"/>
    </w:rPr>
  </w:style>
  <w:style w:type="paragraph" w:customStyle="1" w:styleId="471">
    <w:name w:val="表左"/>
    <w:basedOn w:val="1"/>
    <w:uiPriority w:val="0"/>
    <w:pPr>
      <w:keepNext/>
      <w:topLinePunct w:val="0"/>
      <w:adjustRightInd/>
      <w:spacing w:line="240" w:lineRule="atLeast"/>
      <w:ind w:right="30" w:rightChars="30" w:firstLine="0" w:firstLineChars="0"/>
      <w:jc w:val="center"/>
    </w:pPr>
    <w:rPr>
      <w:rFonts w:hAnsi="宋体" w:cs="Times New Roman"/>
      <w:kern w:val="2"/>
      <w:szCs w:val="20"/>
    </w:rPr>
  </w:style>
  <w:style w:type="paragraph" w:customStyle="1" w:styleId="472">
    <w:name w:val="样式 标题 3 + 段后: 0 磅 行距: 1.5 倍行距"/>
    <w:basedOn w:val="1"/>
    <w:uiPriority w:val="0"/>
    <w:pPr>
      <w:tabs>
        <w:tab w:val="left" w:pos="709"/>
      </w:tabs>
      <w:topLinePunct w:val="0"/>
      <w:adjustRightInd/>
      <w:spacing w:line="240" w:lineRule="auto"/>
      <w:ind w:left="709" w:hanging="709" w:firstLineChars="0"/>
    </w:pPr>
    <w:rPr>
      <w:rFonts w:ascii="Times New Roman" w:cs="Times New Roman"/>
      <w:kern w:val="2"/>
      <w:sz w:val="21"/>
      <w:szCs w:val="20"/>
    </w:rPr>
  </w:style>
  <w:style w:type="paragraph" w:customStyle="1" w:styleId="473">
    <w:name w:val="xl59"/>
    <w:basedOn w:val="1"/>
    <w:qFormat/>
    <w:uiPriority w:val="0"/>
    <w:pPr>
      <w:widowControl/>
      <w:pBdr>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Cs w:val="20"/>
    </w:rPr>
  </w:style>
  <w:style w:type="paragraph" w:customStyle="1" w:styleId="474">
    <w:name w:val="样式 样式 行距: 1.5 倍行距 + 首行缩进:  2 字符"/>
    <w:basedOn w:val="404"/>
    <w:qFormat/>
    <w:uiPriority w:val="0"/>
    <w:pPr>
      <w:spacing w:line="360" w:lineRule="auto"/>
      <w:ind w:right="-79" w:rightChars="-33" w:firstLine="539" w:firstLineChars="0"/>
    </w:pPr>
    <w:rPr>
      <w:rFonts w:cs="Arial"/>
      <w:sz w:val="24"/>
      <w:szCs w:val="24"/>
    </w:rPr>
  </w:style>
  <w:style w:type="paragraph" w:customStyle="1" w:styleId="475">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FFFF00"/>
      <w:topLinePunct w:val="0"/>
      <w:adjustRightInd/>
      <w:spacing w:before="100" w:beforeAutospacing="1" w:after="100" w:afterAutospacing="1" w:line="240" w:lineRule="auto"/>
      <w:ind w:firstLine="0" w:firstLineChars="0"/>
      <w:jc w:val="center"/>
    </w:pPr>
    <w:rPr>
      <w:rFonts w:hAnsi="宋体" w:cs="Times New Roman"/>
      <w:color w:val="FF0000"/>
      <w:sz w:val="20"/>
      <w:szCs w:val="20"/>
    </w:rPr>
  </w:style>
  <w:style w:type="paragraph" w:customStyle="1" w:styleId="476">
    <w:name w:val="Char Char Char1 Char Char Char Char Char Char Char Char Char Char Char Char Char"/>
    <w:basedOn w:val="5"/>
    <w:qFormat/>
    <w:uiPriority w:val="0"/>
    <w:pPr>
      <w:keepNext/>
      <w:keepLines/>
      <w:tabs>
        <w:tab w:val="left" w:pos="2585"/>
      </w:tabs>
      <w:adjustRightInd/>
      <w:snapToGrid/>
      <w:spacing w:beforeLines="0" w:after="120" w:line="360" w:lineRule="auto"/>
      <w:ind w:left="1133" w:hanging="420"/>
    </w:pPr>
    <w:rPr>
      <w:rFonts w:ascii="Times New Roman" w:hAnsi="Times New Roman" w:eastAsia="仿宋_GB2312" w:cs="宋体"/>
      <w:bCs/>
      <w:kern w:val="0"/>
      <w:szCs w:val="28"/>
    </w:rPr>
  </w:style>
  <w:style w:type="paragraph" w:customStyle="1" w:styleId="477">
    <w:name w:val="content"/>
    <w:basedOn w:val="1"/>
    <w:uiPriority w:val="0"/>
    <w:pPr>
      <w:widowControl/>
      <w:topLinePunct w:val="0"/>
      <w:adjustRightInd/>
      <w:spacing w:line="240" w:lineRule="auto"/>
      <w:ind w:firstLine="0" w:firstLineChars="0"/>
    </w:pPr>
    <w:rPr>
      <w:rFonts w:ascii="Times New Roman" w:cs="Times New Roman"/>
      <w:szCs w:val="18"/>
    </w:rPr>
  </w:style>
  <w:style w:type="paragraph" w:customStyle="1" w:styleId="478">
    <w:name w:val="xl27"/>
    <w:basedOn w:val="1"/>
    <w:uiPriority w:val="0"/>
    <w:pPr>
      <w:widowControl/>
      <w:pBdr>
        <w:left w:val="single" w:color="auto" w:sz="4" w:space="0"/>
        <w:bottom w:val="single" w:color="auto" w:sz="4" w:space="0"/>
      </w:pBdr>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479">
    <w:name w:val="样式 标题 2 + 宋体 居中1"/>
    <w:basedOn w:val="3"/>
    <w:qFormat/>
    <w:uiPriority w:val="0"/>
    <w:pPr>
      <w:tabs>
        <w:tab w:val="left" w:pos="0"/>
      </w:tabs>
      <w:topLinePunct w:val="0"/>
      <w:adjustRightInd/>
      <w:spacing w:beforeLines="50" w:afterLines="50" w:line="240" w:lineRule="auto"/>
      <w:jc w:val="center"/>
    </w:pPr>
    <w:rPr>
      <w:rFonts w:ascii="仿宋_GB2312" w:hAnsi="宋体" w:eastAsia="仿宋_GB2312" w:cs="Arial"/>
      <w:kern w:val="2"/>
      <w:szCs w:val="20"/>
    </w:rPr>
  </w:style>
  <w:style w:type="paragraph" w:customStyle="1" w:styleId="480">
    <w:name w:val="表格内部"/>
    <w:basedOn w:val="1"/>
    <w:qFormat/>
    <w:uiPriority w:val="0"/>
    <w:pPr>
      <w:topLinePunct w:val="0"/>
      <w:snapToGrid w:val="0"/>
      <w:spacing w:line="300" w:lineRule="auto"/>
      <w:ind w:firstLine="0" w:firstLineChars="0"/>
      <w:jc w:val="center"/>
    </w:pPr>
    <w:rPr>
      <w:rFonts w:ascii="Arial" w:hAnsi="Arial" w:eastAsia="仿宋_GB2312" w:cs="Times New Roman"/>
      <w:kern w:val="2"/>
      <w:sz w:val="21"/>
      <w:szCs w:val="20"/>
    </w:rPr>
  </w:style>
  <w:style w:type="paragraph" w:customStyle="1" w:styleId="481">
    <w:name w:val="xl39"/>
    <w:basedOn w:val="1"/>
    <w:uiPriority w:val="0"/>
    <w:pPr>
      <w:widowControl/>
      <w:pBdr>
        <w:top w:val="single" w:color="auto" w:sz="4" w:space="0"/>
        <w:left w:val="single" w:color="auto" w:sz="4" w:space="0"/>
        <w:bottom w:val="single" w:color="auto" w:sz="4" w:space="0"/>
        <w:right w:val="single" w:color="auto" w:sz="4" w:space="0"/>
      </w:pBdr>
      <w:shd w:val="clear" w:color="auto" w:fill="FFFF00"/>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482">
    <w:name w:val="默认段落字体 Para Char"/>
    <w:basedOn w:val="1"/>
    <w:qFormat/>
    <w:uiPriority w:val="0"/>
    <w:pPr>
      <w:topLinePunct w:val="0"/>
      <w:adjustRightInd/>
      <w:ind w:firstLine="0" w:firstLineChars="0"/>
    </w:pPr>
    <w:rPr>
      <w:rFonts w:ascii="Times New Roman" w:cs="Times New Roman"/>
      <w:kern w:val="2"/>
    </w:rPr>
  </w:style>
  <w:style w:type="paragraph" w:customStyle="1" w:styleId="483">
    <w:name w:val="样式 (中文) 楷体_GB2312 四号 行距: 1.5 倍行距"/>
    <w:basedOn w:val="1"/>
    <w:qFormat/>
    <w:uiPriority w:val="0"/>
    <w:pPr>
      <w:topLinePunct w:val="0"/>
      <w:adjustRightInd/>
      <w:spacing w:line="560" w:lineRule="exact"/>
      <w:ind w:firstLine="560"/>
    </w:pPr>
    <w:rPr>
      <w:rFonts w:ascii="Times New Roman" w:eastAsia="仿宋_GB2312" w:cs="Times New Roman"/>
      <w:kern w:val="28"/>
      <w:sz w:val="28"/>
      <w:szCs w:val="20"/>
    </w:rPr>
  </w:style>
  <w:style w:type="paragraph" w:customStyle="1" w:styleId="484">
    <w:name w:val="7"/>
    <w:basedOn w:val="1"/>
    <w:next w:val="1"/>
    <w:qFormat/>
    <w:uiPriority w:val="0"/>
    <w:pPr>
      <w:topLinePunct w:val="0"/>
      <w:adjustRightInd/>
      <w:snapToGrid w:val="0"/>
      <w:ind w:firstLine="493" w:firstLineChars="0"/>
    </w:pPr>
    <w:rPr>
      <w:rFonts w:cs="Times New Roman"/>
      <w:kern w:val="2"/>
      <w:szCs w:val="20"/>
    </w:rPr>
  </w:style>
  <w:style w:type="paragraph" w:customStyle="1" w:styleId="485">
    <w:name w:val="xl55"/>
    <w:basedOn w:val="1"/>
    <w:qFormat/>
    <w:uiPriority w:val="0"/>
    <w:pPr>
      <w:widowControl/>
      <w:pBdr>
        <w:top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486">
    <w:name w:val="节内编号1"/>
    <w:basedOn w:val="1"/>
    <w:qFormat/>
    <w:uiPriority w:val="0"/>
    <w:pPr>
      <w:topLinePunct w:val="0"/>
      <w:snapToGrid w:val="0"/>
      <w:spacing w:line="336" w:lineRule="auto"/>
      <w:ind w:right="100" w:rightChars="100" w:firstLine="672" w:firstLineChars="300"/>
    </w:pPr>
    <w:rPr>
      <w:rFonts w:hAnsi="宋体" w:cs="Times New Roman"/>
      <w:color w:val="000000"/>
      <w:spacing w:val="-8"/>
      <w:kern w:val="2"/>
      <w:szCs w:val="20"/>
    </w:rPr>
  </w:style>
  <w:style w:type="paragraph" w:customStyle="1" w:styleId="487">
    <w:name w:val="表正文2"/>
    <w:basedOn w:val="1"/>
    <w:qFormat/>
    <w:uiPriority w:val="0"/>
    <w:pPr>
      <w:topLinePunct w:val="0"/>
      <w:snapToGrid w:val="0"/>
      <w:spacing w:line="240" w:lineRule="auto"/>
      <w:ind w:right="-106" w:firstLine="0" w:firstLineChars="0"/>
      <w:jc w:val="center"/>
    </w:pPr>
    <w:rPr>
      <w:rFonts w:hAnsi="宋体" w:cs="Times New Roman"/>
      <w:kern w:val="2"/>
      <w:sz w:val="21"/>
      <w:szCs w:val="20"/>
    </w:rPr>
  </w:style>
  <w:style w:type="paragraph" w:customStyle="1" w:styleId="488">
    <w:name w:val="30151"/>
    <w:basedOn w:val="1"/>
    <w:qFormat/>
    <w:uiPriority w:val="0"/>
    <w:pPr>
      <w:widowControl/>
      <w:tabs>
        <w:tab w:val="left" w:pos="1260"/>
      </w:tabs>
      <w:topLinePunct w:val="0"/>
      <w:adjustRightInd/>
      <w:spacing w:line="240" w:lineRule="auto"/>
      <w:ind w:left="1260" w:hanging="420" w:firstLineChars="0"/>
    </w:pPr>
    <w:rPr>
      <w:rFonts w:ascii="Times New Roman" w:cs="Times New Roman"/>
      <w:szCs w:val="20"/>
    </w:rPr>
  </w:style>
  <w:style w:type="paragraph" w:customStyle="1" w:styleId="489">
    <w:name w:val="14"/>
    <w:basedOn w:val="1"/>
    <w:next w:val="49"/>
    <w:uiPriority w:val="0"/>
    <w:pPr>
      <w:topLinePunct w:val="0"/>
      <w:adjustRightInd/>
      <w:spacing w:after="120" w:line="480" w:lineRule="auto"/>
      <w:ind w:firstLine="0" w:firstLineChars="0"/>
    </w:pPr>
    <w:rPr>
      <w:rFonts w:ascii="Times New Roman" w:cs="Times New Roman"/>
      <w:kern w:val="2"/>
      <w:sz w:val="21"/>
      <w:szCs w:val="20"/>
    </w:rPr>
  </w:style>
  <w:style w:type="paragraph" w:customStyle="1" w:styleId="490">
    <w:name w:val="xl81"/>
    <w:basedOn w:val="1"/>
    <w:qFormat/>
    <w:uiPriority w:val="0"/>
    <w:pPr>
      <w:widowControl/>
      <w:pBdr>
        <w:top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ascii="Arial Unicode MS" w:hAnsi="Arial Unicode MS" w:eastAsia="Arial Unicode MS" w:cs="Times New Roman"/>
      <w:sz w:val="20"/>
      <w:szCs w:val="20"/>
    </w:rPr>
  </w:style>
  <w:style w:type="paragraph" w:customStyle="1" w:styleId="491">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C0C0C0"/>
      <w:topLinePunct w:val="0"/>
      <w:adjustRightInd/>
      <w:spacing w:before="100" w:beforeAutospacing="1" w:after="100" w:afterAutospacing="1" w:line="240" w:lineRule="auto"/>
      <w:ind w:firstLine="0" w:firstLineChars="0"/>
      <w:jc w:val="center"/>
      <w:textAlignment w:val="center"/>
    </w:pPr>
    <w:rPr>
      <w:rFonts w:hAnsi="宋体" w:cs="Times New Roman"/>
      <w:color w:val="FF0000"/>
      <w:sz w:val="20"/>
      <w:szCs w:val="20"/>
    </w:rPr>
  </w:style>
  <w:style w:type="paragraph" w:customStyle="1" w:styleId="492">
    <w:name w:val="Char Char Char Char1"/>
    <w:basedOn w:val="1"/>
    <w:qFormat/>
    <w:uiPriority w:val="0"/>
    <w:pPr>
      <w:topLinePunct w:val="0"/>
      <w:adjustRightInd/>
      <w:spacing w:line="240" w:lineRule="auto"/>
      <w:ind w:firstLine="0" w:firstLineChars="0"/>
    </w:pPr>
    <w:rPr>
      <w:rFonts w:ascii="Times New Roman" w:cs="Times New Roman"/>
      <w:kern w:val="2"/>
      <w:sz w:val="21"/>
      <w:szCs w:val="20"/>
    </w:rPr>
  </w:style>
  <w:style w:type="paragraph" w:customStyle="1" w:styleId="493">
    <w:name w:val="xl32"/>
    <w:basedOn w:val="1"/>
    <w:uiPriority w:val="0"/>
    <w:pPr>
      <w:widowControl/>
      <w:pBdr>
        <w:top w:val="single" w:color="auto" w:sz="4" w:space="0"/>
        <w:left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494">
    <w:name w:val="pp"/>
    <w:basedOn w:val="1"/>
    <w:qFormat/>
    <w:uiPriority w:val="0"/>
    <w:pPr>
      <w:topLinePunct w:val="0"/>
      <w:ind w:left="51" w:leftChars="51" w:right="142"/>
      <w:jc w:val="left"/>
      <w:textAlignment w:val="baseline"/>
    </w:pPr>
    <w:rPr>
      <w:rFonts w:ascii="Times New Roman" w:cs="Times New Roman"/>
      <w:szCs w:val="20"/>
    </w:rPr>
  </w:style>
  <w:style w:type="paragraph" w:customStyle="1" w:styleId="495">
    <w:name w:val="八角正文"/>
    <w:basedOn w:val="1"/>
    <w:qFormat/>
    <w:uiPriority w:val="0"/>
    <w:pPr>
      <w:tabs>
        <w:tab w:val="left" w:pos="0"/>
      </w:tabs>
      <w:topLinePunct w:val="0"/>
      <w:spacing w:line="500" w:lineRule="exact"/>
      <w:ind w:firstLine="0" w:firstLineChars="0"/>
    </w:pPr>
    <w:rPr>
      <w:rFonts w:ascii="Times New Roman" w:cs="Times New Roman"/>
      <w:color w:val="000000"/>
      <w:sz w:val="28"/>
      <w:szCs w:val="20"/>
    </w:rPr>
  </w:style>
  <w:style w:type="paragraph" w:customStyle="1" w:styleId="496">
    <w:name w:val="1"/>
    <w:basedOn w:val="1"/>
    <w:next w:val="17"/>
    <w:qFormat/>
    <w:uiPriority w:val="0"/>
    <w:pPr>
      <w:topLinePunct w:val="0"/>
      <w:adjustRightInd/>
      <w:spacing w:line="240" w:lineRule="auto"/>
      <w:ind w:firstLine="420"/>
    </w:pPr>
    <w:rPr>
      <w:rFonts w:ascii="Times New Roman" w:cs="Times New Roman"/>
      <w:kern w:val="2"/>
      <w:sz w:val="21"/>
      <w:szCs w:val="20"/>
    </w:rPr>
  </w:style>
  <w:style w:type="paragraph" w:customStyle="1" w:styleId="497">
    <w:name w:val="1.1.1.1标题 4 宋体"/>
    <w:basedOn w:val="5"/>
    <w:qFormat/>
    <w:uiPriority w:val="0"/>
    <w:pPr>
      <w:keepNext/>
      <w:keepLines/>
      <w:widowControl w:val="0"/>
      <w:tabs>
        <w:tab w:val="left" w:pos="2585"/>
      </w:tabs>
      <w:adjustRightInd/>
      <w:snapToGrid/>
      <w:spacing w:beforeLines="0" w:after="290" w:line="372" w:lineRule="auto"/>
      <w:ind w:left="1133" w:hanging="420"/>
      <w:jc w:val="both"/>
    </w:pPr>
    <w:rPr>
      <w:rFonts w:eastAsia="黑体"/>
      <w:b/>
      <w:szCs w:val="20"/>
    </w:rPr>
  </w:style>
  <w:style w:type="paragraph" w:customStyle="1" w:styleId="498">
    <w:name w:val="样式13"/>
    <w:basedOn w:val="334"/>
    <w:qFormat/>
    <w:uiPriority w:val="0"/>
  </w:style>
  <w:style w:type="paragraph" w:customStyle="1" w:styleId="499">
    <w:name w:val="ZW"/>
    <w:basedOn w:val="1"/>
    <w:qFormat/>
    <w:uiPriority w:val="0"/>
    <w:pPr>
      <w:topLinePunct w:val="0"/>
      <w:spacing w:beforeLines="50"/>
      <w:ind w:firstLine="480"/>
    </w:pPr>
    <w:rPr>
      <w:rFonts w:ascii="Times New Roman" w:cs="Times New Roman"/>
    </w:rPr>
  </w:style>
  <w:style w:type="paragraph" w:customStyle="1" w:styleId="500">
    <w:name w:val="13"/>
    <w:basedOn w:val="1"/>
    <w:next w:val="17"/>
    <w:qFormat/>
    <w:uiPriority w:val="0"/>
    <w:pPr>
      <w:topLinePunct w:val="0"/>
      <w:adjustRightInd/>
      <w:spacing w:line="240" w:lineRule="auto"/>
      <w:ind w:firstLine="420" w:firstLineChars="0"/>
    </w:pPr>
    <w:rPr>
      <w:rFonts w:ascii="Times New Roman" w:cs="Times New Roman"/>
      <w:kern w:val="2"/>
      <w:sz w:val="28"/>
      <w:szCs w:val="20"/>
    </w:rPr>
  </w:style>
  <w:style w:type="paragraph" w:customStyle="1" w:styleId="501">
    <w:name w:val="(页眉)利能"/>
    <w:qFormat/>
    <w:uiPriority w:val="0"/>
    <w:rPr>
      <w:rFonts w:ascii="Arial" w:hAnsi="Arial" w:eastAsia="仿宋_GB2312" w:cs="Times New Roman"/>
      <w:sz w:val="21"/>
      <w:lang w:val="en-US" w:eastAsia="zh-CN" w:bidi="ar-SA"/>
    </w:rPr>
  </w:style>
  <w:style w:type="paragraph" w:customStyle="1" w:styleId="502">
    <w:name w:val="xl54"/>
    <w:basedOn w:val="1"/>
    <w:uiPriority w:val="0"/>
    <w:pPr>
      <w:widowControl/>
      <w:pBdr>
        <w:top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503">
    <w:name w:val="标题1：样式 标题 1 + 居中"/>
    <w:basedOn w:val="2"/>
    <w:qFormat/>
    <w:uiPriority w:val="0"/>
    <w:pPr>
      <w:pBdr>
        <w:top w:val="single" w:color="auto" w:sz="12" w:space="1"/>
        <w:left w:val="single" w:color="auto" w:sz="12" w:space="4"/>
        <w:bottom w:val="single" w:color="auto" w:sz="12" w:space="1"/>
        <w:right w:val="single" w:color="auto" w:sz="12" w:space="4"/>
      </w:pBdr>
      <w:tabs>
        <w:tab w:val="left" w:pos="900"/>
      </w:tabs>
      <w:topLinePunct w:val="0"/>
      <w:adjustRightInd/>
      <w:spacing w:before="340" w:beforeAutospacing="0" w:after="330" w:afterAutospacing="0" w:line="576" w:lineRule="auto"/>
      <w:ind w:left="900" w:hanging="420"/>
      <w:jc w:val="center"/>
    </w:pPr>
    <w:rPr>
      <w:rFonts w:hAnsi="楷体_GB2312" w:eastAsia="宋体"/>
      <w:sz w:val="44"/>
      <w:szCs w:val="20"/>
    </w:rPr>
  </w:style>
  <w:style w:type="paragraph" w:customStyle="1" w:styleId="504">
    <w:name w:val="样式 四号 左侧:  1.98 厘米"/>
    <w:basedOn w:val="1"/>
    <w:qFormat/>
    <w:uiPriority w:val="0"/>
    <w:pPr>
      <w:topLinePunct w:val="0"/>
      <w:snapToGrid w:val="0"/>
      <w:spacing w:line="240" w:lineRule="auto"/>
      <w:ind w:firstLine="0" w:firstLineChars="0"/>
    </w:pPr>
    <w:rPr>
      <w:rFonts w:ascii="Times New Roman" w:cs="Times New Roman"/>
      <w:kern w:val="2"/>
    </w:rPr>
  </w:style>
  <w:style w:type="paragraph" w:customStyle="1" w:styleId="505">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6">
    <w:name w:val="font5"/>
    <w:basedOn w:val="1"/>
    <w:qFormat/>
    <w:uiPriority w:val="0"/>
    <w:pPr>
      <w:widowControl/>
      <w:topLinePunct w:val="0"/>
      <w:adjustRightInd/>
      <w:spacing w:before="100" w:beforeAutospacing="1" w:after="100" w:afterAutospacing="1" w:line="240" w:lineRule="auto"/>
      <w:ind w:firstLine="0" w:firstLineChars="0"/>
      <w:jc w:val="left"/>
    </w:pPr>
    <w:rPr>
      <w:rFonts w:hint="eastAsia" w:hAnsi="宋体" w:cs="Times New Roman"/>
      <w:sz w:val="18"/>
      <w:szCs w:val="20"/>
    </w:rPr>
  </w:style>
  <w:style w:type="paragraph" w:customStyle="1" w:styleId="507">
    <w:name w:val="Char Char Char Char Char Char Char Char Char Char Char Char Char Char Char Char Char Char Char Char"/>
    <w:basedOn w:val="1"/>
    <w:qFormat/>
    <w:uiPriority w:val="0"/>
    <w:pPr>
      <w:topLinePunct w:val="0"/>
      <w:adjustRightInd/>
      <w:spacing w:line="240" w:lineRule="auto"/>
      <w:ind w:firstLine="0" w:firstLineChars="0"/>
    </w:pPr>
    <w:rPr>
      <w:rFonts w:ascii="Times New Roman" w:cs="Times New Roman"/>
      <w:kern w:val="2"/>
      <w:sz w:val="21"/>
    </w:rPr>
  </w:style>
  <w:style w:type="paragraph" w:customStyle="1" w:styleId="508">
    <w:name w:val="报告标1"/>
    <w:basedOn w:val="1"/>
    <w:next w:val="1"/>
    <w:uiPriority w:val="0"/>
    <w:pPr>
      <w:topLinePunct w:val="0"/>
      <w:snapToGrid w:val="0"/>
      <w:spacing w:line="300" w:lineRule="auto"/>
      <w:ind w:firstLine="0" w:firstLineChars="0"/>
    </w:pPr>
    <w:rPr>
      <w:rFonts w:hint="eastAsia" w:ascii="黑体" w:eastAsia="黑体" w:cs="Times New Roman"/>
      <w:kern w:val="2"/>
      <w:sz w:val="28"/>
      <w:szCs w:val="20"/>
    </w:rPr>
  </w:style>
  <w:style w:type="paragraph" w:customStyle="1" w:styleId="509">
    <w:name w:val="xl31"/>
    <w:basedOn w:val="1"/>
    <w:qFormat/>
    <w:uiPriority w:val="0"/>
    <w:pPr>
      <w:widowControl/>
      <w:pBdr>
        <w:top w:val="single" w:color="auto" w:sz="4" w:space="0"/>
        <w:lef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510">
    <w:name w:val="小表中"/>
    <w:basedOn w:val="1"/>
    <w:qFormat/>
    <w:uiPriority w:val="0"/>
    <w:pPr>
      <w:keepNext/>
      <w:topLinePunct w:val="0"/>
      <w:adjustRightInd/>
      <w:snapToGrid w:val="0"/>
      <w:spacing w:line="240" w:lineRule="atLeast"/>
      <w:ind w:firstLine="0" w:firstLineChars="0"/>
      <w:jc w:val="center"/>
    </w:pPr>
    <w:rPr>
      <w:rFonts w:hint="eastAsia" w:hAnsi="宋体" w:cs="Times New Roman"/>
      <w:kern w:val="2"/>
      <w:sz w:val="21"/>
      <w:szCs w:val="20"/>
    </w:rPr>
  </w:style>
  <w:style w:type="paragraph" w:customStyle="1" w:styleId="511">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C0C0C0"/>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512">
    <w:name w:val="xl75"/>
    <w:basedOn w:val="1"/>
    <w:qFormat/>
    <w:uiPriority w:val="0"/>
    <w:pPr>
      <w:widowControl/>
      <w:pBdr>
        <w:top w:val="single" w:color="auto" w:sz="4" w:space="0"/>
        <w:left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ascii="Times New Roman" w:eastAsia="Arial Unicode MS" w:cs="Times New Roman"/>
      <w:sz w:val="20"/>
      <w:szCs w:val="20"/>
    </w:rPr>
  </w:style>
  <w:style w:type="paragraph" w:customStyle="1" w:styleId="513">
    <w:name w:val="xl24"/>
    <w:basedOn w:val="1"/>
    <w:uiPriority w:val="0"/>
    <w:pPr>
      <w:widowControl/>
      <w:pBdr>
        <w:top w:val="single" w:color="auto" w:sz="4" w:space="0"/>
        <w:left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pPr>
    <w:rPr>
      <w:rFonts w:hAnsi="宋体" w:cs="Times New Roman"/>
      <w:szCs w:val="20"/>
    </w:rPr>
  </w:style>
  <w:style w:type="paragraph" w:customStyle="1" w:styleId="514">
    <w:name w:val="CM4"/>
    <w:basedOn w:val="1"/>
    <w:next w:val="1"/>
    <w:qFormat/>
    <w:uiPriority w:val="0"/>
    <w:pPr>
      <w:topLinePunct w:val="0"/>
      <w:autoSpaceDE w:val="0"/>
      <w:autoSpaceDN w:val="0"/>
      <w:spacing w:line="468" w:lineRule="atLeast"/>
      <w:ind w:firstLine="0" w:firstLineChars="0"/>
      <w:jc w:val="left"/>
    </w:pPr>
    <w:rPr>
      <w:rFonts w:eastAsia="仿宋_GB2312" w:cs="Times New Roman"/>
      <w:szCs w:val="20"/>
    </w:rPr>
  </w:style>
  <w:style w:type="paragraph" w:customStyle="1" w:styleId="515">
    <w:name w:val="xl51"/>
    <w:basedOn w:val="1"/>
    <w:qFormat/>
    <w:uiPriority w:val="0"/>
    <w:pPr>
      <w:widowControl/>
      <w:pBdr>
        <w:top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Cs w:val="20"/>
    </w:rPr>
  </w:style>
  <w:style w:type="paragraph" w:customStyle="1" w:styleId="516">
    <w:name w:val="Char1"/>
    <w:basedOn w:val="1"/>
    <w:qFormat/>
    <w:uiPriority w:val="0"/>
    <w:pPr>
      <w:topLinePunct w:val="0"/>
      <w:adjustRightInd/>
      <w:spacing w:line="240" w:lineRule="auto"/>
      <w:ind w:firstLine="0" w:firstLineChars="0"/>
    </w:pPr>
    <w:rPr>
      <w:rFonts w:ascii="Arial" w:hAnsi="Arial" w:cs="Times New Roman"/>
      <w:kern w:val="2"/>
      <w:sz w:val="21"/>
      <w:szCs w:val="20"/>
    </w:rPr>
  </w:style>
  <w:style w:type="paragraph" w:customStyle="1" w:styleId="517">
    <w:name w:val="Char2"/>
    <w:basedOn w:val="1"/>
    <w:qFormat/>
    <w:uiPriority w:val="0"/>
    <w:pPr>
      <w:topLinePunct w:val="0"/>
      <w:adjustRightInd/>
      <w:spacing w:line="240" w:lineRule="auto"/>
      <w:ind w:firstLine="0" w:firstLineChars="0"/>
    </w:pPr>
    <w:rPr>
      <w:rFonts w:ascii="Times New Roman" w:cs="Times New Roman"/>
      <w:kern w:val="2"/>
      <w:sz w:val="21"/>
      <w:szCs w:val="20"/>
    </w:rPr>
  </w:style>
  <w:style w:type="paragraph" w:customStyle="1" w:styleId="518">
    <w:name w:val="标题4"/>
    <w:basedOn w:val="5"/>
    <w:next w:val="5"/>
    <w:qFormat/>
    <w:uiPriority w:val="0"/>
    <w:pPr>
      <w:widowControl w:val="0"/>
      <w:tabs>
        <w:tab w:val="left" w:pos="2585"/>
      </w:tabs>
      <w:adjustRightInd/>
      <w:snapToGrid/>
      <w:spacing w:beforeLines="0" w:line="360" w:lineRule="auto"/>
      <w:ind w:left="101" w:leftChars="48" w:firstLine="658" w:firstLineChars="235"/>
      <w:jc w:val="both"/>
      <w:outlineLvl w:val="9"/>
    </w:pPr>
    <w:rPr>
      <w:rFonts w:eastAsia="仿宋_GB2312" w:cs="Arial"/>
      <w:bCs/>
      <w:color w:val="000000"/>
      <w:kern w:val="28"/>
      <w:szCs w:val="28"/>
    </w:rPr>
  </w:style>
  <w:style w:type="paragraph" w:customStyle="1" w:styleId="519">
    <w:name w:val="正文文字缩进 2 Char Char"/>
    <w:basedOn w:val="1"/>
    <w:qFormat/>
    <w:uiPriority w:val="0"/>
    <w:pPr>
      <w:topLinePunct w:val="0"/>
      <w:snapToGrid w:val="0"/>
      <w:spacing w:before="156" w:after="78" w:line="240" w:lineRule="auto"/>
      <w:ind w:left="105" w:firstLine="482"/>
      <w:jc w:val="center"/>
    </w:pPr>
    <w:rPr>
      <w:rFonts w:ascii="Arial" w:hAnsi="Arial" w:eastAsia="仿宋_GB2312" w:cs="Arial"/>
      <w:b/>
      <w:kern w:val="2"/>
    </w:rPr>
  </w:style>
  <w:style w:type="paragraph" w:customStyle="1" w:styleId="520">
    <w:name w:val="样式 宋体 小四 段前: 7.8 磅 行距: 1.5 倍行距"/>
    <w:basedOn w:val="1"/>
    <w:qFormat/>
    <w:uiPriority w:val="0"/>
    <w:pPr>
      <w:topLinePunct w:val="0"/>
      <w:adjustRightInd/>
      <w:spacing w:before="100" w:beforeAutospacing="1" w:after="100" w:afterAutospacing="1"/>
    </w:pPr>
    <w:rPr>
      <w:rFonts w:cs="Times New Roman"/>
      <w:kern w:val="2"/>
      <w:szCs w:val="20"/>
    </w:rPr>
  </w:style>
  <w:style w:type="paragraph" w:customStyle="1" w:styleId="521">
    <w:name w:val="font7"/>
    <w:basedOn w:val="1"/>
    <w:qFormat/>
    <w:uiPriority w:val="0"/>
    <w:pPr>
      <w:widowControl/>
      <w:topLinePunct w:val="0"/>
      <w:adjustRightInd/>
      <w:spacing w:before="100" w:beforeAutospacing="1" w:after="100" w:afterAutospacing="1" w:line="240" w:lineRule="auto"/>
      <w:ind w:firstLine="0" w:firstLineChars="0"/>
      <w:jc w:val="left"/>
    </w:pPr>
    <w:rPr>
      <w:rFonts w:hint="eastAsia" w:hAnsi="宋体" w:cs="Times New Roman"/>
      <w:sz w:val="20"/>
      <w:szCs w:val="20"/>
    </w:rPr>
  </w:style>
  <w:style w:type="paragraph" w:customStyle="1" w:styleId="522">
    <w:name w:val="标题1（用）"/>
    <w:basedOn w:val="1"/>
    <w:qFormat/>
    <w:uiPriority w:val="0"/>
    <w:pPr>
      <w:keepNext/>
      <w:keepLines/>
      <w:topLinePunct w:val="0"/>
      <w:snapToGrid w:val="0"/>
      <w:spacing w:beforeLines="50" w:afterLines="25"/>
      <w:ind w:firstLine="0" w:firstLineChars="0"/>
      <w:jc w:val="center"/>
      <w:outlineLvl w:val="0"/>
    </w:pPr>
    <w:rPr>
      <w:rFonts w:ascii="Times New Roman" w:eastAsia="黑体" w:cs="Times New Roman"/>
      <w:b/>
      <w:kern w:val="44"/>
      <w:sz w:val="28"/>
      <w:szCs w:val="20"/>
    </w:rPr>
  </w:style>
  <w:style w:type="paragraph" w:customStyle="1" w:styleId="523">
    <w:name w:val="CM113"/>
    <w:basedOn w:val="119"/>
    <w:next w:val="119"/>
    <w:uiPriority w:val="0"/>
    <w:pPr>
      <w:spacing w:after="303"/>
    </w:pPr>
    <w:rPr>
      <w:rFonts w:hAnsi="Times New Roman" w:cs="Times New Roman"/>
      <w:color w:val="auto"/>
      <w:szCs w:val="20"/>
    </w:rPr>
  </w:style>
  <w:style w:type="paragraph" w:customStyle="1" w:styleId="524">
    <w:name w:val="font0"/>
    <w:basedOn w:val="1"/>
    <w:qFormat/>
    <w:uiPriority w:val="0"/>
    <w:pPr>
      <w:widowControl/>
      <w:topLinePunct w:val="0"/>
      <w:adjustRightInd/>
      <w:spacing w:before="100" w:beforeAutospacing="1" w:after="100" w:afterAutospacing="1" w:line="240" w:lineRule="auto"/>
      <w:ind w:firstLine="0" w:firstLineChars="0"/>
      <w:jc w:val="left"/>
    </w:pPr>
    <w:rPr>
      <w:rFonts w:hAnsi="宋体" w:cs="Times New Roman"/>
      <w:szCs w:val="20"/>
    </w:rPr>
  </w:style>
  <w:style w:type="paragraph" w:customStyle="1" w:styleId="525">
    <w:name w:val="xl57"/>
    <w:basedOn w:val="1"/>
    <w:qFormat/>
    <w:uiPriority w:val="0"/>
    <w:pPr>
      <w:widowControl/>
      <w:pBdr>
        <w:lef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Cs w:val="20"/>
    </w:rPr>
  </w:style>
  <w:style w:type="paragraph" w:customStyle="1" w:styleId="526">
    <w:name w:val="Char Char Char Char1 Char"/>
    <w:basedOn w:val="1"/>
    <w:qFormat/>
    <w:uiPriority w:val="0"/>
    <w:pPr>
      <w:topLinePunct w:val="0"/>
      <w:adjustRightInd/>
      <w:spacing w:line="240" w:lineRule="auto"/>
      <w:ind w:firstLine="0" w:firstLineChars="0"/>
    </w:pPr>
    <w:rPr>
      <w:rFonts w:ascii="Times New Roman" w:cs="Times New Roman"/>
      <w:kern w:val="2"/>
      <w:sz w:val="21"/>
    </w:rPr>
  </w:style>
  <w:style w:type="paragraph" w:customStyle="1" w:styleId="527">
    <w:name w:val="样式 小四 居中 左侧:  1.98 厘米 右侧:  0.05 厘米"/>
    <w:basedOn w:val="1"/>
    <w:qFormat/>
    <w:uiPriority w:val="0"/>
    <w:pPr>
      <w:topLinePunct w:val="0"/>
      <w:adjustRightInd/>
      <w:spacing w:line="240" w:lineRule="auto"/>
      <w:ind w:firstLine="0" w:firstLineChars="0"/>
      <w:jc w:val="center"/>
    </w:pPr>
    <w:rPr>
      <w:rFonts w:ascii="Times New Roman" w:cs="Times New Roman"/>
      <w:kern w:val="2"/>
      <w:szCs w:val="20"/>
    </w:rPr>
  </w:style>
  <w:style w:type="paragraph" w:customStyle="1" w:styleId="528">
    <w:name w:val="Char Char Char Char1 Char Char Char Char"/>
    <w:basedOn w:val="1"/>
    <w:qFormat/>
    <w:uiPriority w:val="0"/>
    <w:pPr>
      <w:topLinePunct w:val="0"/>
      <w:adjustRightInd/>
      <w:spacing w:line="240" w:lineRule="auto"/>
      <w:ind w:firstLine="0" w:firstLineChars="0"/>
    </w:pPr>
    <w:rPr>
      <w:rFonts w:ascii="Times New Roman" w:cs="Times New Roman"/>
      <w:kern w:val="2"/>
      <w:sz w:val="21"/>
      <w:szCs w:val="20"/>
    </w:rPr>
  </w:style>
  <w:style w:type="paragraph" w:customStyle="1" w:styleId="529">
    <w:name w:val="正文文字缩进 2"/>
    <w:basedOn w:val="1"/>
    <w:qFormat/>
    <w:uiPriority w:val="0"/>
    <w:pPr>
      <w:widowControl/>
      <w:overflowPunct w:val="0"/>
      <w:topLinePunct w:val="0"/>
      <w:autoSpaceDE w:val="0"/>
      <w:autoSpaceDN w:val="0"/>
      <w:spacing w:after="120" w:line="480" w:lineRule="auto"/>
      <w:ind w:left="420" w:leftChars="200" w:firstLine="0" w:firstLineChars="0"/>
      <w:jc w:val="left"/>
      <w:textAlignment w:val="baseline"/>
    </w:pPr>
    <w:rPr>
      <w:rFonts w:ascii="Times New Roman" w:cs="Times New Roman"/>
      <w:szCs w:val="20"/>
    </w:rPr>
  </w:style>
  <w:style w:type="paragraph" w:customStyle="1" w:styleId="530">
    <w:name w:val="Char5"/>
    <w:basedOn w:val="1"/>
    <w:qFormat/>
    <w:uiPriority w:val="0"/>
    <w:pPr>
      <w:topLinePunct w:val="0"/>
      <w:adjustRightInd/>
      <w:spacing w:line="240" w:lineRule="auto"/>
      <w:ind w:firstLine="0" w:firstLineChars="0"/>
    </w:pPr>
    <w:rPr>
      <w:rFonts w:ascii="Times New Roman" w:cs="Times New Roman"/>
      <w:kern w:val="2"/>
      <w:sz w:val="21"/>
    </w:rPr>
  </w:style>
  <w:style w:type="character" w:customStyle="1" w:styleId="531">
    <w:name w:val="W正文 Char"/>
    <w:link w:val="532"/>
    <w:qFormat/>
    <w:uiPriority w:val="0"/>
    <w:rPr>
      <w:sz w:val="24"/>
    </w:rPr>
  </w:style>
  <w:style w:type="paragraph" w:customStyle="1" w:styleId="532">
    <w:name w:val="W正文"/>
    <w:basedOn w:val="1"/>
    <w:link w:val="531"/>
    <w:uiPriority w:val="0"/>
    <w:pPr>
      <w:topLinePunct w:val="0"/>
      <w:snapToGrid w:val="0"/>
      <w:spacing w:line="460" w:lineRule="exact"/>
    </w:pPr>
    <w:rPr>
      <w:rFonts w:ascii="Calibri" w:hAnsi="Calibri" w:cs="Times New Roman"/>
      <w:szCs w:val="20"/>
    </w:rPr>
  </w:style>
  <w:style w:type="paragraph" w:customStyle="1" w:styleId="533">
    <w:name w:val="LRY正文"/>
    <w:basedOn w:val="339"/>
    <w:qFormat/>
    <w:uiPriority w:val="0"/>
    <w:pPr>
      <w:spacing w:line="360" w:lineRule="auto"/>
      <w:ind w:firstLine="480" w:firstLineChars="200"/>
      <w:outlineLvl w:val="0"/>
    </w:pPr>
    <w:rPr>
      <w:rFonts w:hAnsi="宋体"/>
      <w:bCs/>
      <w:sz w:val="24"/>
    </w:rPr>
  </w:style>
  <w:style w:type="character" w:customStyle="1" w:styleId="534">
    <w:name w:val="【正文】 Char Char"/>
    <w:qFormat/>
    <w:uiPriority w:val="0"/>
    <w:rPr>
      <w:sz w:val="24"/>
      <w:lang w:bidi="ar-SA"/>
    </w:rPr>
  </w:style>
  <w:style w:type="character" w:customStyle="1" w:styleId="535">
    <w:name w:val="批注文字 Char"/>
    <w:qFormat/>
    <w:uiPriority w:val="0"/>
    <w:rPr>
      <w:rFonts w:eastAsia="宋体"/>
      <w:kern w:val="2"/>
      <w:sz w:val="21"/>
      <w:szCs w:val="24"/>
      <w:lang w:val="en-US" w:eastAsia="zh-CN" w:bidi="ar-SA"/>
    </w:rPr>
  </w:style>
  <w:style w:type="character" w:customStyle="1" w:styleId="536">
    <w:name w:val="批注文字 Char1"/>
    <w:qFormat/>
    <w:uiPriority w:val="0"/>
    <w:rPr>
      <w:kern w:val="2"/>
      <w:sz w:val="21"/>
    </w:rPr>
  </w:style>
  <w:style w:type="paragraph" w:customStyle="1" w:styleId="537">
    <w:name w:val="Char Char Char Char Char Char Char Char"/>
    <w:basedOn w:val="1"/>
    <w:qFormat/>
    <w:uiPriority w:val="0"/>
    <w:pPr>
      <w:widowControl/>
      <w:topLinePunct w:val="0"/>
      <w:adjustRightInd/>
      <w:spacing w:after="160" w:line="240" w:lineRule="exact"/>
      <w:ind w:firstLine="357" w:firstLineChars="0"/>
      <w:jc w:val="left"/>
    </w:pPr>
    <w:rPr>
      <w:rFonts w:ascii="Verdana" w:hAnsi="Verdana" w:cs="Times New Roman"/>
      <w:sz w:val="20"/>
      <w:szCs w:val="20"/>
      <w:lang w:eastAsia="en-US"/>
    </w:rPr>
  </w:style>
  <w:style w:type="paragraph" w:customStyle="1" w:styleId="538">
    <w:name w:val="四级"/>
    <w:basedOn w:val="1"/>
    <w:uiPriority w:val="0"/>
    <w:pPr>
      <w:widowControl/>
      <w:topLinePunct w:val="0"/>
      <w:adjustRightInd/>
      <w:ind w:firstLine="0" w:firstLineChars="0"/>
      <w:jc w:val="left"/>
      <w:outlineLvl w:val="3"/>
    </w:pPr>
    <w:rPr>
      <w:rFonts w:ascii="Times New Roman" w:cs="Times New Roman"/>
      <w:b/>
      <w:szCs w:val="22"/>
    </w:rPr>
  </w:style>
  <w:style w:type="paragraph" w:customStyle="1" w:styleId="539">
    <w:name w:val="表格头"/>
    <w:basedOn w:val="30"/>
    <w:qFormat/>
    <w:uiPriority w:val="0"/>
    <w:pPr>
      <w:widowControl/>
      <w:jc w:val="center"/>
    </w:pPr>
    <w:rPr>
      <w:rFonts w:ascii="Times New Roman" w:hAnsi="Times New Roman"/>
      <w:sz w:val="21"/>
      <w:szCs w:val="24"/>
    </w:rPr>
  </w:style>
  <w:style w:type="paragraph" w:customStyle="1" w:styleId="540">
    <w:name w:val="表内容"/>
    <w:basedOn w:val="1"/>
    <w:qFormat/>
    <w:uiPriority w:val="0"/>
    <w:pPr>
      <w:widowControl/>
      <w:topLinePunct w:val="0"/>
      <w:autoSpaceDE w:val="0"/>
      <w:autoSpaceDN w:val="0"/>
      <w:spacing w:line="240" w:lineRule="auto"/>
      <w:ind w:firstLine="0" w:firstLineChars="0"/>
      <w:jc w:val="center"/>
    </w:pPr>
    <w:rPr>
      <w:rFonts w:ascii="Times New Roman" w:cs="Times New Roman"/>
      <w:snapToGrid w:val="0"/>
      <w:sz w:val="21"/>
      <w:szCs w:val="18"/>
    </w:rPr>
  </w:style>
  <w:style w:type="paragraph" w:customStyle="1" w:styleId="541">
    <w:name w:val="图框"/>
    <w:basedOn w:val="1"/>
    <w:uiPriority w:val="0"/>
    <w:pPr>
      <w:widowControl/>
      <w:topLinePunct w:val="0"/>
      <w:adjustRightInd/>
      <w:spacing w:line="240" w:lineRule="auto"/>
      <w:ind w:firstLine="0" w:firstLineChars="0"/>
      <w:jc w:val="center"/>
    </w:pPr>
    <w:rPr>
      <w:rFonts w:ascii="Times New Roman" w:cs="Times New Roman"/>
      <w:b/>
      <w:sz w:val="21"/>
      <w:szCs w:val="21"/>
    </w:rPr>
  </w:style>
  <w:style w:type="paragraph" w:customStyle="1" w:styleId="542">
    <w:name w:val="C小四正文"/>
    <w:basedOn w:val="1"/>
    <w:next w:val="1"/>
    <w:link w:val="543"/>
    <w:qFormat/>
    <w:uiPriority w:val="0"/>
    <w:pPr>
      <w:topLinePunct w:val="0"/>
      <w:adjustRightInd/>
    </w:pPr>
    <w:rPr>
      <w:rFonts w:ascii="Times New Roman" w:cs="Times New Roman"/>
      <w:kern w:val="2"/>
    </w:rPr>
  </w:style>
  <w:style w:type="character" w:customStyle="1" w:styleId="543">
    <w:name w:val="C小四正文 Char"/>
    <w:basedOn w:val="60"/>
    <w:link w:val="542"/>
    <w:qFormat/>
    <w:uiPriority w:val="0"/>
    <w:rPr>
      <w:rFonts w:ascii="Times New Roman" w:hAnsi="Times New Roman" w:eastAsia="宋体" w:cs="Times New Roman"/>
      <w:kern w:val="2"/>
      <w:sz w:val="24"/>
      <w:szCs w:val="24"/>
    </w:rPr>
  </w:style>
  <w:style w:type="table" w:customStyle="1" w:styleId="544">
    <w:name w:val="表格样式 1刘文"/>
    <w:basedOn w:val="57"/>
    <w:qFormat/>
    <w:uiPriority w:val="0"/>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28" w:type="dxa"/>
        <w:bottom w:w="0" w:type="dxa"/>
        <w:right w:w="28" w:type="dxa"/>
      </w:tblCellMar>
    </w:tblPr>
    <w:tcPr>
      <w:vAlign w:val="center"/>
    </w:tcPr>
  </w:style>
  <w:style w:type="paragraph" w:customStyle="1" w:styleId="545">
    <w:name w:val="【正文.】"/>
    <w:basedOn w:val="1"/>
    <w:qFormat/>
    <w:uiPriority w:val="0"/>
    <w:pPr>
      <w:topLinePunct w:val="0"/>
      <w:snapToGrid w:val="0"/>
    </w:pPr>
    <w:rPr>
      <w:rFonts w:ascii="Times New Roman" w:cs="Times New Roman"/>
      <w:snapToGrid w:val="0"/>
    </w:rPr>
  </w:style>
  <w:style w:type="paragraph" w:customStyle="1" w:styleId="546">
    <w:name w:val="【图名】"/>
    <w:basedOn w:val="1"/>
    <w:qFormat/>
    <w:uiPriority w:val="0"/>
    <w:pPr>
      <w:topLinePunct w:val="0"/>
      <w:snapToGrid w:val="0"/>
      <w:spacing w:afterLines="50" w:line="240" w:lineRule="auto"/>
      <w:ind w:firstLine="0" w:firstLineChars="0"/>
      <w:jc w:val="center"/>
    </w:pPr>
    <w:rPr>
      <w:rFonts w:ascii="Times New Roman" w:cs="Times New Roman"/>
      <w:b/>
      <w:kern w:val="2"/>
      <w:sz w:val="21"/>
    </w:rPr>
  </w:style>
  <w:style w:type="paragraph" w:customStyle="1" w:styleId="547">
    <w:name w:val="【表名】"/>
    <w:basedOn w:val="1"/>
    <w:qFormat/>
    <w:uiPriority w:val="0"/>
    <w:pPr>
      <w:widowControl/>
      <w:topLinePunct w:val="0"/>
      <w:snapToGrid w:val="0"/>
      <w:spacing w:beforeLines="50" w:line="240" w:lineRule="auto"/>
      <w:ind w:firstLine="0" w:firstLineChars="0"/>
      <w:jc w:val="center"/>
    </w:pPr>
    <w:rPr>
      <w:rFonts w:ascii="Times New Roman" w:cs="Arial"/>
      <w:b/>
      <w:sz w:val="21"/>
      <w:szCs w:val="21"/>
      <w:lang w:bidi="en-US"/>
    </w:rPr>
  </w:style>
  <w:style w:type="character" w:customStyle="1" w:styleId="548">
    <w:name w:val="注释标题 Char"/>
    <w:link w:val="15"/>
    <w:qFormat/>
    <w:uiPriority w:val="0"/>
    <w:rPr>
      <w:szCs w:val="24"/>
    </w:rPr>
  </w:style>
  <w:style w:type="character" w:customStyle="1" w:styleId="549">
    <w:name w:val="注释标题 字符"/>
    <w:basedOn w:val="60"/>
    <w:semiHidden/>
    <w:qFormat/>
    <w:uiPriority w:val="99"/>
    <w:rPr>
      <w:rFonts w:ascii="宋体" w:hAnsi="Times New Roman" w:cs="宋体"/>
      <w:sz w:val="24"/>
      <w:szCs w:val="24"/>
    </w:rPr>
  </w:style>
  <w:style w:type="character" w:customStyle="1" w:styleId="550">
    <w:name w:val="SSEC正文 20150323 Char"/>
    <w:link w:val="551"/>
    <w:qFormat/>
    <w:uiPriority w:val="0"/>
    <w:rPr>
      <w:rFonts w:ascii="宋体" w:hAnsi="宋体"/>
      <w:kern w:val="2"/>
      <w:sz w:val="24"/>
      <w:szCs w:val="24"/>
      <w:lang w:val="en-US" w:eastAsia="zh-CN" w:bidi="ar-SA"/>
    </w:rPr>
  </w:style>
  <w:style w:type="paragraph" w:customStyle="1" w:styleId="551">
    <w:name w:val="SSEC正文 20150323"/>
    <w:link w:val="550"/>
    <w:qFormat/>
    <w:uiPriority w:val="0"/>
    <w:pPr>
      <w:adjustRightInd w:val="0"/>
      <w:snapToGrid w:val="0"/>
      <w:spacing w:line="331" w:lineRule="auto"/>
      <w:ind w:firstLine="200" w:firstLineChars="200"/>
      <w:jc w:val="both"/>
    </w:pPr>
    <w:rPr>
      <w:rFonts w:ascii="宋体" w:hAnsi="宋体" w:eastAsia="宋体" w:cs="Times New Roman"/>
      <w:kern w:val="2"/>
      <w:sz w:val="24"/>
      <w:szCs w:val="24"/>
      <w:lang w:val="en-US" w:eastAsia="zh-CN" w:bidi="ar-SA"/>
    </w:rPr>
  </w:style>
  <w:style w:type="paragraph" w:customStyle="1" w:styleId="552">
    <w:name w:val="0正文"/>
    <w:basedOn w:val="52"/>
    <w:link w:val="568"/>
    <w:qFormat/>
    <w:uiPriority w:val="0"/>
    <w:pPr>
      <w:widowControl/>
      <w:spacing w:line="360" w:lineRule="auto"/>
      <w:ind w:firstLine="200" w:firstLineChars="200"/>
    </w:pPr>
    <w:rPr>
      <w:sz w:val="21"/>
    </w:rPr>
  </w:style>
  <w:style w:type="paragraph" w:customStyle="1" w:styleId="553">
    <w:name w:val="1、L表名、图名"/>
    <w:basedOn w:val="1"/>
    <w:qFormat/>
    <w:uiPriority w:val="0"/>
    <w:pPr>
      <w:topLinePunct w:val="0"/>
      <w:snapToGrid w:val="0"/>
      <w:spacing w:line="240" w:lineRule="auto"/>
      <w:ind w:firstLine="0" w:firstLineChars="0"/>
      <w:jc w:val="center"/>
    </w:pPr>
    <w:rPr>
      <w:rFonts w:ascii="Times New Roman" w:cs="Times New Roman"/>
      <w:bCs/>
      <w:kern w:val="2"/>
      <w:sz w:val="21"/>
      <w:szCs w:val="18"/>
    </w:rPr>
  </w:style>
  <w:style w:type="character" w:customStyle="1" w:styleId="554">
    <w:name w:val="SSEC表字居中 20150323 Char"/>
    <w:link w:val="555"/>
    <w:qFormat/>
    <w:locked/>
    <w:uiPriority w:val="0"/>
    <w:rPr>
      <w:rFonts w:ascii="宋体" w:hAnsi="宋体"/>
      <w:kern w:val="2"/>
      <w:sz w:val="21"/>
      <w:szCs w:val="21"/>
      <w:lang w:val="en-US" w:eastAsia="zh-CN" w:bidi="ar-SA"/>
    </w:rPr>
  </w:style>
  <w:style w:type="paragraph" w:customStyle="1" w:styleId="555">
    <w:name w:val="SSEC表字居中 20150323"/>
    <w:link w:val="554"/>
    <w:qFormat/>
    <w:uiPriority w:val="0"/>
    <w:pPr>
      <w:adjustRightInd w:val="0"/>
      <w:snapToGrid w:val="0"/>
      <w:jc w:val="center"/>
    </w:pPr>
    <w:rPr>
      <w:rFonts w:ascii="宋体" w:hAnsi="宋体" w:eastAsia="宋体" w:cs="Times New Roman"/>
      <w:kern w:val="2"/>
      <w:sz w:val="21"/>
      <w:szCs w:val="21"/>
      <w:lang w:val="en-US" w:eastAsia="zh-CN" w:bidi="ar-SA"/>
    </w:rPr>
  </w:style>
  <w:style w:type="character" w:customStyle="1" w:styleId="556">
    <w:name w:val="SSEC 表字居中 字符"/>
    <w:link w:val="557"/>
    <w:qFormat/>
    <w:uiPriority w:val="0"/>
    <w:rPr>
      <w:rFonts w:ascii="宋体"/>
      <w:kern w:val="2"/>
      <w:sz w:val="21"/>
      <w:szCs w:val="21"/>
      <w:lang w:val="en-US" w:eastAsia="zh-CN" w:bidi="ar-SA"/>
    </w:rPr>
  </w:style>
  <w:style w:type="paragraph" w:customStyle="1" w:styleId="557">
    <w:name w:val="SSEC 表字居中"/>
    <w:link w:val="556"/>
    <w:uiPriority w:val="0"/>
    <w:pPr>
      <w:widowControl w:val="0"/>
      <w:adjustRightInd w:val="0"/>
      <w:snapToGrid w:val="0"/>
      <w:jc w:val="center"/>
      <w:textAlignment w:val="center"/>
    </w:pPr>
    <w:rPr>
      <w:rFonts w:ascii="宋体" w:hAnsi="Calibri" w:eastAsia="宋体" w:cs="Times New Roman"/>
      <w:kern w:val="2"/>
      <w:sz w:val="21"/>
      <w:szCs w:val="21"/>
      <w:lang w:val="en-US" w:eastAsia="zh-CN" w:bidi="ar-SA"/>
    </w:rPr>
  </w:style>
  <w:style w:type="character" w:customStyle="1" w:styleId="558">
    <w:name w:val="标题 Char"/>
    <w:uiPriority w:val="0"/>
    <w:rPr>
      <w:rFonts w:ascii="Arial" w:hAnsi="Arial" w:cs="Arial"/>
      <w:b/>
      <w:bCs/>
      <w:sz w:val="32"/>
      <w:szCs w:val="32"/>
    </w:rPr>
  </w:style>
  <w:style w:type="character" w:customStyle="1" w:styleId="559">
    <w:name w:val="题注 Char"/>
    <w:link w:val="18"/>
    <w:qFormat/>
    <w:uiPriority w:val="0"/>
    <w:rPr>
      <w:rFonts w:ascii="Cambria" w:hAnsi="Cambria" w:eastAsia="黑体" w:cs="Times New Roman"/>
    </w:rPr>
  </w:style>
  <w:style w:type="character" w:customStyle="1" w:styleId="560">
    <w:name w:val="SSEC 2级序号 字符"/>
    <w:link w:val="561"/>
    <w:qFormat/>
    <w:uiPriority w:val="0"/>
    <w:rPr>
      <w:rFonts w:ascii="宋体" w:hAnsi="宋体"/>
      <w:kern w:val="2"/>
      <w:sz w:val="24"/>
      <w:szCs w:val="24"/>
    </w:rPr>
  </w:style>
  <w:style w:type="paragraph" w:customStyle="1" w:styleId="561">
    <w:name w:val="SSEC 2级序号"/>
    <w:basedOn w:val="562"/>
    <w:link w:val="560"/>
    <w:qFormat/>
    <w:uiPriority w:val="0"/>
    <w:pPr>
      <w:numPr>
        <w:numId w:val="0"/>
      </w:numPr>
    </w:pPr>
  </w:style>
  <w:style w:type="paragraph" w:customStyle="1" w:styleId="562">
    <w:name w:val="SSEC 1级序号"/>
    <w:link w:val="569"/>
    <w:qFormat/>
    <w:uiPriority w:val="0"/>
    <w:pPr>
      <w:widowControl w:val="0"/>
      <w:numPr>
        <w:ilvl w:val="0"/>
        <w:numId w:val="2"/>
      </w:numPr>
      <w:adjustRightInd w:val="0"/>
      <w:snapToGrid w:val="0"/>
      <w:spacing w:line="331" w:lineRule="auto"/>
      <w:jc w:val="both"/>
    </w:pPr>
    <w:rPr>
      <w:rFonts w:ascii="宋体" w:hAnsi="宋体" w:eastAsia="宋体" w:cs="Times New Roman"/>
      <w:kern w:val="2"/>
      <w:sz w:val="24"/>
      <w:szCs w:val="24"/>
      <w:lang w:val="en-US" w:eastAsia="zh-CN" w:bidi="ar-SA"/>
    </w:rPr>
  </w:style>
  <w:style w:type="character" w:customStyle="1" w:styleId="563">
    <w:name w:val="表头1 Char"/>
    <w:link w:val="322"/>
    <w:uiPriority w:val="0"/>
    <w:rPr>
      <w:rFonts w:ascii="黑体" w:hAnsi="Times New Roman" w:eastAsia="黑体"/>
      <w:sz w:val="24"/>
      <w:lang w:bidi="ar-SA"/>
    </w:rPr>
  </w:style>
  <w:style w:type="character" w:customStyle="1" w:styleId="564">
    <w:name w:val="SSEC 3级序号 字符"/>
    <w:link w:val="565"/>
    <w:uiPriority w:val="0"/>
    <w:rPr>
      <w:rFonts w:ascii="宋体" w:hAnsi="宋体"/>
      <w:kern w:val="2"/>
      <w:sz w:val="24"/>
      <w:szCs w:val="24"/>
    </w:rPr>
  </w:style>
  <w:style w:type="paragraph" w:customStyle="1" w:styleId="565">
    <w:name w:val="SSEC 3级序号"/>
    <w:basedOn w:val="562"/>
    <w:link w:val="564"/>
    <w:qFormat/>
    <w:uiPriority w:val="0"/>
    <w:pPr>
      <w:numPr>
        <w:numId w:val="0"/>
      </w:numPr>
      <w:ind w:firstLine="476"/>
    </w:pPr>
  </w:style>
  <w:style w:type="character" w:customStyle="1" w:styleId="566">
    <w:name w:val="题注 Char2"/>
    <w:locked/>
    <w:uiPriority w:val="0"/>
    <w:rPr>
      <w:rFonts w:ascii="Arial" w:hAnsi="Arial" w:eastAsia="黑体" w:cs="Arial"/>
      <w:kern w:val="2"/>
    </w:rPr>
  </w:style>
  <w:style w:type="paragraph" w:customStyle="1" w:styleId="567">
    <w:name w:val="表格体"/>
    <w:basedOn w:val="95"/>
    <w:qFormat/>
    <w:uiPriority w:val="0"/>
    <w:pPr>
      <w:widowControl/>
    </w:pPr>
    <w:rPr>
      <w:szCs w:val="22"/>
    </w:rPr>
  </w:style>
  <w:style w:type="character" w:customStyle="1" w:styleId="568">
    <w:name w:val="0正文 Char"/>
    <w:link w:val="552"/>
    <w:qFormat/>
    <w:uiPriority w:val="0"/>
    <w:rPr>
      <w:rFonts w:ascii="Times New Roman" w:hAnsi="Times New Roman"/>
      <w:kern w:val="2"/>
      <w:sz w:val="21"/>
    </w:rPr>
  </w:style>
  <w:style w:type="character" w:customStyle="1" w:styleId="569">
    <w:name w:val="SSEC 1级序号 字符"/>
    <w:link w:val="562"/>
    <w:qFormat/>
    <w:uiPriority w:val="0"/>
    <w:rPr>
      <w:rFonts w:ascii="宋体" w:hAnsi="宋体"/>
      <w:kern w:val="2"/>
      <w:sz w:val="24"/>
      <w:szCs w:val="24"/>
      <w:lang w:bidi="ar-SA"/>
    </w:rPr>
  </w:style>
  <w:style w:type="character" w:customStyle="1" w:styleId="570">
    <w:name w:val="SSEC 正文 字符"/>
    <w:link w:val="571"/>
    <w:qFormat/>
    <w:uiPriority w:val="0"/>
    <w:rPr>
      <w:rFonts w:ascii="宋体" w:hAnsi="宋体"/>
      <w:kern w:val="2"/>
      <w:sz w:val="24"/>
      <w:szCs w:val="24"/>
      <w:lang w:val="en-US" w:eastAsia="zh-CN" w:bidi="ar-SA"/>
    </w:rPr>
  </w:style>
  <w:style w:type="paragraph" w:customStyle="1" w:styleId="571">
    <w:name w:val="SSEC 正文"/>
    <w:link w:val="570"/>
    <w:qFormat/>
    <w:uiPriority w:val="0"/>
    <w:pPr>
      <w:widowControl w:val="0"/>
      <w:adjustRightInd w:val="0"/>
      <w:snapToGrid w:val="0"/>
      <w:spacing w:line="331" w:lineRule="auto"/>
      <w:ind w:firstLine="200" w:firstLineChars="200"/>
      <w:jc w:val="both"/>
    </w:pPr>
    <w:rPr>
      <w:rFonts w:ascii="宋体" w:hAnsi="宋体" w:eastAsia="宋体" w:cs="Times New Roman"/>
      <w:kern w:val="2"/>
      <w:sz w:val="24"/>
      <w:szCs w:val="24"/>
      <w:lang w:val="en-US" w:eastAsia="zh-CN" w:bidi="ar-SA"/>
    </w:rPr>
  </w:style>
  <w:style w:type="character" w:customStyle="1" w:styleId="572">
    <w:name w:val="SSEC 4级序号 字符"/>
    <w:link w:val="573"/>
    <w:uiPriority w:val="0"/>
    <w:rPr>
      <w:rFonts w:ascii="宋体" w:hAnsi="宋体"/>
      <w:kern w:val="2"/>
      <w:sz w:val="24"/>
      <w:szCs w:val="24"/>
    </w:rPr>
  </w:style>
  <w:style w:type="paragraph" w:customStyle="1" w:styleId="573">
    <w:name w:val="SSEC 4级序号"/>
    <w:basedOn w:val="562"/>
    <w:link w:val="572"/>
    <w:qFormat/>
    <w:uiPriority w:val="0"/>
    <w:pPr>
      <w:numPr>
        <w:numId w:val="0"/>
      </w:numPr>
      <w:ind w:firstLine="476"/>
    </w:pPr>
  </w:style>
  <w:style w:type="character" w:customStyle="1" w:styleId="574">
    <w:name w:val="SSEC表字居左 20150323 Char"/>
    <w:link w:val="575"/>
    <w:qFormat/>
    <w:locked/>
    <w:uiPriority w:val="0"/>
    <w:rPr>
      <w:rFonts w:ascii="宋体" w:hAnsi="宋体"/>
      <w:kern w:val="2"/>
      <w:sz w:val="21"/>
      <w:szCs w:val="21"/>
      <w:lang w:val="en-US" w:eastAsia="zh-CN" w:bidi="ar-SA"/>
    </w:rPr>
  </w:style>
  <w:style w:type="paragraph" w:customStyle="1" w:styleId="575">
    <w:name w:val="SSEC表字居左 20150323"/>
    <w:link w:val="574"/>
    <w:qFormat/>
    <w:uiPriority w:val="0"/>
    <w:rPr>
      <w:rFonts w:ascii="宋体" w:hAnsi="宋体" w:eastAsia="宋体" w:cs="Times New Roman"/>
      <w:kern w:val="2"/>
      <w:sz w:val="21"/>
      <w:szCs w:val="21"/>
      <w:lang w:val="en-US" w:eastAsia="zh-CN" w:bidi="ar-SA"/>
    </w:rPr>
  </w:style>
  <w:style w:type="character" w:customStyle="1" w:styleId="576">
    <w:name w:val="样式1 Char"/>
    <w:link w:val="339"/>
    <w:uiPriority w:val="0"/>
    <w:rPr>
      <w:rFonts w:ascii="Times New Roman" w:hAnsi="Times New Roman"/>
      <w:kern w:val="2"/>
      <w:sz w:val="28"/>
      <w:szCs w:val="24"/>
    </w:rPr>
  </w:style>
  <w:style w:type="table" w:customStyle="1" w:styleId="577">
    <w:name w:val="Table Normal"/>
    <w:unhideWhenUsed/>
    <w:qFormat/>
    <w:uiPriority w:val="0"/>
    <w:rPr>
      <w:rFonts w:ascii="Times New Roman" w:hAnsi="Times New Roman"/>
    </w:rPr>
    <w:tblPr>
      <w:tblCellMar>
        <w:top w:w="0" w:type="dxa"/>
        <w:left w:w="0" w:type="dxa"/>
        <w:bottom w:w="0" w:type="dxa"/>
        <w:right w:w="0" w:type="dxa"/>
      </w:tblCellMar>
    </w:tblPr>
  </w:style>
  <w:style w:type="table" w:customStyle="1" w:styleId="578">
    <w:name w:val="网格型2"/>
    <w:basedOn w:val="57"/>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79">
    <w:name w:val="样式 样式 首行缩进:  2 字符 + 首行缩进:  2 字符"/>
    <w:basedOn w:val="1"/>
    <w:next w:val="37"/>
    <w:qFormat/>
    <w:uiPriority w:val="0"/>
    <w:pPr>
      <w:topLinePunct w:val="0"/>
      <w:adjustRightInd/>
      <w:snapToGrid w:val="0"/>
      <w:ind w:firstLine="560"/>
    </w:pPr>
    <w:rPr>
      <w:rFonts w:ascii="Times New Roman" w:cs="Times New Roman"/>
      <w:kern w:val="2"/>
      <w:sz w:val="28"/>
    </w:rPr>
  </w:style>
  <w:style w:type="character" w:customStyle="1" w:styleId="580">
    <w:name w:val="样式 Char4 Char Char Char + Times New Roman Char"/>
    <w:link w:val="581"/>
    <w:qFormat/>
    <w:uiPriority w:val="0"/>
    <w:rPr>
      <w:rFonts w:cs="宋体"/>
      <w:kern w:val="2"/>
      <w:sz w:val="24"/>
      <w:szCs w:val="26"/>
    </w:rPr>
  </w:style>
  <w:style w:type="paragraph" w:customStyle="1" w:styleId="581">
    <w:name w:val="样式 Char4 Char Char Char + Times New Roman"/>
    <w:basedOn w:val="582"/>
    <w:link w:val="580"/>
    <w:uiPriority w:val="0"/>
    <w:rPr>
      <w:rFonts w:ascii="Calibri" w:hAnsi="Calibri"/>
    </w:rPr>
  </w:style>
  <w:style w:type="paragraph" w:customStyle="1" w:styleId="582">
    <w:name w:val="Char4 Char Char Char"/>
    <w:basedOn w:val="1"/>
    <w:qFormat/>
    <w:uiPriority w:val="0"/>
    <w:pPr>
      <w:topLinePunct w:val="0"/>
      <w:snapToGrid w:val="0"/>
      <w:spacing w:line="400" w:lineRule="exact"/>
    </w:pPr>
    <w:rPr>
      <w:rFonts w:hAnsi="宋体"/>
      <w:kern w:val="2"/>
      <w:szCs w:val="26"/>
    </w:rPr>
  </w:style>
  <w:style w:type="character" w:customStyle="1" w:styleId="583">
    <w:name w:val="标准样式 Char Char"/>
    <w:qFormat/>
    <w:uiPriority w:val="0"/>
    <w:rPr>
      <w:rFonts w:eastAsia="宋体"/>
      <w:kern w:val="2"/>
      <w:sz w:val="28"/>
      <w:lang w:val="en-US" w:eastAsia="zh-CN" w:bidi="ar-SA"/>
    </w:rPr>
  </w:style>
  <w:style w:type="character" w:customStyle="1" w:styleId="584">
    <w:name w:val="样式105 Char"/>
    <w:link w:val="585"/>
    <w:qFormat/>
    <w:uiPriority w:val="0"/>
    <w:rPr>
      <w:rFonts w:ascii="宋体" w:hAnsi="宋体" w:cs="宋体"/>
      <w:sz w:val="26"/>
      <w:szCs w:val="26"/>
    </w:rPr>
  </w:style>
  <w:style w:type="paragraph" w:customStyle="1" w:styleId="585">
    <w:name w:val="样式105"/>
    <w:basedOn w:val="339"/>
    <w:link w:val="584"/>
    <w:qFormat/>
    <w:uiPriority w:val="0"/>
    <w:pPr>
      <w:widowControl/>
      <w:adjustRightInd w:val="0"/>
      <w:snapToGrid w:val="0"/>
      <w:spacing w:line="460" w:lineRule="exact"/>
      <w:ind w:firstLine="520" w:firstLineChars="200"/>
      <w:jc w:val="left"/>
    </w:pPr>
    <w:rPr>
      <w:rFonts w:ascii="宋体" w:hAnsi="宋体" w:cs="宋体"/>
      <w:kern w:val="0"/>
      <w:sz w:val="26"/>
      <w:szCs w:val="26"/>
    </w:rPr>
  </w:style>
  <w:style w:type="character" w:customStyle="1" w:styleId="586">
    <w:name w:val="fontstyle11"/>
    <w:qFormat/>
    <w:uiPriority w:val="0"/>
    <w:rPr>
      <w:rFonts w:hint="default" w:ascii="Times New Roman" w:hAnsi="Times New Roman" w:cs="Times New Roman"/>
      <w:color w:val="000000"/>
      <w:sz w:val="22"/>
      <w:szCs w:val="22"/>
    </w:rPr>
  </w:style>
  <w:style w:type="character" w:customStyle="1" w:styleId="587">
    <w:name w:val="标准样式 Char1"/>
    <w:link w:val="588"/>
    <w:qFormat/>
    <w:uiPriority w:val="0"/>
    <w:rPr>
      <w:rFonts w:ascii="宋体"/>
      <w:sz w:val="28"/>
    </w:rPr>
  </w:style>
  <w:style w:type="paragraph" w:customStyle="1" w:styleId="588">
    <w:name w:val="标准样式"/>
    <w:link w:val="587"/>
    <w:uiPriority w:val="0"/>
    <w:pPr>
      <w:widowControl w:val="0"/>
      <w:spacing w:line="600" w:lineRule="exact"/>
      <w:ind w:firstLine="567"/>
      <w:jc w:val="both"/>
    </w:pPr>
    <w:rPr>
      <w:rFonts w:ascii="宋体" w:hAnsi="Calibri" w:eastAsia="宋体" w:cs="Times New Roman"/>
      <w:sz w:val="28"/>
      <w:lang w:val="en-US" w:eastAsia="zh-CN" w:bidi="ar-SA"/>
    </w:rPr>
  </w:style>
  <w:style w:type="character" w:customStyle="1" w:styleId="589">
    <w:name w:val="页码1"/>
    <w:basedOn w:val="60"/>
    <w:qFormat/>
    <w:uiPriority w:val="0"/>
  </w:style>
  <w:style w:type="character" w:customStyle="1" w:styleId="590">
    <w:name w:val="三级标题 Char"/>
    <w:qFormat/>
    <w:uiPriority w:val="0"/>
    <w:rPr>
      <w:rFonts w:eastAsia="宋体"/>
      <w:b/>
      <w:kern w:val="2"/>
      <w:sz w:val="26"/>
      <w:szCs w:val="26"/>
      <w:lang w:val="en-US" w:eastAsia="zh-CN" w:bidi="ar-SA"/>
    </w:rPr>
  </w:style>
  <w:style w:type="character" w:customStyle="1" w:styleId="591">
    <w:name w:val="apple-style-span"/>
    <w:basedOn w:val="60"/>
    <w:qFormat/>
    <w:uiPriority w:val="0"/>
  </w:style>
  <w:style w:type="character" w:customStyle="1" w:styleId="592">
    <w:name w:val="正文（首行缩进2字） Char"/>
    <w:link w:val="593"/>
    <w:qFormat/>
    <w:uiPriority w:val="0"/>
    <w:rPr>
      <w:kern w:val="2"/>
      <w:sz w:val="28"/>
      <w:szCs w:val="30"/>
    </w:rPr>
  </w:style>
  <w:style w:type="paragraph" w:customStyle="1" w:styleId="593">
    <w:name w:val="正文（首行缩进2字）"/>
    <w:basedOn w:val="1"/>
    <w:link w:val="592"/>
    <w:uiPriority w:val="0"/>
    <w:pPr>
      <w:topLinePunct w:val="0"/>
      <w:adjustRightInd/>
      <w:spacing w:line="500" w:lineRule="exact"/>
      <w:ind w:firstLine="560"/>
    </w:pPr>
    <w:rPr>
      <w:rFonts w:ascii="Calibri" w:hAnsi="Calibri" w:cs="Times New Roman"/>
      <w:kern w:val="2"/>
      <w:sz w:val="28"/>
      <w:szCs w:val="30"/>
    </w:rPr>
  </w:style>
  <w:style w:type="paragraph" w:customStyle="1" w:styleId="594">
    <w:name w:val="引用1"/>
    <w:basedOn w:val="1"/>
    <w:next w:val="1"/>
    <w:qFormat/>
    <w:uiPriority w:val="0"/>
    <w:pPr>
      <w:topLinePunct w:val="0"/>
      <w:adjustRightInd/>
      <w:spacing w:line="240" w:lineRule="auto"/>
    </w:pPr>
    <w:rPr>
      <w:rFonts w:ascii="Times New Roman" w:cs="Times New Roman"/>
      <w:iCs/>
      <w:color w:val="000000"/>
      <w:kern w:val="2"/>
      <w:sz w:val="22"/>
    </w:rPr>
  </w:style>
  <w:style w:type="character" w:customStyle="1" w:styleId="595">
    <w:name w:val="样式 标题 1 + 段后: 1.5 行 Char"/>
    <w:qFormat/>
    <w:uiPriority w:val="0"/>
    <w:rPr>
      <w:rFonts w:ascii="宋体" w:hAnsi="宋体" w:eastAsia="宋体" w:cs="宋体"/>
      <w:b/>
      <w:bCs/>
      <w:kern w:val="44"/>
      <w:sz w:val="32"/>
      <w:szCs w:val="44"/>
      <w:lang w:val="en-US" w:eastAsia="zh-CN" w:bidi="ar-SA"/>
    </w:rPr>
  </w:style>
  <w:style w:type="character" w:customStyle="1" w:styleId="596">
    <w:name w:val="style81"/>
    <w:uiPriority w:val="0"/>
    <w:rPr>
      <w:sz w:val="20"/>
      <w:szCs w:val="20"/>
    </w:rPr>
  </w:style>
  <w:style w:type="character" w:customStyle="1" w:styleId="597">
    <w:name w:val="表头排版 Char"/>
    <w:link w:val="598"/>
    <w:qFormat/>
    <w:uiPriority w:val="0"/>
    <w:rPr>
      <w:kern w:val="2"/>
      <w:sz w:val="26"/>
      <w:szCs w:val="21"/>
    </w:rPr>
  </w:style>
  <w:style w:type="paragraph" w:customStyle="1" w:styleId="598">
    <w:name w:val="表头排版"/>
    <w:basedOn w:val="1"/>
    <w:link w:val="597"/>
    <w:qFormat/>
    <w:uiPriority w:val="0"/>
    <w:pPr>
      <w:topLinePunct w:val="0"/>
      <w:adjustRightInd/>
      <w:spacing w:line="480" w:lineRule="exact"/>
      <w:jc w:val="right"/>
    </w:pPr>
    <w:rPr>
      <w:rFonts w:ascii="Calibri" w:hAnsi="Calibri" w:cs="Times New Roman"/>
      <w:kern w:val="2"/>
      <w:sz w:val="26"/>
      <w:szCs w:val="21"/>
    </w:rPr>
  </w:style>
  <w:style w:type="character" w:customStyle="1" w:styleId="599">
    <w:name w:val="fontstyle21"/>
    <w:uiPriority w:val="0"/>
    <w:rPr>
      <w:rFonts w:hint="eastAsia" w:ascii="TimesNewRomanPSMT" w:hAnsi="TimesNewRomanPSMT" w:eastAsia="TimesNewRomanPSMT"/>
      <w:color w:val="000000"/>
      <w:sz w:val="24"/>
      <w:szCs w:val="24"/>
    </w:rPr>
  </w:style>
  <w:style w:type="character" w:customStyle="1" w:styleId="600">
    <w:name w:val="style61"/>
    <w:uiPriority w:val="0"/>
    <w:rPr>
      <w:color w:val="333333"/>
      <w:sz w:val="21"/>
      <w:szCs w:val="21"/>
    </w:rPr>
  </w:style>
  <w:style w:type="character" w:customStyle="1" w:styleId="601">
    <w:name w:val="f91"/>
    <w:qFormat/>
    <w:uiPriority w:val="0"/>
    <w:rPr>
      <w:rFonts w:hint="default"/>
      <w:sz w:val="18"/>
      <w:szCs w:val="18"/>
    </w:rPr>
  </w:style>
  <w:style w:type="character" w:customStyle="1" w:styleId="602">
    <w:name w:val="title"/>
    <w:basedOn w:val="60"/>
    <w:semiHidden/>
    <w:uiPriority w:val="0"/>
  </w:style>
  <w:style w:type="character" w:customStyle="1" w:styleId="603">
    <w:name w:val="样式2 Char Char"/>
    <w:qFormat/>
    <w:uiPriority w:val="0"/>
    <w:rPr>
      <w:rFonts w:ascii="黑体" w:hAnsi="宋体" w:eastAsia="黑体"/>
      <w:b/>
      <w:kern w:val="2"/>
      <w:sz w:val="28"/>
      <w:szCs w:val="28"/>
      <w:lang w:val="en-US" w:eastAsia="zh-CN" w:bidi="ar-SA"/>
    </w:rPr>
  </w:style>
  <w:style w:type="character" w:customStyle="1" w:styleId="604">
    <w:name w:val="样式92 Char"/>
    <w:link w:val="605"/>
    <w:qFormat/>
    <w:uiPriority w:val="0"/>
    <w:rPr>
      <w:rFonts w:cs="宋体"/>
      <w:sz w:val="26"/>
      <w:szCs w:val="26"/>
    </w:rPr>
  </w:style>
  <w:style w:type="paragraph" w:customStyle="1" w:styleId="605">
    <w:name w:val="样式92"/>
    <w:basedOn w:val="1"/>
    <w:link w:val="604"/>
    <w:qFormat/>
    <w:uiPriority w:val="0"/>
    <w:pPr>
      <w:widowControl/>
      <w:topLinePunct w:val="0"/>
      <w:snapToGrid w:val="0"/>
      <w:spacing w:line="460" w:lineRule="exact"/>
      <w:ind w:firstLine="567" w:firstLineChars="218"/>
      <w:jc w:val="left"/>
    </w:pPr>
    <w:rPr>
      <w:rFonts w:ascii="Calibri" w:hAnsi="Calibri"/>
      <w:sz w:val="26"/>
      <w:szCs w:val="26"/>
    </w:rPr>
  </w:style>
  <w:style w:type="character" w:customStyle="1" w:styleId="606">
    <w:name w:val="txtbreak"/>
    <w:basedOn w:val="60"/>
    <w:qFormat/>
    <w:uiPriority w:val="0"/>
  </w:style>
  <w:style w:type="character" w:customStyle="1" w:styleId="607">
    <w:name w:val="UserStyle_0"/>
    <w:qFormat/>
    <w:uiPriority w:val="0"/>
    <w:rPr>
      <w:rFonts w:ascii="宋体" w:hAnsi="宋体" w:eastAsia="宋体"/>
      <w:color w:val="000000"/>
      <w:sz w:val="24"/>
      <w:szCs w:val="24"/>
      <w:vertAlign w:val="superscript"/>
    </w:rPr>
  </w:style>
  <w:style w:type="character" w:customStyle="1" w:styleId="608">
    <w:name w:val="样式2 Char"/>
    <w:link w:val="369"/>
    <w:uiPriority w:val="0"/>
    <w:rPr>
      <w:rFonts w:ascii="Times New Roman" w:hAnsi="Times New Roman"/>
      <w:color w:val="000000"/>
      <w:sz w:val="28"/>
    </w:rPr>
  </w:style>
  <w:style w:type="paragraph" w:customStyle="1" w:styleId="609">
    <w:name w:val="样式 标题 2标题节标题 2 Char Char + 段前: 2 行"/>
    <w:basedOn w:val="3"/>
    <w:next w:val="1"/>
    <w:qFormat/>
    <w:uiPriority w:val="0"/>
    <w:pPr>
      <w:topLinePunct w:val="0"/>
      <w:snapToGrid w:val="0"/>
      <w:spacing w:beforeLines="50" w:line="460" w:lineRule="exact"/>
      <w:ind w:firstLine="200" w:firstLineChars="200"/>
    </w:pPr>
    <w:rPr>
      <w:rFonts w:hAnsi="Arial" w:eastAsia="黑体" w:cs="Times New Roman"/>
      <w:bCs w:val="0"/>
      <w:kern w:val="2"/>
      <w:sz w:val="26"/>
      <w:szCs w:val="20"/>
    </w:rPr>
  </w:style>
  <w:style w:type="character" w:customStyle="1" w:styleId="610">
    <w:name w:val="排版正文 Char"/>
    <w:uiPriority w:val="0"/>
    <w:rPr>
      <w:szCs w:val="24"/>
    </w:rPr>
  </w:style>
  <w:style w:type="character" w:customStyle="1" w:styleId="611">
    <w:name w:val="表头 Char1"/>
    <w:uiPriority w:val="0"/>
    <w:rPr>
      <w:rFonts w:eastAsia="宋体"/>
      <w:spacing w:val="2"/>
      <w:kern w:val="2"/>
      <w:sz w:val="26"/>
      <w:szCs w:val="26"/>
      <w:lang w:val="en-US" w:eastAsia="zh-CN" w:bidi="ar-SA"/>
    </w:rPr>
  </w:style>
  <w:style w:type="character" w:customStyle="1" w:styleId="612">
    <w:name w:val="t141"/>
    <w:qFormat/>
    <w:uiPriority w:val="0"/>
    <w:rPr>
      <w:rFonts w:hint="default" w:ascii="ˎ̥" w:hAnsi="ˎ̥"/>
      <w:sz w:val="21"/>
      <w:szCs w:val="21"/>
    </w:rPr>
  </w:style>
  <w:style w:type="character" w:customStyle="1" w:styleId="613">
    <w:name w:val="标准样式1 Char"/>
    <w:link w:val="614"/>
    <w:qFormat/>
    <w:uiPriority w:val="0"/>
    <w:rPr>
      <w:rFonts w:ascii="宋体" w:hAnsi="宋体"/>
      <w:bCs/>
      <w:kern w:val="2"/>
      <w:sz w:val="28"/>
      <w:szCs w:val="24"/>
    </w:rPr>
  </w:style>
  <w:style w:type="paragraph" w:customStyle="1" w:styleId="614">
    <w:name w:val="标准样式1"/>
    <w:basedOn w:val="1"/>
    <w:link w:val="613"/>
    <w:qFormat/>
    <w:uiPriority w:val="0"/>
    <w:pPr>
      <w:topLinePunct w:val="0"/>
      <w:adjustRightInd/>
      <w:spacing w:line="600" w:lineRule="exact"/>
      <w:ind w:firstLine="150" w:firstLineChars="150"/>
    </w:pPr>
    <w:rPr>
      <w:rFonts w:hAnsi="宋体" w:cs="Times New Roman"/>
      <w:bCs/>
      <w:kern w:val="2"/>
      <w:sz w:val="28"/>
    </w:rPr>
  </w:style>
  <w:style w:type="character" w:customStyle="1" w:styleId="615">
    <w:name w:val="title10"/>
    <w:basedOn w:val="60"/>
    <w:qFormat/>
    <w:uiPriority w:val="0"/>
  </w:style>
  <w:style w:type="character" w:customStyle="1" w:styleId="616">
    <w:name w:val="表文字 Char"/>
    <w:link w:val="311"/>
    <w:qFormat/>
    <w:uiPriority w:val="0"/>
    <w:rPr>
      <w:snapToGrid w:val="0"/>
      <w:sz w:val="24"/>
      <w:szCs w:val="21"/>
    </w:rPr>
  </w:style>
  <w:style w:type="character" w:customStyle="1" w:styleId="617">
    <w:name w:val="环评证文 Char"/>
    <w:link w:val="618"/>
    <w:qFormat/>
    <w:uiPriority w:val="0"/>
    <w:rPr>
      <w:rFonts w:ascii="宋体" w:hAnsi="宋体"/>
      <w:color w:val="000000"/>
      <w:kern w:val="2"/>
      <w:sz w:val="24"/>
      <w:szCs w:val="24"/>
    </w:rPr>
  </w:style>
  <w:style w:type="paragraph" w:customStyle="1" w:styleId="618">
    <w:name w:val="环评证文"/>
    <w:basedOn w:val="1"/>
    <w:link w:val="617"/>
    <w:qFormat/>
    <w:uiPriority w:val="0"/>
    <w:pPr>
      <w:topLinePunct w:val="0"/>
      <w:adjustRightInd/>
      <w:spacing w:line="440" w:lineRule="exact"/>
      <w:ind w:firstLine="480"/>
    </w:pPr>
    <w:rPr>
      <w:rFonts w:hAnsi="宋体" w:cs="Times New Roman"/>
      <w:color w:val="000000"/>
      <w:kern w:val="2"/>
    </w:rPr>
  </w:style>
  <w:style w:type="character" w:customStyle="1" w:styleId="619">
    <w:name w:val="环评正文 Char"/>
    <w:link w:val="620"/>
    <w:uiPriority w:val="0"/>
    <w:rPr>
      <w:rFonts w:ascii="宋体" w:hAnsi="宋体"/>
      <w:color w:val="000000"/>
      <w:kern w:val="2"/>
      <w:sz w:val="24"/>
      <w:szCs w:val="24"/>
    </w:rPr>
  </w:style>
  <w:style w:type="paragraph" w:customStyle="1" w:styleId="620">
    <w:name w:val="环评正文"/>
    <w:basedOn w:val="1"/>
    <w:link w:val="619"/>
    <w:qFormat/>
    <w:uiPriority w:val="0"/>
    <w:pPr>
      <w:topLinePunct w:val="0"/>
      <w:snapToGrid w:val="0"/>
      <w:spacing w:line="440" w:lineRule="exact"/>
    </w:pPr>
    <w:rPr>
      <w:rFonts w:hAnsi="宋体" w:cs="Times New Roman"/>
      <w:color w:val="000000"/>
      <w:kern w:val="2"/>
    </w:rPr>
  </w:style>
  <w:style w:type="character" w:customStyle="1" w:styleId="621">
    <w:name w:val="样式5 Char Char"/>
    <w:qFormat/>
    <w:uiPriority w:val="0"/>
    <w:rPr>
      <w:rFonts w:eastAsia="宋体"/>
      <w:color w:val="FF0000"/>
      <w:kern w:val="2"/>
      <w:sz w:val="24"/>
      <w:lang w:val="en-US" w:eastAsia="zh-CN" w:bidi="ar-SA"/>
    </w:rPr>
  </w:style>
  <w:style w:type="character" w:customStyle="1" w:styleId="622">
    <w:name w:val="NormalCharacter"/>
    <w:semiHidden/>
    <w:qFormat/>
    <w:uiPriority w:val="0"/>
  </w:style>
  <w:style w:type="character" w:customStyle="1" w:styleId="623">
    <w:name w:val="表内字 Char Char"/>
    <w:link w:val="624"/>
    <w:qFormat/>
    <w:uiPriority w:val="0"/>
    <w:rPr>
      <w:rFonts w:ascii="Tahoma" w:hAnsi="Tahoma"/>
      <w:sz w:val="21"/>
      <w:szCs w:val="21"/>
    </w:rPr>
  </w:style>
  <w:style w:type="paragraph" w:customStyle="1" w:styleId="624">
    <w:name w:val="表内字"/>
    <w:basedOn w:val="42"/>
    <w:link w:val="623"/>
    <w:qFormat/>
    <w:uiPriority w:val="0"/>
    <w:pPr>
      <w:autoSpaceDE w:val="0"/>
      <w:autoSpaceDN w:val="0"/>
      <w:adjustRightInd w:val="0"/>
      <w:snapToGrid w:val="0"/>
      <w:ind w:left="0" w:firstLine="0" w:firstLineChars="0"/>
      <w:jc w:val="center"/>
    </w:pPr>
    <w:rPr>
      <w:rFonts w:ascii="Tahoma" w:hAnsi="Tahoma"/>
      <w:kern w:val="0"/>
      <w:szCs w:val="21"/>
    </w:rPr>
  </w:style>
  <w:style w:type="character" w:customStyle="1" w:styleId="625">
    <w:name w:val="fontstyle01"/>
    <w:uiPriority w:val="0"/>
    <w:rPr>
      <w:rFonts w:hint="eastAsia" w:ascii="宋体" w:hAnsi="宋体" w:eastAsia="宋体"/>
      <w:color w:val="000000"/>
      <w:sz w:val="24"/>
      <w:szCs w:val="24"/>
    </w:rPr>
  </w:style>
  <w:style w:type="character" w:customStyle="1" w:styleId="626">
    <w:name w:val="表号 Char"/>
    <w:link w:val="627"/>
    <w:semiHidden/>
    <w:locked/>
    <w:uiPriority w:val="0"/>
    <w:rPr>
      <w:sz w:val="24"/>
      <w:szCs w:val="24"/>
    </w:rPr>
  </w:style>
  <w:style w:type="paragraph" w:customStyle="1" w:styleId="627">
    <w:name w:val="表号"/>
    <w:link w:val="626"/>
    <w:semiHidden/>
    <w:qFormat/>
    <w:uiPriority w:val="0"/>
    <w:pPr>
      <w:adjustRightInd w:val="0"/>
      <w:snapToGrid w:val="0"/>
      <w:jc w:val="both"/>
      <w:outlineLvl w:val="4"/>
    </w:pPr>
    <w:rPr>
      <w:rFonts w:ascii="Calibri" w:hAnsi="Calibri" w:eastAsia="宋体" w:cs="Times New Roman"/>
      <w:sz w:val="24"/>
      <w:szCs w:val="24"/>
      <w:lang w:val="en-US" w:eastAsia="zh-CN" w:bidi="ar-SA"/>
    </w:rPr>
  </w:style>
  <w:style w:type="character" w:customStyle="1" w:styleId="628">
    <w:name w:val="标准样式 Char"/>
    <w:uiPriority w:val="0"/>
    <w:rPr>
      <w:rFonts w:ascii="宋体" w:eastAsia="宋体"/>
      <w:sz w:val="28"/>
      <w:szCs w:val="28"/>
      <w:lang w:val="en-US" w:eastAsia="zh-CN" w:bidi="ar-SA"/>
    </w:rPr>
  </w:style>
  <w:style w:type="character" w:customStyle="1" w:styleId="629">
    <w:name w:val="样式115 Char"/>
    <w:link w:val="630"/>
    <w:qFormat/>
    <w:uiPriority w:val="0"/>
    <w:rPr>
      <w:rFonts w:cs="宋体"/>
      <w:sz w:val="26"/>
      <w:szCs w:val="26"/>
    </w:rPr>
  </w:style>
  <w:style w:type="paragraph" w:customStyle="1" w:styleId="630">
    <w:name w:val="样式115"/>
    <w:basedOn w:val="1"/>
    <w:link w:val="629"/>
    <w:qFormat/>
    <w:uiPriority w:val="0"/>
    <w:pPr>
      <w:widowControl/>
      <w:topLinePunct w:val="0"/>
      <w:snapToGrid w:val="0"/>
      <w:spacing w:line="460" w:lineRule="exact"/>
      <w:ind w:firstLine="567" w:firstLineChars="218"/>
      <w:jc w:val="left"/>
    </w:pPr>
    <w:rPr>
      <w:rFonts w:ascii="Calibri" w:hAnsi="Calibri"/>
      <w:sz w:val="26"/>
      <w:szCs w:val="26"/>
    </w:rPr>
  </w:style>
  <w:style w:type="character" w:customStyle="1" w:styleId="631">
    <w:name w:val="样式 13 磅 行距: 固定值 23 磅 Char"/>
    <w:qFormat/>
    <w:uiPriority w:val="0"/>
    <w:rPr>
      <w:rFonts w:eastAsia="宋体" w:cs="宋体"/>
      <w:kern w:val="2"/>
      <w:sz w:val="26"/>
      <w:lang w:val="en-US" w:eastAsia="zh-CN" w:bidi="ar-SA"/>
    </w:rPr>
  </w:style>
  <w:style w:type="character" w:customStyle="1" w:styleId="632">
    <w:name w:val="样式 表头 + 小四 Char"/>
    <w:link w:val="633"/>
    <w:qFormat/>
    <w:uiPriority w:val="0"/>
    <w:rPr>
      <w:b/>
      <w:bCs/>
      <w:spacing w:val="2"/>
      <w:kern w:val="2"/>
      <w:sz w:val="24"/>
      <w:szCs w:val="24"/>
    </w:rPr>
  </w:style>
  <w:style w:type="paragraph" w:customStyle="1" w:styleId="633">
    <w:name w:val="样式 表头 + 小四"/>
    <w:link w:val="632"/>
    <w:qFormat/>
    <w:uiPriority w:val="0"/>
    <w:pPr>
      <w:tabs>
        <w:tab w:val="left" w:pos="2040"/>
      </w:tabs>
      <w:spacing w:beforeLines="50" w:afterLines="50"/>
      <w:ind w:firstLine="420"/>
      <w:jc w:val="center"/>
    </w:pPr>
    <w:rPr>
      <w:rFonts w:ascii="Calibri" w:hAnsi="Calibri" w:eastAsia="宋体" w:cs="Times New Roman"/>
      <w:b/>
      <w:bCs/>
      <w:spacing w:val="2"/>
      <w:kern w:val="2"/>
      <w:lang w:val="en-US" w:eastAsia="zh-CN" w:bidi="ar-SA"/>
    </w:rPr>
  </w:style>
  <w:style w:type="character" w:customStyle="1" w:styleId="634">
    <w:name w:val="样式18 Char Char"/>
    <w:uiPriority w:val="0"/>
    <w:rPr>
      <w:sz w:val="26"/>
      <w:szCs w:val="26"/>
    </w:rPr>
  </w:style>
  <w:style w:type="character" w:customStyle="1" w:styleId="635">
    <w:name w:val="样式 四号"/>
    <w:qFormat/>
    <w:uiPriority w:val="0"/>
    <w:rPr>
      <w:rFonts w:eastAsia="仿宋_GB2312"/>
      <w:sz w:val="28"/>
    </w:rPr>
  </w:style>
  <w:style w:type="character" w:customStyle="1" w:styleId="636">
    <w:name w:val="txt1"/>
    <w:qFormat/>
    <w:uiPriority w:val="0"/>
    <w:rPr>
      <w:spacing w:val="60"/>
      <w:sz w:val="14"/>
      <w:szCs w:val="14"/>
    </w:rPr>
  </w:style>
  <w:style w:type="character" w:customStyle="1" w:styleId="637">
    <w:name w:val="fontstyle31"/>
    <w:qFormat/>
    <w:uiPriority w:val="0"/>
    <w:rPr>
      <w:rFonts w:hint="default" w:ascii="Times New Roman" w:hAnsi="Times New Roman" w:cs="Times New Roman"/>
      <w:b/>
      <w:bCs/>
      <w:color w:val="000000"/>
      <w:sz w:val="24"/>
      <w:szCs w:val="24"/>
    </w:rPr>
  </w:style>
  <w:style w:type="character" w:customStyle="1" w:styleId="638">
    <w:name w:val="表头 Char"/>
    <w:uiPriority w:val="0"/>
    <w:rPr>
      <w:rFonts w:eastAsia="宋体"/>
      <w:spacing w:val="2"/>
      <w:kern w:val="2"/>
      <w:sz w:val="26"/>
      <w:szCs w:val="26"/>
      <w:lang w:val="en-US" w:eastAsia="zh-CN" w:bidi="ar-SA"/>
    </w:rPr>
  </w:style>
  <w:style w:type="character" w:customStyle="1" w:styleId="639">
    <w:name w:val="câ-¹"/>
    <w:basedOn w:val="60"/>
    <w:qFormat/>
    <w:uiPriority w:val="0"/>
  </w:style>
  <w:style w:type="character" w:customStyle="1" w:styleId="640">
    <w:name w:val="样式 13 磅 行距: 固定值 23 磅 Char1"/>
    <w:uiPriority w:val="0"/>
    <w:rPr>
      <w:rFonts w:eastAsia="宋体" w:cs="宋体"/>
      <w:kern w:val="2"/>
      <w:sz w:val="26"/>
      <w:lang w:val="en-US" w:eastAsia="zh-CN" w:bidi="ar-SA"/>
    </w:rPr>
  </w:style>
  <w:style w:type="character" w:customStyle="1" w:styleId="641">
    <w:name w:val="标题1"/>
    <w:basedOn w:val="60"/>
    <w:qFormat/>
    <w:uiPriority w:val="0"/>
  </w:style>
  <w:style w:type="character" w:customStyle="1" w:styleId="642">
    <w:name w:val="样式5 Char"/>
    <w:qFormat/>
    <w:uiPriority w:val="0"/>
    <w:rPr>
      <w:rFonts w:eastAsia="宋体"/>
      <w:kern w:val="2"/>
      <w:sz w:val="24"/>
      <w:lang w:val="en-US" w:eastAsia="zh-CN" w:bidi="ar-SA"/>
    </w:rPr>
  </w:style>
  <w:style w:type="character" w:customStyle="1" w:styleId="643">
    <w:name w:val="环评证文 Char Char Char"/>
    <w:qFormat/>
    <w:uiPriority w:val="0"/>
    <w:rPr>
      <w:rFonts w:ascii="宋体" w:hAnsi="宋体" w:eastAsia="宋体"/>
      <w:color w:val="000000"/>
      <w:kern w:val="2"/>
      <w:sz w:val="24"/>
      <w:szCs w:val="24"/>
      <w:lang w:val="en-US" w:eastAsia="zh-CN" w:bidi="ar-SA"/>
    </w:rPr>
  </w:style>
  <w:style w:type="character" w:customStyle="1" w:styleId="644">
    <w:name w:val="zhou11"/>
    <w:uiPriority w:val="0"/>
    <w:rPr>
      <w:color w:val="000000"/>
      <w:sz w:val="21"/>
      <w:szCs w:val="21"/>
    </w:rPr>
  </w:style>
  <w:style w:type="character" w:customStyle="1" w:styleId="645">
    <w:name w:val="样式 样式 Char4 Char Char Char + Times New Roman + (符号) 宋体 Char"/>
    <w:link w:val="646"/>
    <w:qFormat/>
    <w:uiPriority w:val="0"/>
    <w:rPr>
      <w:rFonts w:cs="宋体"/>
      <w:kern w:val="2"/>
      <w:sz w:val="24"/>
      <w:szCs w:val="26"/>
    </w:rPr>
  </w:style>
  <w:style w:type="paragraph" w:customStyle="1" w:styleId="646">
    <w:name w:val="样式 样式 Char4 Char Char Char + Times New Roman + (符号) 宋体"/>
    <w:basedOn w:val="1"/>
    <w:link w:val="645"/>
    <w:qFormat/>
    <w:uiPriority w:val="0"/>
    <w:pPr>
      <w:topLinePunct w:val="0"/>
      <w:snapToGrid w:val="0"/>
      <w:spacing w:line="400" w:lineRule="exact"/>
      <w:ind w:firstLine="480"/>
    </w:pPr>
    <w:rPr>
      <w:rFonts w:ascii="Calibri" w:hAnsi="Calibri"/>
      <w:kern w:val="2"/>
      <w:szCs w:val="26"/>
    </w:rPr>
  </w:style>
  <w:style w:type="character" w:customStyle="1" w:styleId="647">
    <w:name w:val="content3"/>
    <w:basedOn w:val="60"/>
    <w:qFormat/>
    <w:uiPriority w:val="0"/>
  </w:style>
  <w:style w:type="character" w:customStyle="1" w:styleId="648">
    <w:name w:val="普通文字 Char1"/>
    <w:uiPriority w:val="0"/>
    <w:rPr>
      <w:rFonts w:ascii="宋体" w:hAnsi="Courier New" w:eastAsia="宋体"/>
      <w:kern w:val="2"/>
      <w:sz w:val="21"/>
      <w:lang w:val="en-US" w:eastAsia="zh-CN" w:bidi="ar-SA"/>
    </w:rPr>
  </w:style>
  <w:style w:type="character" w:customStyle="1" w:styleId="649">
    <w:name w:val="apple-converted-space"/>
    <w:basedOn w:val="60"/>
    <w:qFormat/>
    <w:uiPriority w:val="0"/>
  </w:style>
  <w:style w:type="character" w:customStyle="1" w:styleId="650">
    <w:name w:val="样式18 Char"/>
    <w:link w:val="651"/>
    <w:qFormat/>
    <w:uiPriority w:val="0"/>
    <w:rPr>
      <w:sz w:val="26"/>
      <w:szCs w:val="26"/>
    </w:rPr>
  </w:style>
  <w:style w:type="paragraph" w:customStyle="1" w:styleId="651">
    <w:name w:val="样式18"/>
    <w:basedOn w:val="630"/>
    <w:link w:val="650"/>
    <w:uiPriority w:val="0"/>
    <w:rPr>
      <w:rFonts w:cs="Times New Roman"/>
    </w:rPr>
  </w:style>
  <w:style w:type="character" w:customStyle="1" w:styleId="652">
    <w:name w:val="样式4 Char"/>
    <w:link w:val="348"/>
    <w:uiPriority w:val="0"/>
    <w:rPr>
      <w:rFonts w:ascii="宋体" w:hAnsi="宋体"/>
      <w:sz w:val="24"/>
    </w:rPr>
  </w:style>
  <w:style w:type="character" w:customStyle="1" w:styleId="653">
    <w:name w:val="share Char"/>
    <w:link w:val="654"/>
    <w:qFormat/>
    <w:uiPriority w:val="0"/>
    <w:rPr>
      <w:b/>
      <w:kern w:val="2"/>
      <w:sz w:val="24"/>
      <w:szCs w:val="24"/>
    </w:rPr>
  </w:style>
  <w:style w:type="paragraph" w:customStyle="1" w:styleId="654">
    <w:name w:val="share"/>
    <w:basedOn w:val="1"/>
    <w:link w:val="653"/>
    <w:qFormat/>
    <w:uiPriority w:val="0"/>
    <w:pPr>
      <w:topLinePunct w:val="0"/>
      <w:adjustRightInd/>
      <w:spacing w:line="400" w:lineRule="exact"/>
      <w:ind w:firstLine="482"/>
    </w:pPr>
    <w:rPr>
      <w:rFonts w:ascii="Calibri" w:hAnsi="Calibri" w:cs="Times New Roman"/>
      <w:b/>
      <w:kern w:val="2"/>
    </w:rPr>
  </w:style>
  <w:style w:type="character" w:customStyle="1" w:styleId="655">
    <w:name w:val="正文 首行缩进:  2 字符 Char"/>
    <w:link w:val="656"/>
    <w:qFormat/>
    <w:uiPriority w:val="0"/>
    <w:rPr>
      <w:kern w:val="2"/>
      <w:sz w:val="28"/>
    </w:rPr>
  </w:style>
  <w:style w:type="paragraph" w:customStyle="1" w:styleId="656">
    <w:name w:val="正文 首行缩进:  2 字符"/>
    <w:basedOn w:val="1"/>
    <w:link w:val="655"/>
    <w:qFormat/>
    <w:uiPriority w:val="0"/>
    <w:pPr>
      <w:topLinePunct w:val="0"/>
      <w:adjustRightInd/>
      <w:spacing w:line="240" w:lineRule="auto"/>
      <w:ind w:firstLine="579"/>
    </w:pPr>
    <w:rPr>
      <w:rFonts w:ascii="Calibri" w:hAnsi="Calibri" w:cs="Times New Roman"/>
      <w:kern w:val="2"/>
      <w:sz w:val="28"/>
      <w:szCs w:val="20"/>
    </w:rPr>
  </w:style>
  <w:style w:type="character" w:customStyle="1" w:styleId="657">
    <w:name w:val="纯文本 Char2"/>
    <w:uiPriority w:val="0"/>
    <w:rPr>
      <w:rFonts w:ascii="宋体" w:hAnsi="Courier New" w:eastAsia="宋体"/>
      <w:kern w:val="2"/>
      <w:sz w:val="24"/>
      <w:lang w:val="en-US" w:eastAsia="zh-CN" w:bidi="ar-SA"/>
    </w:rPr>
  </w:style>
  <w:style w:type="character" w:customStyle="1" w:styleId="658">
    <w:name w:val="正文文字 Char Char"/>
    <w:qFormat/>
    <w:uiPriority w:val="0"/>
    <w:rPr>
      <w:rFonts w:eastAsia="宋体"/>
      <w:kern w:val="2"/>
      <w:sz w:val="26"/>
      <w:szCs w:val="26"/>
      <w:lang w:val="en-US" w:eastAsia="zh-CN" w:bidi="ar-SA"/>
    </w:rPr>
  </w:style>
  <w:style w:type="character" w:customStyle="1" w:styleId="659">
    <w:name w:val="font21"/>
    <w:basedOn w:val="60"/>
    <w:qFormat/>
    <w:uiPriority w:val="0"/>
    <w:rPr>
      <w:rFonts w:hint="default" w:ascii="Times New Roman" w:hAnsi="Times New Roman" w:cs="Times New Roman"/>
      <w:color w:val="000000"/>
      <w:sz w:val="18"/>
      <w:szCs w:val="18"/>
      <w:u w:val="none"/>
    </w:rPr>
  </w:style>
  <w:style w:type="character" w:customStyle="1" w:styleId="660">
    <w:name w:val="样式20 Char"/>
    <w:link w:val="661"/>
    <w:uiPriority w:val="0"/>
    <w:rPr>
      <w:sz w:val="26"/>
      <w:szCs w:val="26"/>
    </w:rPr>
  </w:style>
  <w:style w:type="paragraph" w:customStyle="1" w:styleId="661">
    <w:name w:val="样式20"/>
    <w:basedOn w:val="1"/>
    <w:link w:val="660"/>
    <w:uiPriority w:val="0"/>
    <w:pPr>
      <w:keepNext/>
      <w:widowControl/>
      <w:tabs>
        <w:tab w:val="left" w:pos="630"/>
      </w:tabs>
      <w:topLinePunct w:val="0"/>
      <w:adjustRightInd/>
      <w:spacing w:line="460" w:lineRule="exact"/>
      <w:ind w:firstLine="0" w:firstLineChars="0"/>
      <w:jc w:val="center"/>
      <w:outlineLvl w:val="5"/>
    </w:pPr>
    <w:rPr>
      <w:rFonts w:ascii="Calibri" w:hAnsi="Calibri" w:cs="Times New Roman"/>
      <w:sz w:val="26"/>
      <w:szCs w:val="26"/>
    </w:rPr>
  </w:style>
  <w:style w:type="paragraph" w:customStyle="1" w:styleId="662">
    <w:name w:val="章"/>
    <w:basedOn w:val="663"/>
    <w:next w:val="339"/>
    <w:qFormat/>
    <w:uiPriority w:val="0"/>
    <w:pPr>
      <w:tabs>
        <w:tab w:val="left" w:pos="2160"/>
      </w:tabs>
      <w:spacing w:beforeLines="0" w:afterLines="0" w:line="360" w:lineRule="auto"/>
    </w:pPr>
    <w:rPr>
      <w:rFonts w:hAnsi="宋体" w:cs="Times New Roman"/>
      <w:bCs w:val="0"/>
      <w:szCs w:val="32"/>
    </w:rPr>
  </w:style>
  <w:style w:type="paragraph" w:customStyle="1" w:styleId="663">
    <w:name w:val="样式 标题 1 + 段后: 1.5 行"/>
    <w:basedOn w:val="2"/>
    <w:uiPriority w:val="0"/>
    <w:pPr>
      <w:tabs>
        <w:tab w:val="left" w:pos="2160"/>
      </w:tabs>
      <w:topLinePunct w:val="0"/>
      <w:snapToGrid w:val="0"/>
      <w:spacing w:beforeLines="100" w:beforeAutospacing="0" w:afterLines="100" w:afterAutospacing="0" w:line="460" w:lineRule="exact"/>
      <w:jc w:val="center"/>
    </w:pPr>
    <w:rPr>
      <w:rFonts w:ascii="黑体" w:hAnsi="Arial" w:eastAsia="黑体" w:cs="Arial"/>
      <w:bCs/>
      <w:szCs w:val="20"/>
    </w:rPr>
  </w:style>
  <w:style w:type="paragraph" w:customStyle="1" w:styleId="664">
    <w:name w:val="中文报告书样式"/>
    <w:basedOn w:val="1"/>
    <w:qFormat/>
    <w:uiPriority w:val="0"/>
    <w:pPr>
      <w:topLinePunct w:val="0"/>
      <w:spacing w:line="480" w:lineRule="atLeast"/>
      <w:ind w:firstLine="482" w:firstLineChars="0"/>
      <w:textAlignment w:val="baseline"/>
    </w:pPr>
    <w:rPr>
      <w:rFonts w:ascii="Times New Roman" w:cs="Times New Roman"/>
      <w:kern w:val="24"/>
      <w:szCs w:val="20"/>
    </w:rPr>
  </w:style>
  <w:style w:type="paragraph" w:customStyle="1" w:styleId="665">
    <w:name w:val="Char Char Char Char Char Char Char Char Char Char Char Char Char Char Char Char"/>
    <w:basedOn w:val="1"/>
    <w:next w:val="1"/>
    <w:qFormat/>
    <w:uiPriority w:val="0"/>
    <w:pPr>
      <w:topLinePunct w:val="0"/>
      <w:adjustRightInd/>
    </w:pPr>
    <w:rPr>
      <w:rFonts w:ascii="Times New Roman" w:cs="Times New Roman"/>
      <w:kern w:val="2"/>
      <w:sz w:val="21"/>
    </w:rPr>
  </w:style>
  <w:style w:type="paragraph" w:customStyle="1" w:styleId="666">
    <w:name w:val="排版正文"/>
    <w:basedOn w:val="1"/>
    <w:uiPriority w:val="0"/>
    <w:pPr>
      <w:topLinePunct w:val="0"/>
      <w:snapToGrid w:val="0"/>
      <w:spacing w:line="460" w:lineRule="exact"/>
      <w:ind w:firstLine="560"/>
    </w:pPr>
    <w:rPr>
      <w:rFonts w:ascii="Times New Roman" w:cs="Times New Roman"/>
      <w:color w:val="000000"/>
      <w:kern w:val="2"/>
      <w:sz w:val="28"/>
    </w:rPr>
  </w:style>
  <w:style w:type="paragraph" w:customStyle="1" w:styleId="667">
    <w:name w:val="样式 标题 2节 + (西文) 宋体 (中文) 宋体 小四 段前: 0 磅 段后: 0 磅 行距: 1.5 倍行距"/>
    <w:basedOn w:val="3"/>
    <w:uiPriority w:val="0"/>
    <w:pPr>
      <w:topLinePunct w:val="0"/>
      <w:adjustRightInd/>
      <w:spacing w:before="0" w:line="480" w:lineRule="exact"/>
    </w:pPr>
    <w:rPr>
      <w:rFonts w:ascii="黑体" w:hAnsi="宋体" w:eastAsia="黑体"/>
      <w:kern w:val="2"/>
      <w:szCs w:val="28"/>
    </w:rPr>
  </w:style>
  <w:style w:type="paragraph" w:customStyle="1" w:styleId="668">
    <w:name w:val="4 Char Char Char Char Char Char Char Char Char Char Char Char Char Char Char Char Char Char"/>
    <w:basedOn w:val="1"/>
    <w:semiHidden/>
    <w:qFormat/>
    <w:uiPriority w:val="0"/>
    <w:pPr>
      <w:topLinePunct w:val="0"/>
      <w:snapToGrid w:val="0"/>
    </w:pPr>
    <w:rPr>
      <w:rFonts w:hAnsi="宋体"/>
      <w:kern w:val="2"/>
      <w:sz w:val="30"/>
      <w:szCs w:val="30"/>
    </w:rPr>
  </w:style>
  <w:style w:type="paragraph" w:customStyle="1" w:styleId="669">
    <w:name w:val="样式 标题 2节 + (西文) 宋体 (中文) 宋体 四号 段前: 0 磅 段后: 0 磅 行距: 固定值 25 磅"/>
    <w:basedOn w:val="3"/>
    <w:uiPriority w:val="0"/>
    <w:pPr>
      <w:topLinePunct w:val="0"/>
      <w:adjustRightInd/>
      <w:spacing w:before="0" w:line="480" w:lineRule="exact"/>
    </w:pPr>
    <w:rPr>
      <w:rFonts w:ascii="宋体" w:hAnsi="宋体" w:eastAsia="黑体"/>
      <w:kern w:val="2"/>
      <w:szCs w:val="28"/>
    </w:rPr>
  </w:style>
  <w:style w:type="paragraph" w:customStyle="1" w:styleId="670">
    <w:name w:val="样式 正文缩进首行缩进两字特点 Char正文缩进 Char正文（首行缩进两字） Char正文（首行缩进两字） Char..."/>
    <w:basedOn w:val="1"/>
    <w:uiPriority w:val="0"/>
    <w:pPr>
      <w:topLinePunct w:val="0"/>
      <w:adjustRightInd/>
      <w:ind w:firstLine="480"/>
    </w:pPr>
    <w:rPr>
      <w:rFonts w:ascii="Times New Roman" w:cs="Times New Roman"/>
      <w:kern w:val="2"/>
    </w:rPr>
  </w:style>
  <w:style w:type="paragraph" w:customStyle="1" w:styleId="671">
    <w:name w:val="Heading1"/>
    <w:basedOn w:val="1"/>
    <w:next w:val="1"/>
    <w:qFormat/>
    <w:uiPriority w:val="0"/>
    <w:pPr>
      <w:keepNext/>
      <w:keepLines/>
      <w:tabs>
        <w:tab w:val="left" w:pos="1230"/>
      </w:tabs>
      <w:topLinePunct w:val="0"/>
      <w:adjustRightInd/>
      <w:spacing w:before="240" w:after="120" w:line="240" w:lineRule="auto"/>
      <w:ind w:left="1230" w:hanging="1230" w:firstLineChars="0"/>
      <w:jc w:val="center"/>
    </w:pPr>
    <w:rPr>
      <w:rFonts w:ascii="Times New Roman" w:eastAsia="黑体" w:cs="Times New Roman"/>
      <w:b/>
      <w:kern w:val="44"/>
      <w:sz w:val="42"/>
    </w:rPr>
  </w:style>
  <w:style w:type="paragraph" w:customStyle="1" w:styleId="672">
    <w:name w:val="pic-info"/>
    <w:basedOn w:val="1"/>
    <w:uiPriority w:val="0"/>
    <w:pPr>
      <w:widowControl/>
      <w:topLinePunct w:val="0"/>
      <w:adjustRightInd/>
      <w:spacing w:before="100" w:beforeAutospacing="1" w:after="100" w:afterAutospacing="1" w:line="240" w:lineRule="auto"/>
      <w:ind w:firstLine="0" w:firstLineChars="0"/>
      <w:jc w:val="left"/>
    </w:pPr>
    <w:rPr>
      <w:rFonts w:hAnsi="宋体"/>
    </w:rPr>
  </w:style>
  <w:style w:type="paragraph" w:customStyle="1" w:styleId="673">
    <w:name w:val="111111111111111111222"/>
    <w:basedOn w:val="1"/>
    <w:qFormat/>
    <w:uiPriority w:val="0"/>
    <w:pPr>
      <w:topLinePunct w:val="0"/>
      <w:adjustRightInd/>
      <w:spacing w:line="440" w:lineRule="exact"/>
      <w:ind w:firstLine="480"/>
    </w:pPr>
    <w:rPr>
      <w:rFonts w:hAnsi="宋体" w:cs="Times New Roman"/>
      <w:kern w:val="2"/>
    </w:rPr>
  </w:style>
  <w:style w:type="paragraph" w:customStyle="1" w:styleId="674">
    <w:name w:val="样式116"/>
    <w:basedOn w:val="605"/>
    <w:qFormat/>
    <w:uiPriority w:val="0"/>
    <w:pPr>
      <w:spacing w:line="240" w:lineRule="exact"/>
    </w:pPr>
  </w:style>
  <w:style w:type="paragraph" w:customStyle="1" w:styleId="675">
    <w:name w:val="报告表正文"/>
    <w:basedOn w:val="1"/>
    <w:qFormat/>
    <w:uiPriority w:val="0"/>
    <w:pPr>
      <w:topLinePunct w:val="0"/>
      <w:snapToGrid w:val="0"/>
      <w:spacing w:line="460" w:lineRule="atLeast"/>
      <w:ind w:firstLine="480"/>
    </w:pPr>
    <w:rPr>
      <w:rFonts w:ascii="Times New Roman" w:hAnsi="宋体" w:cs="Times New Roman"/>
      <w:bCs/>
      <w:kern w:val="2"/>
      <w:sz w:val="21"/>
    </w:rPr>
  </w:style>
  <w:style w:type="paragraph" w:customStyle="1" w:styleId="676">
    <w:name w:val="样式 样式 标题 2标题节标题 2 Char Char + 段前: 2 行 + 左侧:  1 字符4"/>
    <w:basedOn w:val="609"/>
    <w:uiPriority w:val="0"/>
    <w:pPr>
      <w:spacing w:beforeLines="0" w:after="50"/>
    </w:pPr>
    <w:rPr>
      <w:rFonts w:hAnsi="Times New Roman" w:eastAsia="宋体" w:cs="宋体"/>
      <w:bCs/>
    </w:rPr>
  </w:style>
  <w:style w:type="paragraph" w:customStyle="1" w:styleId="677">
    <w:name w:val="z正文 Char Char Char"/>
    <w:basedOn w:val="1"/>
    <w:qFormat/>
    <w:uiPriority w:val="0"/>
    <w:pPr>
      <w:topLinePunct w:val="0"/>
      <w:adjustRightInd/>
    </w:pPr>
    <w:rPr>
      <w:rFonts w:hAnsi="宋体" w:eastAsia="仿宋_GB2312"/>
      <w:kern w:val="2"/>
      <w:sz w:val="28"/>
      <w:szCs w:val="28"/>
    </w:rPr>
  </w:style>
  <w:style w:type="paragraph" w:customStyle="1" w:styleId="678">
    <w:name w:val="表文排版"/>
    <w:basedOn w:val="6"/>
    <w:next w:val="1"/>
    <w:qFormat/>
    <w:uiPriority w:val="0"/>
    <w:pPr>
      <w:topLinePunct w:val="0"/>
      <w:snapToGrid w:val="0"/>
      <w:spacing w:line="240" w:lineRule="auto"/>
      <w:ind w:firstLine="0" w:firstLineChars="0"/>
      <w:jc w:val="center"/>
    </w:pPr>
    <w:rPr>
      <w:rFonts w:ascii="Times New Roman" w:cs="Times New Roman"/>
      <w:kern w:val="2"/>
      <w:sz w:val="22"/>
    </w:rPr>
  </w:style>
  <w:style w:type="paragraph" w:customStyle="1" w:styleId="679">
    <w:name w:val="UserStyle_3"/>
    <w:basedOn w:val="680"/>
    <w:next w:val="1"/>
    <w:qFormat/>
    <w:uiPriority w:val="0"/>
    <w:pPr>
      <w:keepLines/>
      <w:snapToGrid w:val="0"/>
      <w:spacing w:line="460" w:lineRule="exact"/>
      <w:ind w:firstLine="200" w:firstLineChars="200"/>
    </w:pPr>
    <w:rPr>
      <w:rFonts w:ascii="Times New Roman"/>
      <w:sz w:val="26"/>
      <w:szCs w:val="20"/>
    </w:rPr>
  </w:style>
  <w:style w:type="paragraph" w:customStyle="1" w:styleId="680">
    <w:name w:val="Heading2"/>
    <w:basedOn w:val="1"/>
    <w:next w:val="1"/>
    <w:qFormat/>
    <w:uiPriority w:val="0"/>
    <w:pPr>
      <w:keepNext/>
      <w:topLinePunct w:val="0"/>
      <w:adjustRightInd/>
      <w:spacing w:before="156" w:line="440" w:lineRule="exact"/>
      <w:ind w:firstLine="472" w:firstLineChars="196"/>
    </w:pPr>
    <w:rPr>
      <w:rFonts w:ascii="Arial" w:hAnsi="Arial" w:eastAsia="黑体" w:cs="Times New Roman"/>
      <w:b/>
      <w:color w:val="000000"/>
      <w:kern w:val="2"/>
    </w:rPr>
  </w:style>
  <w:style w:type="paragraph" w:customStyle="1" w:styleId="681">
    <w:name w:val="样式 标题 3 + 四号"/>
    <w:basedOn w:val="4"/>
    <w:uiPriority w:val="0"/>
    <w:pPr>
      <w:topLinePunct w:val="0"/>
      <w:adjustRightInd/>
      <w:spacing w:before="100" w:after="100" w:line="460" w:lineRule="exact"/>
    </w:pPr>
    <w:rPr>
      <w:rFonts w:ascii="宋体" w:hAnsi="宋体" w:eastAsia="宋体"/>
      <w:b w:val="0"/>
      <w:bCs/>
      <w:kern w:val="2"/>
      <w:sz w:val="26"/>
      <w:szCs w:val="28"/>
    </w:rPr>
  </w:style>
  <w:style w:type="paragraph" w:customStyle="1" w:styleId="682">
    <w:name w:val="NormalIndent"/>
    <w:basedOn w:val="1"/>
    <w:next w:val="1"/>
    <w:uiPriority w:val="0"/>
    <w:pPr>
      <w:topLinePunct w:val="0"/>
      <w:adjustRightInd/>
      <w:spacing w:line="240" w:lineRule="auto"/>
      <w:ind w:firstLine="420"/>
    </w:pPr>
    <w:rPr>
      <w:rFonts w:ascii="Times New Roman" w:cs="Times New Roman"/>
      <w:kern w:val="2"/>
      <w:sz w:val="21"/>
    </w:rPr>
  </w:style>
  <w:style w:type="paragraph" w:customStyle="1" w:styleId="683">
    <w:name w:val="Body Text 21"/>
    <w:basedOn w:val="1"/>
    <w:qFormat/>
    <w:uiPriority w:val="0"/>
    <w:pPr>
      <w:topLinePunct w:val="0"/>
      <w:snapToGrid w:val="0"/>
      <w:spacing w:line="312" w:lineRule="auto"/>
      <w:ind w:firstLine="0" w:firstLineChars="0"/>
      <w:textAlignment w:val="baseline"/>
    </w:pPr>
    <w:rPr>
      <w:rFonts w:ascii="Times New Roman" w:cs="Times New Roman"/>
      <w:sz w:val="28"/>
      <w:szCs w:val="20"/>
    </w:rPr>
  </w:style>
  <w:style w:type="paragraph" w:customStyle="1" w:styleId="684">
    <w:name w:val="样式 正文 首行缩进:  2 字符 SL CON + 首行缩进:  2 字符"/>
    <w:basedOn w:val="685"/>
    <w:qFormat/>
    <w:uiPriority w:val="0"/>
    <w:pPr>
      <w:tabs>
        <w:tab w:val="left" w:pos="377"/>
      </w:tabs>
      <w:ind w:firstLine="480"/>
    </w:pPr>
    <w:rPr>
      <w:szCs w:val="21"/>
    </w:rPr>
  </w:style>
  <w:style w:type="paragraph" w:customStyle="1" w:styleId="685">
    <w:name w:val="正文 首行缩进:  2 字符 SL CON"/>
    <w:basedOn w:val="1"/>
    <w:qFormat/>
    <w:uiPriority w:val="0"/>
    <w:pPr>
      <w:widowControl/>
      <w:tabs>
        <w:tab w:val="left" w:pos="377"/>
      </w:tabs>
      <w:topLinePunct w:val="0"/>
      <w:adjustRightInd/>
    </w:pPr>
  </w:style>
  <w:style w:type="paragraph" w:customStyle="1" w:styleId="686">
    <w:name w:val="何家沟正文"/>
    <w:basedOn w:val="1"/>
    <w:qFormat/>
    <w:uiPriority w:val="0"/>
    <w:pPr>
      <w:topLinePunct w:val="0"/>
      <w:adjustRightInd/>
      <w:ind w:firstLine="460"/>
    </w:pPr>
    <w:rPr>
      <w:rFonts w:ascii="Times New Roman" w:hAnsi="宋体"/>
      <w:kern w:val="2"/>
      <w:sz w:val="23"/>
      <w:szCs w:val="23"/>
    </w:rPr>
  </w:style>
  <w:style w:type="paragraph" w:customStyle="1" w:styleId="687">
    <w:name w:val="样式 标题 2节 + (西文) 宋体 (中文) 宋体 四号 段前: 0 磅 段后: 0 磅 行距: 1.5 倍行距"/>
    <w:basedOn w:val="3"/>
    <w:uiPriority w:val="0"/>
    <w:pPr>
      <w:topLinePunct w:val="0"/>
      <w:adjustRightInd/>
      <w:spacing w:before="0" w:line="500" w:lineRule="exact"/>
    </w:pPr>
    <w:rPr>
      <w:rFonts w:ascii="宋体" w:hAnsi="宋体"/>
      <w:kern w:val="2"/>
      <w:szCs w:val="28"/>
    </w:rPr>
  </w:style>
  <w:style w:type="paragraph" w:customStyle="1" w:styleId="688">
    <w:name w:val="样式 样式 标题 2标题节标题 2 Char Char + 段前: 2 行 + 首行缩进:  2 字符 段前: 0.5 行 ...1"/>
    <w:basedOn w:val="609"/>
    <w:next w:val="1"/>
    <w:uiPriority w:val="0"/>
    <w:pPr>
      <w:spacing w:beforeLines="0" w:line="240" w:lineRule="auto"/>
      <w:ind w:firstLine="482"/>
    </w:pPr>
    <w:rPr>
      <w:rFonts w:ascii="Arial"/>
      <w:bCs/>
      <w:sz w:val="24"/>
      <w:szCs w:val="24"/>
    </w:rPr>
  </w:style>
  <w:style w:type="paragraph" w:customStyle="1" w:styleId="689">
    <w:name w:val="正文(首行缩进)"/>
    <w:basedOn w:val="1"/>
    <w:qFormat/>
    <w:uiPriority w:val="0"/>
    <w:pPr>
      <w:topLinePunct w:val="0"/>
      <w:adjustRightInd/>
      <w:ind w:firstLine="510" w:firstLineChars="0"/>
    </w:pPr>
    <w:rPr>
      <w:rFonts w:hAnsi="宋体" w:cs="Times New Roman"/>
      <w:snapToGrid w:val="0"/>
      <w:szCs w:val="20"/>
    </w:rPr>
  </w:style>
  <w:style w:type="paragraph" w:customStyle="1" w:styleId="690">
    <w:name w:val="标书标题1"/>
    <w:basedOn w:val="2"/>
    <w:qFormat/>
    <w:uiPriority w:val="0"/>
    <w:pPr>
      <w:keepNext w:val="0"/>
      <w:keepLines w:val="0"/>
      <w:tabs>
        <w:tab w:val="left" w:pos="360"/>
      </w:tabs>
      <w:topLinePunct w:val="0"/>
      <w:snapToGrid w:val="0"/>
      <w:spacing w:beforeLines="100" w:beforeAutospacing="0" w:afterLines="100" w:afterAutospacing="0" w:line="460" w:lineRule="exact"/>
      <w:ind w:left="284" w:hanging="284"/>
      <w:jc w:val="center"/>
    </w:pPr>
    <w:rPr>
      <w:rFonts w:ascii="Arial Narrow" w:hAnsi="Arial Narrow" w:eastAsia="黑体"/>
      <w:b w:val="0"/>
      <w:snapToGrid w:val="0"/>
      <w:kern w:val="0"/>
      <w:sz w:val="30"/>
    </w:rPr>
  </w:style>
  <w:style w:type="paragraph" w:customStyle="1" w:styleId="691">
    <w:name w:val="Char21"/>
    <w:basedOn w:val="1"/>
    <w:uiPriority w:val="0"/>
    <w:pPr>
      <w:topLinePunct w:val="0"/>
      <w:adjustRightInd/>
    </w:pPr>
    <w:rPr>
      <w:rFonts w:ascii="Times New Roman" w:cs="Times New Roman"/>
      <w:kern w:val="2"/>
      <w:sz w:val="30"/>
      <w:szCs w:val="20"/>
    </w:rPr>
  </w:style>
  <w:style w:type="paragraph" w:customStyle="1" w:styleId="692">
    <w:name w:val="样式 首行缩进:  2 字符1"/>
    <w:basedOn w:val="1"/>
    <w:qFormat/>
    <w:uiPriority w:val="0"/>
    <w:pPr>
      <w:topLinePunct w:val="0"/>
      <w:adjustRightInd/>
      <w:spacing w:before="120" w:line="440" w:lineRule="atLeast"/>
      <w:ind w:firstLine="497" w:firstLineChars="207"/>
    </w:pPr>
    <w:rPr>
      <w:rFonts w:ascii="Arial" w:hAnsi="宋体" w:cs="Arial"/>
      <w:kern w:val="2"/>
    </w:rPr>
  </w:style>
  <w:style w:type="paragraph" w:customStyle="1" w:styleId="693">
    <w:name w:val="样式 样式 标题 2标题节标题 2 Char Char + 段前: 2 行 + 段前: 0.5 行 段后: 0.5 行1"/>
    <w:basedOn w:val="609"/>
    <w:uiPriority w:val="0"/>
  </w:style>
  <w:style w:type="paragraph" w:customStyle="1" w:styleId="694">
    <w:name w:val="a3"/>
    <w:basedOn w:val="1"/>
    <w:qFormat/>
    <w:uiPriority w:val="0"/>
    <w:pPr>
      <w:topLinePunct w:val="0"/>
      <w:adjustRightInd/>
      <w:spacing w:line="288" w:lineRule="auto"/>
      <w:ind w:firstLine="0" w:firstLineChars="0"/>
      <w:jc w:val="center"/>
    </w:pPr>
    <w:rPr>
      <w:rFonts w:ascii="Times New Roman" w:cs="Times New Roman"/>
      <w:kern w:val="2"/>
      <w:sz w:val="21"/>
    </w:rPr>
  </w:style>
  <w:style w:type="paragraph" w:customStyle="1" w:styleId="695">
    <w:name w:val="样式 样式 标题 2标题节标题 2 Char Char + 段前: 2 行 + 左侧:  1 字符3"/>
    <w:basedOn w:val="609"/>
    <w:qFormat/>
    <w:uiPriority w:val="0"/>
    <w:pPr>
      <w:spacing w:beforeLines="0" w:after="50"/>
    </w:pPr>
    <w:rPr>
      <w:rFonts w:hAnsi="Times New Roman" w:eastAsia="宋体" w:cs="宋体"/>
      <w:bCs/>
    </w:rPr>
  </w:style>
  <w:style w:type="paragraph" w:customStyle="1" w:styleId="696">
    <w:name w:val="标书标题4"/>
    <w:basedOn w:val="5"/>
    <w:qFormat/>
    <w:uiPriority w:val="0"/>
    <w:pPr>
      <w:widowControl w:val="0"/>
      <w:tabs>
        <w:tab w:val="left" w:pos="851"/>
      </w:tabs>
      <w:spacing w:beforeLines="0" w:line="300" w:lineRule="auto"/>
      <w:ind w:left="851" w:hanging="851" w:firstLineChars="200"/>
      <w:jc w:val="both"/>
    </w:pPr>
    <w:rPr>
      <w:rFonts w:ascii="Arial Narrow" w:hAnsi="Arial Narrow" w:eastAsia="仿宋_GB2312"/>
      <w:kern w:val="0"/>
      <w:szCs w:val="20"/>
    </w:rPr>
  </w:style>
  <w:style w:type="paragraph" w:customStyle="1" w:styleId="697">
    <w:name w:val="Char4 Char Char Char2"/>
    <w:basedOn w:val="1"/>
    <w:semiHidden/>
    <w:uiPriority w:val="0"/>
    <w:pPr>
      <w:topLinePunct w:val="0"/>
      <w:snapToGrid w:val="0"/>
    </w:pPr>
    <w:rPr>
      <w:rFonts w:hAnsi="宋体"/>
      <w:kern w:val="2"/>
      <w:szCs w:val="26"/>
    </w:rPr>
  </w:style>
  <w:style w:type="paragraph" w:customStyle="1" w:styleId="698">
    <w:name w:val="标书标题3"/>
    <w:basedOn w:val="4"/>
    <w:qFormat/>
    <w:uiPriority w:val="0"/>
    <w:pPr>
      <w:keepNext w:val="0"/>
      <w:keepLines w:val="0"/>
      <w:topLinePunct w:val="0"/>
      <w:snapToGrid w:val="0"/>
      <w:spacing w:before="120" w:after="60" w:line="300" w:lineRule="auto"/>
      <w:ind w:firstLine="522" w:firstLineChars="200"/>
    </w:pPr>
    <w:rPr>
      <w:rFonts w:ascii="宋体" w:hAnsi="宋体" w:eastAsia="宋体"/>
      <w:bCs/>
      <w:color w:val="000000"/>
      <w:sz w:val="26"/>
      <w:szCs w:val="26"/>
    </w:rPr>
  </w:style>
  <w:style w:type="paragraph" w:customStyle="1" w:styleId="699">
    <w:name w:val="样式 样式 样式 样式 样式 正文A + 首行缩进:  2 字符 + 首行缩进:  2 字符 + 两端对齐 首行缩进:  2 字..."/>
    <w:basedOn w:val="1"/>
    <w:uiPriority w:val="0"/>
    <w:pPr>
      <w:tabs>
        <w:tab w:val="left" w:pos="578"/>
        <w:tab w:val="left" w:pos="1074"/>
        <w:tab w:val="left" w:pos="1595"/>
        <w:tab w:val="left" w:pos="2073"/>
        <w:tab w:val="left" w:pos="2507"/>
        <w:tab w:val="left" w:pos="3025"/>
        <w:tab w:val="left" w:pos="3991"/>
      </w:tabs>
      <w:topLinePunct w:val="0"/>
      <w:adjustRightInd/>
      <w:ind w:firstLine="480"/>
    </w:pPr>
    <w:rPr>
      <w:rFonts w:ascii="Times New Roman"/>
      <w:szCs w:val="20"/>
    </w:rPr>
  </w:style>
  <w:style w:type="paragraph" w:customStyle="1" w:styleId="700">
    <w:name w:val="标书标题2"/>
    <w:basedOn w:val="3"/>
    <w:qFormat/>
    <w:uiPriority w:val="0"/>
    <w:pPr>
      <w:keepNext w:val="0"/>
      <w:keepLines w:val="0"/>
      <w:tabs>
        <w:tab w:val="left" w:pos="574"/>
      </w:tabs>
      <w:topLinePunct w:val="0"/>
      <w:snapToGrid w:val="0"/>
      <w:spacing w:after="120" w:line="300" w:lineRule="auto"/>
      <w:ind w:firstLine="200" w:firstLineChars="200"/>
      <w:jc w:val="left"/>
    </w:pPr>
    <w:rPr>
      <w:rFonts w:ascii="Arial Narrow" w:hAnsi="Arial Narrow" w:cs="Times New Roman"/>
      <w:bCs w:val="0"/>
    </w:rPr>
  </w:style>
  <w:style w:type="paragraph" w:customStyle="1" w:styleId="701">
    <w:name w:val="ygs正文"/>
    <w:basedOn w:val="1"/>
    <w:qFormat/>
    <w:uiPriority w:val="0"/>
    <w:pPr>
      <w:topLinePunct w:val="0"/>
      <w:adjustRightInd/>
      <w:spacing w:line="440" w:lineRule="exact"/>
      <w:ind w:firstLine="480"/>
    </w:pPr>
    <w:rPr>
      <w:rFonts w:hAnsi="宋体" w:cs="Times New Roman"/>
      <w:bCs/>
      <w:kern w:val="2"/>
    </w:rPr>
  </w:style>
  <w:style w:type="paragraph" w:customStyle="1" w:styleId="702">
    <w:name w:val="Char Char Char Char Char2 Char"/>
    <w:basedOn w:val="1"/>
    <w:uiPriority w:val="0"/>
    <w:pPr>
      <w:topLinePunct w:val="0"/>
      <w:snapToGrid w:val="0"/>
    </w:pPr>
    <w:rPr>
      <w:rFonts w:hAnsi="宋体"/>
      <w:kern w:val="2"/>
      <w:szCs w:val="26"/>
    </w:rPr>
  </w:style>
  <w:style w:type="paragraph" w:customStyle="1" w:styleId="703">
    <w:name w:val="declear"/>
    <w:basedOn w:val="1"/>
    <w:qFormat/>
    <w:uiPriority w:val="0"/>
    <w:pPr>
      <w:widowControl/>
      <w:topLinePunct w:val="0"/>
      <w:adjustRightInd/>
      <w:spacing w:before="100" w:beforeAutospacing="1" w:after="100" w:afterAutospacing="1" w:line="240" w:lineRule="auto"/>
      <w:ind w:firstLine="0" w:firstLineChars="0"/>
      <w:jc w:val="left"/>
    </w:pPr>
    <w:rPr>
      <w:rFonts w:hAnsi="宋体"/>
    </w:rPr>
  </w:style>
  <w:style w:type="paragraph" w:customStyle="1" w:styleId="704">
    <w:name w:val="正 文"/>
    <w:basedOn w:val="1"/>
    <w:qFormat/>
    <w:uiPriority w:val="0"/>
    <w:pPr>
      <w:topLinePunct w:val="0"/>
      <w:adjustRightInd/>
      <w:spacing w:line="440" w:lineRule="exact"/>
      <w:ind w:firstLine="0" w:firstLineChars="0"/>
    </w:pPr>
    <w:rPr>
      <w:rFonts w:ascii="Times New Roman" w:hAnsi="宋体" w:cs="Times New Roman"/>
      <w:kern w:val="2"/>
      <w:sz w:val="21"/>
    </w:rPr>
  </w:style>
  <w:style w:type="paragraph" w:customStyle="1" w:styleId="705">
    <w:name w:val="正文   1"/>
    <w:basedOn w:val="1"/>
    <w:qFormat/>
    <w:uiPriority w:val="0"/>
    <w:pPr>
      <w:topLinePunct w:val="0"/>
      <w:adjustRightInd/>
      <w:snapToGrid w:val="0"/>
      <w:spacing w:line="460" w:lineRule="atLeast"/>
      <w:ind w:firstLine="520"/>
    </w:pPr>
    <w:rPr>
      <w:rFonts w:ascii="Times New Roman" w:cs="Times New Roman"/>
      <w:bCs/>
      <w:kern w:val="2"/>
      <w:sz w:val="26"/>
    </w:rPr>
  </w:style>
  <w:style w:type="paragraph" w:customStyle="1" w:styleId="706">
    <w:name w:val="表格中的文字"/>
    <w:basedOn w:val="1"/>
    <w:qFormat/>
    <w:uiPriority w:val="0"/>
    <w:pPr>
      <w:topLinePunct w:val="0"/>
      <w:adjustRightInd/>
      <w:snapToGrid w:val="0"/>
      <w:spacing w:line="240" w:lineRule="auto"/>
      <w:ind w:firstLine="0" w:firstLineChars="0"/>
      <w:jc w:val="center"/>
    </w:pPr>
    <w:rPr>
      <w:rFonts w:ascii="Times New Roman" w:cs="Times New Roman"/>
      <w:kern w:val="2"/>
      <w:sz w:val="21"/>
      <w:szCs w:val="22"/>
    </w:rPr>
  </w:style>
  <w:style w:type="paragraph" w:customStyle="1" w:styleId="707">
    <w:name w:val="6表格"/>
    <w:basedOn w:val="1"/>
    <w:qFormat/>
    <w:uiPriority w:val="0"/>
    <w:pPr>
      <w:topLinePunct w:val="0"/>
      <w:snapToGrid w:val="0"/>
      <w:spacing w:before="120" w:line="240" w:lineRule="auto"/>
      <w:ind w:firstLine="0" w:firstLineChars="0"/>
      <w:jc w:val="center"/>
    </w:pPr>
    <w:rPr>
      <w:rFonts w:ascii="Times New Roman" w:cs="Times New Roman"/>
      <w:sz w:val="21"/>
      <w:szCs w:val="20"/>
    </w:rPr>
  </w:style>
  <w:style w:type="paragraph" w:customStyle="1" w:styleId="708">
    <w:name w:val="Char Char2 Char Char Char Char Char Char"/>
    <w:basedOn w:val="1"/>
    <w:semiHidden/>
    <w:qFormat/>
    <w:uiPriority w:val="0"/>
    <w:pPr>
      <w:topLinePunct w:val="0"/>
      <w:snapToGrid w:val="0"/>
    </w:pPr>
    <w:rPr>
      <w:rFonts w:ascii="Times New Roman"/>
      <w:kern w:val="2"/>
      <w:szCs w:val="26"/>
    </w:rPr>
  </w:style>
  <w:style w:type="paragraph" w:customStyle="1" w:styleId="709">
    <w:name w:val="样式 样式 标题 2标题节标题 2 Char Char + 段前: 2 行 + 左侧:  1 字符 右侧:  1 字符1"/>
    <w:basedOn w:val="609"/>
    <w:uiPriority w:val="0"/>
    <w:pPr>
      <w:spacing w:beforeLines="0" w:after="50"/>
    </w:pPr>
    <w:rPr>
      <w:rFonts w:hAnsi="Times New Roman" w:eastAsia="宋体" w:cs="宋体"/>
      <w:bCs/>
    </w:rPr>
  </w:style>
  <w:style w:type="paragraph" w:customStyle="1" w:styleId="710">
    <w:name w:val="样式19"/>
    <w:basedOn w:val="1"/>
    <w:qFormat/>
    <w:uiPriority w:val="0"/>
    <w:pPr>
      <w:keepNext/>
      <w:keepLines/>
      <w:widowControl/>
      <w:topLinePunct w:val="0"/>
      <w:snapToGrid w:val="0"/>
      <w:spacing w:line="460" w:lineRule="exact"/>
      <w:ind w:firstLine="0" w:firstLineChars="0"/>
      <w:jc w:val="left"/>
      <w:textAlignment w:val="baseline"/>
      <w:outlineLvl w:val="2"/>
    </w:pPr>
    <w:rPr>
      <w:rFonts w:ascii="Times New Roman" w:cs="Times New Roman"/>
      <w:b/>
      <w:sz w:val="26"/>
      <w:szCs w:val="26"/>
    </w:rPr>
  </w:style>
  <w:style w:type="paragraph" w:customStyle="1" w:styleId="711">
    <w:name w:val="样式 样式 标题 2标题节标题 2 Char Char + 段前: 2 行 + 左侧:  1 字符2"/>
    <w:basedOn w:val="609"/>
    <w:qFormat/>
    <w:uiPriority w:val="0"/>
    <w:pPr>
      <w:spacing w:beforeLines="0" w:after="50"/>
    </w:pPr>
    <w:rPr>
      <w:rFonts w:hAnsi="Times New Roman" w:eastAsia="宋体" w:cs="宋体"/>
      <w:bCs/>
    </w:rPr>
  </w:style>
  <w:style w:type="paragraph" w:customStyle="1" w:styleId="712">
    <w:name w:val="b"/>
    <w:basedOn w:val="3"/>
    <w:qFormat/>
    <w:uiPriority w:val="0"/>
    <w:pPr>
      <w:keepNext w:val="0"/>
      <w:keepLines w:val="0"/>
      <w:widowControl/>
      <w:topLinePunct w:val="0"/>
      <w:snapToGrid w:val="0"/>
      <w:spacing w:beforeLines="50" w:afterLines="50" w:line="240" w:lineRule="auto"/>
      <w:textAlignment w:val="baseline"/>
    </w:pPr>
    <w:rPr>
      <w:rFonts w:eastAsia="仿宋_GB2312" w:cs="Times New Roman"/>
      <w:color w:val="000000"/>
      <w:sz w:val="32"/>
    </w:rPr>
  </w:style>
  <w:style w:type="paragraph" w:customStyle="1" w:styleId="713">
    <w:name w:val="样式 正文缩进正文缩进2正文缩进 Char Char正文缩进 Char Char Char Char正文缩进 Char ..."/>
    <w:basedOn w:val="17"/>
    <w:qFormat/>
    <w:uiPriority w:val="0"/>
    <w:pPr>
      <w:spacing w:line="360" w:lineRule="auto"/>
      <w:ind w:firstLine="200"/>
    </w:pPr>
    <w:rPr>
      <w:rFonts w:ascii="Times New Roman" w:hAnsi="Times New Roman" w:cs="宋体"/>
      <w:kern w:val="2"/>
      <w:sz w:val="24"/>
      <w:szCs w:val="24"/>
    </w:rPr>
  </w:style>
  <w:style w:type="paragraph" w:customStyle="1" w:styleId="714">
    <w:name w:val="123"/>
    <w:basedOn w:val="1"/>
    <w:next w:val="1"/>
    <w:qFormat/>
    <w:uiPriority w:val="0"/>
    <w:pPr>
      <w:topLinePunct w:val="0"/>
      <w:adjustRightInd/>
      <w:ind w:firstLine="562"/>
    </w:pPr>
    <w:rPr>
      <w:rFonts w:ascii="Times New Roman" w:cs="Times New Roman"/>
      <w:b/>
      <w:bCs/>
      <w:color w:val="000000"/>
      <w:kern w:val="2"/>
      <w:sz w:val="28"/>
    </w:rPr>
  </w:style>
  <w:style w:type="paragraph" w:customStyle="1" w:styleId="715">
    <w:name w:val="样式 13 磅 行距: 固定值 23 磅"/>
    <w:basedOn w:val="1"/>
    <w:uiPriority w:val="0"/>
    <w:pPr>
      <w:topLinePunct w:val="0"/>
      <w:adjustRightInd/>
      <w:spacing w:line="460" w:lineRule="exact"/>
      <w:ind w:firstLine="520"/>
    </w:pPr>
    <w:rPr>
      <w:rFonts w:ascii="Times New Roman" w:cs="Times New Roman"/>
      <w:kern w:val="2"/>
      <w:sz w:val="26"/>
      <w:szCs w:val="20"/>
    </w:rPr>
  </w:style>
  <w:style w:type="paragraph" w:customStyle="1" w:styleId="716">
    <w:name w:val="样式6565656"/>
    <w:basedOn w:val="1"/>
    <w:qFormat/>
    <w:uiPriority w:val="0"/>
    <w:pPr>
      <w:topLinePunct w:val="0"/>
      <w:snapToGrid w:val="0"/>
      <w:spacing w:line="460" w:lineRule="atLeast"/>
      <w:ind w:firstLine="480"/>
    </w:pPr>
    <w:rPr>
      <w:rFonts w:ascii="Times New Roman" w:cs="Times New Roman"/>
      <w:bCs/>
      <w:kern w:val="2"/>
      <w:sz w:val="21"/>
    </w:rPr>
  </w:style>
  <w:style w:type="paragraph" w:customStyle="1" w:styleId="717">
    <w:name w:val="样式 样式 标题 2标题节标题 2 Char Char + 段前: 2 行 + 段前: 0.5 行 段后: 0.5 行"/>
    <w:basedOn w:val="609"/>
    <w:next w:val="1"/>
    <w:uiPriority w:val="0"/>
    <w:pPr>
      <w:spacing w:beforeLines="0" w:after="120"/>
    </w:pPr>
    <w:rPr>
      <w:rFonts w:hAnsi="Times New Roman" w:eastAsia="宋体" w:cs="宋体"/>
      <w:bCs/>
    </w:rPr>
  </w:style>
  <w:style w:type="paragraph" w:customStyle="1" w:styleId="718">
    <w:name w:val="二级标题"/>
    <w:basedOn w:val="1"/>
    <w:next w:val="1"/>
    <w:uiPriority w:val="0"/>
    <w:pPr>
      <w:topLinePunct w:val="0"/>
      <w:snapToGrid w:val="0"/>
      <w:spacing w:beforeLines="50" w:afterLines="50" w:line="460" w:lineRule="exact"/>
      <w:ind w:firstLine="0" w:firstLineChars="0"/>
      <w:outlineLvl w:val="1"/>
    </w:pPr>
    <w:rPr>
      <w:rFonts w:ascii="Times New Roman" w:cs="Times New Roman"/>
      <w:b/>
      <w:bCs/>
      <w:kern w:val="2"/>
      <w:sz w:val="30"/>
      <w:szCs w:val="30"/>
    </w:rPr>
  </w:style>
  <w:style w:type="paragraph" w:customStyle="1" w:styleId="719">
    <w:name w:val="样式 首行缩进:  0.85 厘米8"/>
    <w:basedOn w:val="1"/>
    <w:qFormat/>
    <w:uiPriority w:val="0"/>
    <w:pPr>
      <w:topLinePunct w:val="0"/>
      <w:snapToGrid w:val="0"/>
      <w:spacing w:line="288" w:lineRule="auto"/>
      <w:ind w:firstLine="482"/>
    </w:pPr>
    <w:rPr>
      <w:rFonts w:ascii="Times New Roman"/>
      <w:kern w:val="2"/>
      <w:szCs w:val="26"/>
    </w:rPr>
  </w:style>
  <w:style w:type="paragraph" w:customStyle="1" w:styleId="720">
    <w:name w:val="Char Char Char Char Char Char1 Char"/>
    <w:basedOn w:val="1"/>
    <w:qFormat/>
    <w:uiPriority w:val="0"/>
    <w:pPr>
      <w:widowControl/>
      <w:topLinePunct w:val="0"/>
      <w:adjustRightInd/>
      <w:spacing w:after="160" w:line="240" w:lineRule="exact"/>
      <w:ind w:firstLine="0" w:firstLineChars="0"/>
      <w:jc w:val="left"/>
    </w:pPr>
    <w:rPr>
      <w:rFonts w:ascii="Times New Roman" w:cs="Times New Roman"/>
      <w:kern w:val="2"/>
      <w:sz w:val="21"/>
    </w:rPr>
  </w:style>
  <w:style w:type="paragraph" w:customStyle="1" w:styleId="721">
    <w:name w:val="Char Char Char3 Char Char Char2 Char"/>
    <w:basedOn w:val="1"/>
    <w:semiHidden/>
    <w:qFormat/>
    <w:uiPriority w:val="0"/>
    <w:pPr>
      <w:topLinePunct w:val="0"/>
      <w:snapToGrid w:val="0"/>
    </w:pPr>
    <w:rPr>
      <w:rFonts w:hAnsi="宋体"/>
      <w:kern w:val="2"/>
      <w:szCs w:val="26"/>
    </w:rPr>
  </w:style>
  <w:style w:type="paragraph" w:customStyle="1" w:styleId="722">
    <w:name w:val="编号正文"/>
    <w:basedOn w:val="1"/>
    <w:qFormat/>
    <w:uiPriority w:val="0"/>
    <w:pPr>
      <w:tabs>
        <w:tab w:val="left" w:pos="1260"/>
      </w:tabs>
      <w:topLinePunct w:val="0"/>
      <w:snapToGrid w:val="0"/>
      <w:spacing w:afterLines="50" w:line="300" w:lineRule="auto"/>
      <w:ind w:left="1260" w:hanging="806"/>
    </w:pPr>
    <w:rPr>
      <w:rFonts w:ascii="Arial Narrow" w:hAnsi="Arial Narrow" w:eastAsia="仿宋_GB2312" w:cs="Times New Roman"/>
      <w:kern w:val="2"/>
      <w:sz w:val="28"/>
      <w:szCs w:val="28"/>
    </w:rPr>
  </w:style>
  <w:style w:type="paragraph" w:customStyle="1" w:styleId="723">
    <w:name w:val="Char4"/>
    <w:basedOn w:val="1"/>
    <w:uiPriority w:val="0"/>
    <w:pPr>
      <w:topLinePunct w:val="0"/>
      <w:adjustRightInd/>
      <w:spacing w:line="240" w:lineRule="auto"/>
      <w:ind w:firstLine="0" w:firstLineChars="0"/>
    </w:pPr>
    <w:rPr>
      <w:rFonts w:ascii="Times New Roman" w:cs="Times New Roman"/>
      <w:kern w:val="2"/>
      <w:sz w:val="21"/>
    </w:rPr>
  </w:style>
  <w:style w:type="paragraph" w:customStyle="1" w:styleId="724">
    <w:name w:val="表格文字居中"/>
    <w:basedOn w:val="1"/>
    <w:next w:val="1"/>
    <w:qFormat/>
    <w:uiPriority w:val="0"/>
    <w:pPr>
      <w:topLinePunct w:val="0"/>
      <w:snapToGrid w:val="0"/>
      <w:spacing w:line="460" w:lineRule="exact"/>
      <w:jc w:val="center"/>
    </w:pPr>
    <w:rPr>
      <w:rFonts w:ascii="Times New Roman" w:cs="Times New Roman"/>
      <w:color w:val="000000"/>
      <w:kern w:val="2"/>
      <w:sz w:val="22"/>
      <w:szCs w:val="22"/>
    </w:rPr>
  </w:style>
  <w:style w:type="paragraph" w:customStyle="1" w:styleId="725">
    <w:name w:val="样式 标题 2 + Times New Roman 非加粗"/>
    <w:basedOn w:val="3"/>
    <w:qFormat/>
    <w:uiPriority w:val="0"/>
    <w:pPr>
      <w:keepLines w:val="0"/>
      <w:topLinePunct w:val="0"/>
      <w:adjustRightInd/>
      <w:spacing w:beforeLines="50" w:line="240" w:lineRule="auto"/>
      <w:ind w:firstLine="472" w:firstLineChars="196"/>
    </w:pPr>
    <w:rPr>
      <w:rFonts w:eastAsia="黑体" w:cs="Times New Roman"/>
      <w:b w:val="0"/>
      <w:bCs w:val="0"/>
      <w:color w:val="000000"/>
      <w:kern w:val="2"/>
      <w:sz w:val="24"/>
      <w:szCs w:val="24"/>
    </w:rPr>
  </w:style>
  <w:style w:type="paragraph" w:customStyle="1" w:styleId="726">
    <w:name w:val="Char Char Char1 Char Char Char Char Char Char Char Char Char Char Char Char Char Char Char Char Char Char Char Char Char Char"/>
    <w:basedOn w:val="1"/>
    <w:qFormat/>
    <w:uiPriority w:val="0"/>
    <w:pPr>
      <w:topLinePunct w:val="0"/>
      <w:snapToGrid w:val="0"/>
    </w:pPr>
    <w:rPr>
      <w:rFonts w:hAnsi="宋体"/>
      <w:kern w:val="2"/>
      <w:szCs w:val="26"/>
    </w:rPr>
  </w:style>
  <w:style w:type="paragraph" w:customStyle="1" w:styleId="727">
    <w:name w:val="Z7[图表]"/>
    <w:next w:val="1"/>
    <w:qFormat/>
    <w:uiPriority w:val="0"/>
    <w:pPr>
      <w:jc w:val="center"/>
    </w:pPr>
    <w:rPr>
      <w:rFonts w:ascii="Times New Roman" w:hAnsi="Times New Roman" w:eastAsia="仿宋_GB2312" w:cs="Times New Roman"/>
      <w:bCs/>
      <w:sz w:val="21"/>
      <w:szCs w:val="44"/>
      <w:lang w:val="en-US" w:eastAsia="zh-CN" w:bidi="ar-SA"/>
    </w:rPr>
  </w:style>
  <w:style w:type="paragraph" w:customStyle="1" w:styleId="728">
    <w:name w:val="HtmlNormal"/>
    <w:basedOn w:val="1"/>
    <w:qFormat/>
    <w:uiPriority w:val="0"/>
    <w:pPr>
      <w:topLinePunct w:val="0"/>
      <w:adjustRightInd/>
      <w:spacing w:before="100" w:beforeAutospacing="1" w:after="100" w:afterAutospacing="1" w:line="384" w:lineRule="auto"/>
      <w:ind w:firstLine="0" w:firstLineChars="0"/>
      <w:jc w:val="left"/>
    </w:pPr>
    <w:rPr>
      <w:rFonts w:ascii="Arial Unicode MS" w:hAnsi="Arial Unicode MS" w:eastAsia="Times New Roman" w:cs="Times New Roman"/>
      <w:color w:val="000000"/>
      <w:sz w:val="21"/>
      <w:szCs w:val="21"/>
    </w:rPr>
  </w:style>
  <w:style w:type="paragraph" w:customStyle="1" w:styleId="729">
    <w:name w:val="样式 13 磅 黑色 行距: 固定值 23 磅"/>
    <w:basedOn w:val="1"/>
    <w:uiPriority w:val="0"/>
    <w:pPr>
      <w:topLinePunct w:val="0"/>
      <w:snapToGrid w:val="0"/>
      <w:spacing w:line="440" w:lineRule="exact"/>
      <w:ind w:firstLine="0" w:firstLineChars="0"/>
      <w:jc w:val="center"/>
    </w:pPr>
    <w:rPr>
      <w:rFonts w:hAnsi="宋体" w:cs="Arial"/>
      <w:kern w:val="2"/>
    </w:rPr>
  </w:style>
  <w:style w:type="paragraph" w:customStyle="1" w:styleId="730">
    <w:name w:val="样式 样式 标题 2标题节标题 2 Char Char + 段前: 2 行 + 首行缩进:  2 字符 段前: 0.5 行 ..."/>
    <w:basedOn w:val="609"/>
    <w:qFormat/>
    <w:uiPriority w:val="0"/>
    <w:pPr>
      <w:spacing w:beforeLines="0"/>
      <w:ind w:firstLine="0" w:firstLineChars="0"/>
    </w:pPr>
    <w:rPr>
      <w:rFonts w:hAnsi="Times New Roman" w:eastAsia="宋体" w:cs="宋体"/>
      <w:bCs/>
    </w:rPr>
  </w:style>
  <w:style w:type="paragraph" w:customStyle="1" w:styleId="731">
    <w:name w:val="Z2[封面]"/>
    <w:next w:val="1"/>
    <w:qFormat/>
    <w:uiPriority w:val="0"/>
    <w:pPr>
      <w:spacing w:line="360" w:lineRule="auto"/>
      <w:jc w:val="center"/>
    </w:pPr>
    <w:rPr>
      <w:rFonts w:ascii="Times New Roman" w:hAnsi="Times New Roman" w:eastAsia="楷体_GB2312" w:cs="Times New Roman"/>
      <w:bCs/>
      <w:sz w:val="32"/>
      <w:szCs w:val="44"/>
      <w:lang w:val="en-US" w:eastAsia="zh-CN" w:bidi="ar-SA"/>
    </w:rPr>
  </w:style>
  <w:style w:type="paragraph" w:customStyle="1" w:styleId="732">
    <w:name w:val="UserStyle_5"/>
    <w:uiPriority w:val="0"/>
    <w:pPr>
      <w:spacing w:line="600" w:lineRule="exact"/>
      <w:ind w:firstLine="567"/>
      <w:jc w:val="both"/>
      <w:textAlignment w:val="baseline"/>
    </w:pPr>
    <w:rPr>
      <w:rFonts w:ascii="宋体" w:hAnsi="Times New Roman" w:eastAsia="宋体" w:cs="Times New Roman"/>
      <w:sz w:val="28"/>
      <w:lang w:val="en-US" w:eastAsia="zh-CN" w:bidi="ar-SA"/>
    </w:rPr>
  </w:style>
  <w:style w:type="paragraph" w:customStyle="1" w:styleId="733">
    <w:name w:val="图表标题"/>
    <w:basedOn w:val="1"/>
    <w:qFormat/>
    <w:uiPriority w:val="0"/>
    <w:pPr>
      <w:tabs>
        <w:tab w:val="left" w:pos="9360"/>
      </w:tabs>
      <w:topLinePunct w:val="0"/>
      <w:adjustRightInd/>
      <w:spacing w:line="240" w:lineRule="auto"/>
      <w:ind w:right="-269" w:rightChars="-128" w:firstLine="0" w:firstLineChars="0"/>
      <w:jc w:val="center"/>
    </w:pPr>
    <w:rPr>
      <w:rFonts w:ascii="Times New Roman" w:eastAsia="仿宋" w:cs="Times New Roman"/>
      <w:b/>
      <w:bCs/>
      <w:color w:val="000000"/>
      <w:sz w:val="21"/>
      <w:szCs w:val="21"/>
    </w:rPr>
  </w:style>
  <w:style w:type="paragraph" w:customStyle="1" w:styleId="734">
    <w:name w:val="正"/>
    <w:qFormat/>
    <w:uiPriority w:val="0"/>
    <w:pPr>
      <w:spacing w:line="480" w:lineRule="exact"/>
      <w:ind w:firstLine="470" w:firstLineChars="196"/>
    </w:pPr>
    <w:rPr>
      <w:rFonts w:ascii="Times New Roman" w:hAnsi="Times New Roman" w:eastAsia="宋体" w:cs="Times New Roman"/>
      <w:bCs/>
      <w:kern w:val="2"/>
      <w:sz w:val="24"/>
      <w:szCs w:val="24"/>
      <w:lang w:val="en-US" w:eastAsia="zh-CN" w:bidi="ar-SA"/>
    </w:rPr>
  </w:style>
  <w:style w:type="paragraph" w:customStyle="1" w:styleId="735">
    <w:name w:val="Z5[附件]"/>
    <w:next w:val="1"/>
    <w:uiPriority w:val="0"/>
    <w:pPr>
      <w:spacing w:line="360" w:lineRule="auto"/>
      <w:ind w:firstLine="200" w:firstLineChars="200"/>
    </w:pPr>
    <w:rPr>
      <w:rFonts w:ascii="Times New Roman" w:hAnsi="Times New Roman" w:eastAsia="仿宋_GB2312" w:cs="Times New Roman"/>
      <w:b/>
      <w:sz w:val="28"/>
      <w:szCs w:val="24"/>
      <w:lang w:val="en-US" w:eastAsia="zh-CN" w:bidi="ar-SA"/>
    </w:rPr>
  </w:style>
  <w:style w:type="paragraph" w:customStyle="1" w:styleId="736">
    <w:name w:val="样式 四号 行距: 固定值 28 磅 首行缩进:  2 字符"/>
    <w:basedOn w:val="1"/>
    <w:qFormat/>
    <w:uiPriority w:val="0"/>
    <w:pPr>
      <w:topLinePunct w:val="0"/>
      <w:adjustRightInd/>
      <w:spacing w:line="560" w:lineRule="exact"/>
      <w:ind w:firstLine="560"/>
    </w:pPr>
    <w:rPr>
      <w:rFonts w:ascii="Times New Roman"/>
      <w:kern w:val="2"/>
      <w:sz w:val="28"/>
      <w:szCs w:val="20"/>
    </w:rPr>
  </w:style>
  <w:style w:type="paragraph" w:customStyle="1" w:styleId="737">
    <w:name w:val="样式 样式 标题 2标题节标题 2 Char Char + 段前: 2 行 + 左侧:  1 字符"/>
    <w:basedOn w:val="609"/>
    <w:qFormat/>
    <w:uiPriority w:val="0"/>
    <w:pPr>
      <w:spacing w:beforeLines="0"/>
    </w:pPr>
    <w:rPr>
      <w:rFonts w:hAnsi="Times New Roman" w:eastAsia="宋体" w:cs="宋体"/>
      <w:bCs/>
    </w:rPr>
  </w:style>
  <w:style w:type="paragraph" w:customStyle="1" w:styleId="738">
    <w:name w:val="样式 左 首行缩进:  1.01 厘米"/>
    <w:basedOn w:val="1"/>
    <w:uiPriority w:val="0"/>
    <w:pPr>
      <w:topLinePunct w:val="0"/>
      <w:snapToGrid w:val="0"/>
      <w:spacing w:line="460" w:lineRule="exact"/>
    </w:pPr>
    <w:rPr>
      <w:rFonts w:ascii="Times New Roman"/>
      <w:kern w:val="2"/>
      <w:sz w:val="26"/>
      <w:szCs w:val="26"/>
    </w:rPr>
  </w:style>
  <w:style w:type="paragraph" w:customStyle="1" w:styleId="739">
    <w:name w:val="样式 13 磅 行距: 固定值 23 磅 首行缩进:  2 字符"/>
    <w:basedOn w:val="1"/>
    <w:qFormat/>
    <w:uiPriority w:val="0"/>
    <w:pPr>
      <w:topLinePunct w:val="0"/>
      <w:adjustRightInd/>
      <w:spacing w:line="460" w:lineRule="exact"/>
      <w:ind w:firstLine="520"/>
    </w:pPr>
    <w:rPr>
      <w:rFonts w:ascii="Times New Roman"/>
      <w:kern w:val="2"/>
      <w:sz w:val="26"/>
      <w:szCs w:val="20"/>
    </w:rPr>
  </w:style>
  <w:style w:type="paragraph" w:customStyle="1" w:styleId="740">
    <w:name w:val="表格文字-hao-居中"/>
    <w:qFormat/>
    <w:uiPriority w:val="99"/>
    <w:pPr>
      <w:adjustRightInd w:val="0"/>
      <w:snapToGrid w:val="0"/>
      <w:spacing w:beforeLines="20" w:afterLines="10" w:line="264" w:lineRule="auto"/>
      <w:jc w:val="center"/>
      <w:textAlignment w:val="center"/>
    </w:pPr>
    <w:rPr>
      <w:rFonts w:ascii="Times New Roman" w:hAnsi="Times New Roman" w:eastAsia="宋体" w:cs="Times New Roman"/>
      <w:szCs w:val="24"/>
      <w:lang w:val="en-US" w:eastAsia="zh-CN" w:bidi="ar-SA"/>
    </w:rPr>
  </w:style>
  <w:style w:type="paragraph" w:customStyle="1" w:styleId="741">
    <w:name w:val="Z1[封面]"/>
    <w:next w:val="1"/>
    <w:qFormat/>
    <w:uiPriority w:val="0"/>
    <w:pPr>
      <w:spacing w:line="360" w:lineRule="auto"/>
      <w:jc w:val="center"/>
    </w:pPr>
    <w:rPr>
      <w:rFonts w:ascii="Times New Roman" w:hAnsi="Times New Roman" w:eastAsia="华文中宋" w:cs="Times New Roman"/>
      <w:b/>
      <w:bCs/>
      <w:sz w:val="44"/>
      <w:szCs w:val="44"/>
      <w:lang w:val="en-US" w:eastAsia="zh-CN" w:bidi="ar-SA"/>
    </w:rPr>
  </w:style>
  <w:style w:type="paragraph" w:customStyle="1" w:styleId="742">
    <w:name w:val="Char Char Char Char3"/>
    <w:basedOn w:val="1"/>
    <w:qFormat/>
    <w:uiPriority w:val="0"/>
    <w:pPr>
      <w:topLinePunct w:val="0"/>
      <w:adjustRightInd/>
      <w:ind w:firstLine="0" w:firstLineChars="0"/>
    </w:pPr>
    <w:rPr>
      <w:rFonts w:ascii="仿宋_GB2312" w:hAnsi="Tahoma" w:eastAsia="仿宋_GB2312" w:cs="Times New Roman"/>
      <w:kern w:val="2"/>
      <w:sz w:val="21"/>
      <w:szCs w:val="21"/>
    </w:rPr>
  </w:style>
  <w:style w:type="paragraph" w:customStyle="1" w:styleId="743">
    <w:name w:val="表格1"/>
    <w:basedOn w:val="1"/>
    <w:qFormat/>
    <w:uiPriority w:val="0"/>
    <w:pPr>
      <w:topLinePunct w:val="0"/>
      <w:adjustRightInd/>
      <w:spacing w:line="360" w:lineRule="exact"/>
      <w:ind w:firstLine="0" w:firstLineChars="0"/>
      <w:jc w:val="center"/>
    </w:pPr>
    <w:rPr>
      <w:rFonts w:ascii="Times New Roman" w:cs="Times New Roman"/>
      <w:color w:val="000000"/>
      <w:kern w:val="2"/>
    </w:rPr>
  </w:style>
  <w:style w:type="paragraph" w:customStyle="1" w:styleId="744">
    <w:name w:val="BodyTextIndent2"/>
    <w:basedOn w:val="1"/>
    <w:qFormat/>
    <w:uiPriority w:val="0"/>
    <w:pPr>
      <w:topLinePunct w:val="0"/>
      <w:adjustRightInd/>
      <w:spacing w:after="120" w:line="480" w:lineRule="auto"/>
      <w:ind w:left="420" w:leftChars="200" w:firstLine="0" w:firstLineChars="0"/>
    </w:pPr>
    <w:rPr>
      <w:rFonts w:ascii="Times New Roman" w:cs="Times New Roman"/>
      <w:kern w:val="2"/>
      <w:sz w:val="21"/>
    </w:rPr>
  </w:style>
  <w:style w:type="paragraph" w:customStyle="1" w:styleId="745">
    <w:name w:val="三级标题"/>
    <w:basedOn w:val="1"/>
    <w:next w:val="1"/>
    <w:semiHidden/>
    <w:uiPriority w:val="0"/>
    <w:pPr>
      <w:topLinePunct w:val="0"/>
      <w:adjustRightInd/>
      <w:snapToGrid w:val="0"/>
      <w:spacing w:line="240" w:lineRule="auto"/>
      <w:ind w:firstLine="0" w:firstLineChars="0"/>
      <w:outlineLvl w:val="2"/>
    </w:pPr>
    <w:rPr>
      <w:rFonts w:ascii="Times New Roman" w:cs="Times New Roman"/>
      <w:b/>
      <w:kern w:val="2"/>
      <w:sz w:val="26"/>
      <w:szCs w:val="26"/>
    </w:rPr>
  </w:style>
  <w:style w:type="paragraph" w:customStyle="1" w:styleId="746">
    <w:name w:val="gg_body"/>
    <w:basedOn w:val="1"/>
    <w:qFormat/>
    <w:uiPriority w:val="0"/>
    <w:pPr>
      <w:topLinePunct w:val="0"/>
      <w:adjustRightInd/>
      <w:spacing w:line="460" w:lineRule="exact"/>
      <w:ind w:firstLine="0" w:firstLineChars="0"/>
    </w:pPr>
    <w:rPr>
      <w:rFonts w:hAnsi="宋体" w:cs="Times New Roman"/>
      <w:kern w:val="2"/>
      <w:szCs w:val="20"/>
    </w:rPr>
  </w:style>
  <w:style w:type="paragraph" w:customStyle="1" w:styleId="747">
    <w:name w:val="样式8"/>
    <w:basedOn w:val="4"/>
    <w:qFormat/>
    <w:uiPriority w:val="0"/>
    <w:pPr>
      <w:topLinePunct w:val="0"/>
      <w:snapToGrid w:val="0"/>
      <w:spacing w:line="480" w:lineRule="exact"/>
    </w:pPr>
    <w:rPr>
      <w:rFonts w:eastAsia="宋体"/>
      <w:bCs/>
      <w:kern w:val="2"/>
      <w:sz w:val="26"/>
      <w:szCs w:val="24"/>
    </w:rPr>
  </w:style>
  <w:style w:type="paragraph" w:customStyle="1" w:styleId="748">
    <w:name w:val="样式 正文文本缩进 + 宋体"/>
    <w:basedOn w:val="25"/>
    <w:uiPriority w:val="0"/>
    <w:pPr>
      <w:spacing w:beforeLines="30" w:afterLines="30" w:line="460" w:lineRule="exact"/>
      <w:ind w:left="0" w:firstLine="560" w:firstLineChars="200"/>
    </w:pPr>
    <w:rPr>
      <w:rFonts w:ascii="宋体" w:hAnsi="宋体"/>
      <w:szCs w:val="28"/>
    </w:rPr>
  </w:style>
  <w:style w:type="paragraph" w:customStyle="1" w:styleId="749">
    <w:name w:val="样式 样式 标题 2标题节标题 2 Char Char + 段前: 2 行 + 左侧:  1 字符 右侧:  1 字符"/>
    <w:basedOn w:val="609"/>
    <w:qFormat/>
    <w:uiPriority w:val="0"/>
    <w:rPr>
      <w:szCs w:val="26"/>
    </w:rPr>
  </w:style>
  <w:style w:type="paragraph" w:customStyle="1" w:styleId="750">
    <w:name w:val="00000000000000000000000 Char"/>
    <w:basedOn w:val="1"/>
    <w:qFormat/>
    <w:uiPriority w:val="0"/>
    <w:pPr>
      <w:topLinePunct w:val="0"/>
      <w:adjustRightInd/>
      <w:ind w:firstLine="510" w:firstLineChars="0"/>
    </w:pPr>
    <w:rPr>
      <w:rFonts w:ascii="Times New Roman" w:cs="Times New Roman"/>
      <w:color w:val="000000"/>
      <w:kern w:val="2"/>
      <w:sz w:val="21"/>
      <w:lang w:val="zh-CN"/>
    </w:rPr>
  </w:style>
  <w:style w:type="paragraph" w:customStyle="1" w:styleId="751">
    <w:name w:val="Char Char Char2 Char Char Char Char Char Char Char Char Char Char"/>
    <w:basedOn w:val="1"/>
    <w:semiHidden/>
    <w:qFormat/>
    <w:uiPriority w:val="0"/>
    <w:pPr>
      <w:topLinePunct w:val="0"/>
      <w:snapToGrid w:val="0"/>
    </w:pPr>
    <w:rPr>
      <w:rFonts w:hAnsi="宋体"/>
      <w:kern w:val="2"/>
      <w:szCs w:val="26"/>
    </w:rPr>
  </w:style>
  <w:style w:type="paragraph" w:customStyle="1" w:styleId="752">
    <w:name w:val="样式17"/>
    <w:basedOn w:val="1"/>
    <w:qFormat/>
    <w:uiPriority w:val="0"/>
    <w:pPr>
      <w:keepNext/>
      <w:keepLines/>
      <w:widowControl/>
      <w:topLinePunct w:val="0"/>
      <w:snapToGrid w:val="0"/>
      <w:spacing w:before="80" w:line="460" w:lineRule="exact"/>
      <w:ind w:firstLine="0" w:firstLineChars="0"/>
      <w:jc w:val="left"/>
      <w:outlineLvl w:val="1"/>
    </w:pPr>
    <w:rPr>
      <w:rFonts w:ascii="Times New Roman" w:eastAsia="黑体" w:cs="Times New Roman"/>
      <w:b/>
      <w:bCs/>
      <w:sz w:val="28"/>
      <w:szCs w:val="28"/>
    </w:rPr>
  </w:style>
  <w:style w:type="paragraph" w:customStyle="1" w:styleId="753">
    <w:name w:val="Heading3"/>
    <w:basedOn w:val="1"/>
    <w:next w:val="1"/>
    <w:qFormat/>
    <w:uiPriority w:val="0"/>
    <w:pPr>
      <w:keepNext/>
      <w:keepLines/>
      <w:topLinePunct w:val="0"/>
      <w:adjustRightInd/>
      <w:spacing w:before="156" w:line="440" w:lineRule="exact"/>
      <w:ind w:firstLine="472" w:firstLineChars="196"/>
    </w:pPr>
    <w:rPr>
      <w:rFonts w:ascii="Arial" w:hAnsi="Arial" w:eastAsia="黑体" w:cs="Times New Roman"/>
      <w:b/>
      <w:color w:val="000000"/>
    </w:rPr>
  </w:style>
  <w:style w:type="paragraph" w:customStyle="1" w:styleId="754">
    <w:name w:val="样式 样式 样式 标题 2标题节标题 2 Char Char + 段前: 2 行 + 左侧:  1 字符 + 段前: 0.5 行..."/>
    <w:basedOn w:val="1"/>
    <w:qFormat/>
    <w:uiPriority w:val="0"/>
    <w:pPr>
      <w:keepNext/>
      <w:keepLines/>
      <w:topLinePunct w:val="0"/>
      <w:snapToGrid w:val="0"/>
      <w:spacing w:line="460" w:lineRule="exact"/>
      <w:outlineLvl w:val="1"/>
    </w:pPr>
    <w:rPr>
      <w:rFonts w:ascii="Times New Roman"/>
      <w:b/>
      <w:bCs/>
      <w:kern w:val="2"/>
      <w:sz w:val="26"/>
      <w:szCs w:val="26"/>
    </w:rPr>
  </w:style>
  <w:style w:type="paragraph" w:customStyle="1" w:styleId="755">
    <w:name w:val="一级标题"/>
    <w:basedOn w:val="1"/>
    <w:next w:val="1"/>
    <w:uiPriority w:val="0"/>
    <w:pPr>
      <w:topLinePunct w:val="0"/>
      <w:snapToGrid w:val="0"/>
      <w:spacing w:before="100" w:beforeAutospacing="1" w:afterLines="50" w:line="460" w:lineRule="exact"/>
      <w:ind w:firstLine="0" w:firstLineChars="0"/>
      <w:jc w:val="center"/>
      <w:outlineLvl w:val="0"/>
    </w:pPr>
    <w:rPr>
      <w:rFonts w:ascii="Times New Roman" w:cs="Times New Roman"/>
      <w:b/>
      <w:bCs/>
      <w:kern w:val="2"/>
      <w:sz w:val="32"/>
      <w:szCs w:val="32"/>
    </w:rPr>
  </w:style>
  <w:style w:type="paragraph" w:customStyle="1" w:styleId="756">
    <w:name w:val="UserStyle_1"/>
    <w:qFormat/>
    <w:uiPriority w:val="0"/>
    <w:pPr>
      <w:spacing w:line="480" w:lineRule="exact"/>
      <w:ind w:firstLine="470" w:firstLineChars="196"/>
      <w:textAlignment w:val="baseline"/>
    </w:pPr>
    <w:rPr>
      <w:rFonts w:ascii="Times New Roman" w:hAnsi="Times New Roman" w:eastAsia="宋体" w:cs="Times New Roman"/>
      <w:bCs/>
      <w:kern w:val="2"/>
      <w:sz w:val="24"/>
      <w:szCs w:val="24"/>
      <w:lang w:val="en-US" w:eastAsia="zh-CN" w:bidi="ar-SA"/>
    </w:rPr>
  </w:style>
  <w:style w:type="paragraph" w:customStyle="1" w:styleId="757">
    <w:name w:val="环评表头"/>
    <w:basedOn w:val="1"/>
    <w:qFormat/>
    <w:uiPriority w:val="0"/>
    <w:pPr>
      <w:topLinePunct w:val="0"/>
      <w:adjustRightInd/>
      <w:spacing w:line="440" w:lineRule="exact"/>
      <w:ind w:firstLine="0" w:firstLineChars="0"/>
      <w:jc w:val="center"/>
    </w:pPr>
    <w:rPr>
      <w:rFonts w:ascii="黑体" w:hAnsi="Arial" w:eastAsia="黑体" w:cs="Arial"/>
      <w:b/>
      <w:color w:val="000000"/>
      <w:kern w:val="2"/>
    </w:rPr>
  </w:style>
  <w:style w:type="paragraph" w:customStyle="1" w:styleId="758">
    <w:name w:val="UserStyle_6"/>
    <w:basedOn w:val="759"/>
    <w:qFormat/>
    <w:uiPriority w:val="0"/>
  </w:style>
  <w:style w:type="paragraph" w:customStyle="1" w:styleId="759">
    <w:name w:val="UserStyle_4"/>
    <w:basedOn w:val="1"/>
    <w:qFormat/>
    <w:uiPriority w:val="0"/>
    <w:pPr>
      <w:topLinePunct w:val="0"/>
      <w:adjustRightInd/>
      <w:snapToGrid w:val="0"/>
      <w:spacing w:line="460" w:lineRule="exact"/>
      <w:ind w:firstLine="567" w:firstLineChars="218"/>
      <w:jc w:val="left"/>
    </w:pPr>
    <w:rPr>
      <w:rFonts w:ascii="Times New Roman" w:cs="Times New Roman"/>
      <w:sz w:val="26"/>
      <w:szCs w:val="26"/>
    </w:rPr>
  </w:style>
  <w:style w:type="paragraph" w:customStyle="1" w:styleId="760">
    <w:name w:val="环评标题"/>
    <w:basedOn w:val="620"/>
    <w:qFormat/>
    <w:uiPriority w:val="0"/>
    <w:pPr>
      <w:ind w:firstLine="482"/>
    </w:pPr>
    <w:rPr>
      <w:rFonts w:ascii="黑体" w:eastAsia="黑体"/>
      <w:b/>
    </w:rPr>
  </w:style>
  <w:style w:type="paragraph" w:customStyle="1" w:styleId="761">
    <w:name w:val="Char Char Char Char Char Char Char1"/>
    <w:basedOn w:val="1"/>
    <w:next w:val="1"/>
    <w:uiPriority w:val="0"/>
    <w:pPr>
      <w:topLinePunct w:val="0"/>
      <w:adjustRightInd/>
    </w:pPr>
    <w:rPr>
      <w:rFonts w:ascii="Times New Roman" w:cs="Times New Roman"/>
      <w:kern w:val="2"/>
      <w:sz w:val="21"/>
    </w:rPr>
  </w:style>
  <w:style w:type="paragraph" w:customStyle="1" w:styleId="762">
    <w:name w:val="Char Char Char Char Char2 Char Char Char Char"/>
    <w:basedOn w:val="1"/>
    <w:qFormat/>
    <w:uiPriority w:val="0"/>
    <w:pPr>
      <w:topLinePunct w:val="0"/>
      <w:snapToGrid w:val="0"/>
    </w:pPr>
    <w:rPr>
      <w:rFonts w:hAnsi="宋体"/>
      <w:kern w:val="2"/>
      <w:szCs w:val="26"/>
    </w:rPr>
  </w:style>
  <w:style w:type="paragraph" w:customStyle="1" w:styleId="763">
    <w:name w:val="Char Char Char1 Char Char Char Char"/>
    <w:basedOn w:val="1"/>
    <w:qFormat/>
    <w:uiPriority w:val="0"/>
    <w:pPr>
      <w:topLinePunct w:val="0"/>
      <w:snapToGrid w:val="0"/>
    </w:pPr>
    <w:rPr>
      <w:rFonts w:hAnsi="宋体"/>
      <w:kern w:val="2"/>
      <w:szCs w:val="26"/>
    </w:rPr>
  </w:style>
  <w:style w:type="paragraph" w:customStyle="1" w:styleId="764">
    <w:name w:val="样式 正文（首行缩进两字） + 宋体"/>
    <w:basedOn w:val="17"/>
    <w:qFormat/>
    <w:uiPriority w:val="0"/>
    <w:pPr>
      <w:adjustRightInd w:val="0"/>
      <w:snapToGrid w:val="0"/>
      <w:ind w:firstLine="567" w:firstLineChars="0"/>
    </w:pPr>
    <w:rPr>
      <w:rFonts w:ascii="宋体" w:hAnsi="宋体"/>
      <w:kern w:val="2"/>
      <w:sz w:val="28"/>
    </w:rPr>
  </w:style>
  <w:style w:type="paragraph" w:customStyle="1" w:styleId="765">
    <w:name w:val="p0"/>
    <w:basedOn w:val="1"/>
    <w:qFormat/>
    <w:uiPriority w:val="0"/>
    <w:pPr>
      <w:widowControl/>
      <w:topLinePunct w:val="0"/>
      <w:adjustRightInd/>
      <w:spacing w:line="240" w:lineRule="auto"/>
      <w:ind w:firstLine="0" w:firstLineChars="0"/>
    </w:pPr>
    <w:rPr>
      <w:rFonts w:ascii="Times New Roman" w:cs="Times New Roman"/>
      <w:sz w:val="21"/>
      <w:szCs w:val="21"/>
    </w:rPr>
  </w:style>
  <w:style w:type="paragraph" w:customStyle="1" w:styleId="766">
    <w:name w:val="正文四号"/>
    <w:basedOn w:val="1"/>
    <w:qFormat/>
    <w:uiPriority w:val="0"/>
    <w:pPr>
      <w:topLinePunct w:val="0"/>
      <w:adjustRightInd/>
    </w:pPr>
    <w:rPr>
      <w:szCs w:val="22"/>
    </w:rPr>
  </w:style>
  <w:style w:type="paragraph" w:customStyle="1" w:styleId="767">
    <w:name w:val="Char Char Char Char Char Char Char Char Char Char Char Char Char Char Char Char Char Char Char Char Char Char Char Char Char Char Char Char Char Char Char Char Char"/>
    <w:basedOn w:val="1"/>
    <w:uiPriority w:val="0"/>
    <w:pPr>
      <w:widowControl/>
      <w:topLinePunct w:val="0"/>
      <w:adjustRightInd/>
      <w:spacing w:after="160" w:line="240" w:lineRule="exact"/>
      <w:ind w:firstLine="0" w:firstLineChars="0"/>
      <w:jc w:val="left"/>
    </w:pPr>
    <w:rPr>
      <w:rFonts w:ascii="Verdana" w:hAnsi="Verdana" w:eastAsia="仿宋_GB2312" w:cs="Verdana"/>
      <w:color w:val="000000"/>
      <w:szCs w:val="21"/>
      <w:lang w:eastAsia="en-US"/>
    </w:rPr>
  </w:style>
  <w:style w:type="paragraph" w:customStyle="1" w:styleId="768">
    <w:name w:val="Char Char Char1 Char Char Char Char1"/>
    <w:basedOn w:val="1"/>
    <w:semiHidden/>
    <w:qFormat/>
    <w:uiPriority w:val="0"/>
    <w:pPr>
      <w:topLinePunct w:val="0"/>
      <w:snapToGrid w:val="0"/>
    </w:pPr>
    <w:rPr>
      <w:rFonts w:hAnsi="宋体"/>
      <w:kern w:val="2"/>
      <w:szCs w:val="26"/>
    </w:rPr>
  </w:style>
  <w:style w:type="paragraph" w:customStyle="1" w:styleId="769">
    <w:name w:val="样式 正文缩进表格标题正文（首行缩进两字）1正文缩进1正文（首行缩进两字） Char Char Char Char Ch..."/>
    <w:basedOn w:val="17"/>
    <w:qFormat/>
    <w:uiPriority w:val="0"/>
    <w:pPr>
      <w:spacing w:line="440" w:lineRule="exact"/>
      <w:ind w:firstLine="200" w:firstLineChars="0"/>
    </w:pPr>
    <w:rPr>
      <w:rFonts w:ascii="Times New Roman" w:hAnsi="Times New Roman" w:cs="宋体"/>
      <w:b/>
      <w:bCs/>
      <w:kern w:val="2"/>
      <w:sz w:val="28"/>
    </w:rPr>
  </w:style>
  <w:style w:type="paragraph" w:customStyle="1" w:styleId="770">
    <w:name w:val="标题03"/>
    <w:basedOn w:val="1"/>
    <w:next w:val="1"/>
    <w:uiPriority w:val="0"/>
    <w:pPr>
      <w:topLinePunct w:val="0"/>
      <w:snapToGrid w:val="0"/>
      <w:spacing w:line="480" w:lineRule="atLeast"/>
      <w:ind w:firstLine="480"/>
    </w:pPr>
    <w:rPr>
      <w:rFonts w:ascii="Times New Roman" w:cs="Times New Roman"/>
      <w:b/>
      <w:kern w:val="2"/>
      <w:szCs w:val="20"/>
    </w:rPr>
  </w:style>
  <w:style w:type="paragraph" w:customStyle="1" w:styleId="771">
    <w:name w:val="Char4 Char Char Char1"/>
    <w:basedOn w:val="1"/>
    <w:qFormat/>
    <w:uiPriority w:val="0"/>
    <w:pPr>
      <w:topLinePunct w:val="0"/>
      <w:snapToGrid w:val="0"/>
    </w:pPr>
    <w:rPr>
      <w:rFonts w:hAnsi="宋体"/>
      <w:kern w:val="2"/>
      <w:szCs w:val="26"/>
    </w:rPr>
  </w:style>
  <w:style w:type="paragraph" w:customStyle="1" w:styleId="772">
    <w:name w:val="样式 样式 标题 2标题节标题 2 Char Char + 段前: 2 行 + 左侧:  1 字符1"/>
    <w:basedOn w:val="609"/>
    <w:qFormat/>
    <w:uiPriority w:val="0"/>
    <w:pPr>
      <w:spacing w:beforeLines="0" w:after="50"/>
    </w:pPr>
    <w:rPr>
      <w:rFonts w:hAnsi="Times New Roman" w:eastAsia="宋体" w:cs="宋体"/>
      <w:bCs/>
    </w:rPr>
  </w:style>
  <w:style w:type="paragraph" w:customStyle="1" w:styleId="773">
    <w:name w:val="样式 样式 样式 标题 2标题节标题 2 Char Char + 段前: 2 行 + 段前: 0.5 行 段后: 0.5 行 +..."/>
    <w:basedOn w:val="717"/>
    <w:next w:val="1"/>
    <w:qFormat/>
    <w:uiPriority w:val="0"/>
    <w:pPr>
      <w:spacing w:before="50" w:after="50"/>
      <w:ind w:firstLine="0" w:firstLineChars="0"/>
    </w:pPr>
  </w:style>
  <w:style w:type="paragraph" w:customStyle="1" w:styleId="774">
    <w:name w:val="样式 正文缩进正文缩进1正文（首行缩进两字） Char Char Char Char Char Char Char文本条款...1"/>
    <w:basedOn w:val="17"/>
    <w:qFormat/>
    <w:uiPriority w:val="0"/>
    <w:pPr>
      <w:tabs>
        <w:tab w:val="left" w:pos="540"/>
        <w:tab w:val="left" w:pos="1050"/>
        <w:tab w:val="left" w:pos="1260"/>
        <w:tab w:val="left" w:pos="1800"/>
      </w:tabs>
      <w:spacing w:line="500" w:lineRule="exact"/>
      <w:ind w:firstLine="560"/>
    </w:pPr>
    <w:rPr>
      <w:rFonts w:ascii="Times New Roman" w:hAnsi="Times New Roman" w:cs="宋体"/>
      <w:kern w:val="24"/>
      <w:sz w:val="28"/>
      <w:szCs w:val="28"/>
    </w:rPr>
  </w:style>
  <w:style w:type="paragraph" w:customStyle="1" w:styleId="775">
    <w:name w:val="样式 五号 居中 行距: 单倍行距"/>
    <w:basedOn w:val="1"/>
    <w:qFormat/>
    <w:uiPriority w:val="0"/>
    <w:pPr>
      <w:topLinePunct w:val="0"/>
      <w:snapToGrid w:val="0"/>
      <w:spacing w:line="240" w:lineRule="auto"/>
      <w:ind w:firstLine="0" w:firstLineChars="0"/>
      <w:jc w:val="center"/>
    </w:pPr>
    <w:rPr>
      <w:rFonts w:ascii="Times New Roman"/>
      <w:sz w:val="21"/>
      <w:szCs w:val="21"/>
    </w:rPr>
  </w:style>
  <w:style w:type="paragraph" w:customStyle="1" w:styleId="776">
    <w:name w:val="样式 样式 2001 + 首行缩进:  2 字符 + 首行缩进:  2 字符"/>
    <w:basedOn w:val="1"/>
    <w:qFormat/>
    <w:uiPriority w:val="0"/>
    <w:pPr>
      <w:topLinePunct w:val="0"/>
      <w:adjustRightInd/>
      <w:spacing w:line="360" w:lineRule="exact"/>
      <w:ind w:firstLine="560"/>
    </w:pPr>
    <w:rPr>
      <w:rFonts w:ascii="Times New Roman" w:cs="Times New Roman"/>
      <w:spacing w:val="20"/>
      <w:szCs w:val="20"/>
    </w:rPr>
  </w:style>
  <w:style w:type="paragraph" w:customStyle="1" w:styleId="777">
    <w:name w:val="样式 标题 3标题 3 Char + 左侧:  1 字符 右侧:  1 字符"/>
    <w:basedOn w:val="4"/>
    <w:qFormat/>
    <w:uiPriority w:val="0"/>
    <w:pPr>
      <w:widowControl/>
      <w:topLinePunct w:val="0"/>
      <w:snapToGrid w:val="0"/>
      <w:spacing w:beforeLines="50" w:line="460" w:lineRule="exact"/>
      <w:ind w:firstLine="200" w:firstLineChars="200"/>
    </w:pPr>
    <w:rPr>
      <w:rFonts w:eastAsia="黑体"/>
      <w:color w:val="000000"/>
      <w:sz w:val="26"/>
      <w:szCs w:val="26"/>
    </w:rPr>
  </w:style>
  <w:style w:type="paragraph" w:customStyle="1" w:styleId="778">
    <w:name w:val="表标题"/>
    <w:basedOn w:val="7"/>
    <w:qFormat/>
    <w:uiPriority w:val="0"/>
    <w:pPr>
      <w:keepNext/>
      <w:keepLines/>
      <w:widowControl w:val="0"/>
      <w:spacing w:beforeLines="0" w:after="60" w:line="377" w:lineRule="auto"/>
      <w:ind w:left="0" w:firstLine="520" w:firstLineChars="200"/>
      <w:jc w:val="center"/>
    </w:pPr>
    <w:rPr>
      <w:rFonts w:ascii="Times New Roman" w:hAnsi="Times New Roman" w:eastAsia="黑体"/>
      <w:b/>
      <w:sz w:val="24"/>
    </w:rPr>
  </w:style>
  <w:style w:type="paragraph" w:customStyle="1" w:styleId="779">
    <w:name w:val="样式35"/>
    <w:basedOn w:val="1"/>
    <w:qFormat/>
    <w:uiPriority w:val="0"/>
    <w:pPr>
      <w:topLinePunct w:val="0"/>
      <w:spacing w:line="312" w:lineRule="auto"/>
      <w:ind w:firstLine="567" w:firstLineChars="0"/>
    </w:pPr>
    <w:rPr>
      <w:rFonts w:cs="Times New Roman"/>
      <w:sz w:val="28"/>
      <w:szCs w:val="20"/>
    </w:rPr>
  </w:style>
  <w:style w:type="paragraph" w:customStyle="1" w:styleId="780">
    <w:name w:val="样式31"/>
    <w:basedOn w:val="1"/>
    <w:qFormat/>
    <w:uiPriority w:val="0"/>
    <w:pPr>
      <w:widowControl/>
      <w:topLinePunct w:val="0"/>
      <w:adjustRightInd/>
      <w:spacing w:line="240" w:lineRule="auto"/>
      <w:ind w:firstLine="0" w:firstLineChars="0"/>
      <w:jc w:val="center"/>
    </w:pPr>
    <w:rPr>
      <w:rFonts w:hAnsi="宋体"/>
      <w:sz w:val="22"/>
      <w:szCs w:val="22"/>
    </w:rPr>
  </w:style>
  <w:style w:type="paragraph" w:customStyle="1" w:styleId="781">
    <w:name w:val="标准样式 Char Char2"/>
    <w:basedOn w:val="1"/>
    <w:qFormat/>
    <w:uiPriority w:val="0"/>
    <w:pPr>
      <w:topLinePunct w:val="0"/>
      <w:adjustRightInd/>
      <w:spacing w:line="600" w:lineRule="exact"/>
      <w:ind w:firstLine="567" w:firstLineChars="0"/>
    </w:pPr>
    <w:rPr>
      <w:rFonts w:hAnsi="宋体" w:cs="Times New Roman"/>
      <w:kern w:val="2"/>
      <w:sz w:val="28"/>
      <w:szCs w:val="20"/>
    </w:rPr>
  </w:style>
  <w:style w:type="paragraph" w:customStyle="1" w:styleId="782">
    <w:name w:val="默认段落字体 Para Char Char Char Char"/>
    <w:basedOn w:val="1"/>
    <w:qFormat/>
    <w:uiPriority w:val="0"/>
    <w:pPr>
      <w:topLinePunct w:val="0"/>
      <w:adjustRightInd/>
      <w:spacing w:line="240" w:lineRule="auto"/>
      <w:ind w:firstLine="0" w:firstLineChars="0"/>
    </w:pPr>
    <w:rPr>
      <w:rFonts w:ascii="Times New Roman" w:cs="Times New Roman"/>
      <w:kern w:val="2"/>
    </w:rPr>
  </w:style>
  <w:style w:type="paragraph" w:customStyle="1" w:styleId="783">
    <w:name w:val="Char Char Char2"/>
    <w:basedOn w:val="1"/>
    <w:qFormat/>
    <w:uiPriority w:val="0"/>
    <w:pPr>
      <w:topLinePunct w:val="0"/>
      <w:adjustRightInd/>
      <w:spacing w:line="240" w:lineRule="auto"/>
      <w:ind w:firstLine="0" w:firstLineChars="0"/>
    </w:pPr>
    <w:rPr>
      <w:rFonts w:ascii="Times New Roman" w:cs="Times New Roman"/>
      <w:kern w:val="2"/>
      <w:szCs w:val="20"/>
    </w:rPr>
  </w:style>
  <w:style w:type="paragraph" w:customStyle="1" w:styleId="784">
    <w:name w:val="表签"/>
    <w:basedOn w:val="1"/>
    <w:qFormat/>
    <w:uiPriority w:val="0"/>
    <w:pPr>
      <w:topLinePunct w:val="0"/>
      <w:snapToGrid w:val="0"/>
      <w:spacing w:line="240" w:lineRule="auto"/>
      <w:ind w:firstLine="0" w:firstLineChars="0"/>
      <w:jc w:val="center"/>
    </w:pPr>
    <w:rPr>
      <w:rFonts w:ascii="Times New Roman" w:cs="Times New Roman"/>
      <w:b/>
      <w:kern w:val="2"/>
    </w:rPr>
  </w:style>
  <w:style w:type="paragraph" w:customStyle="1" w:styleId="785">
    <w:name w:val="表格样式1"/>
    <w:basedOn w:val="55"/>
    <w:qFormat/>
    <w:uiPriority w:val="0"/>
    <w:pPr>
      <w:spacing w:after="0"/>
      <w:ind w:firstLine="0" w:firstLineChars="0"/>
      <w:jc w:val="center"/>
    </w:pPr>
    <w:rPr>
      <w:rFonts w:ascii="Times New Roman" w:hAnsi="Times New Roman"/>
      <w:color w:val="000000"/>
      <w:sz w:val="24"/>
      <w:szCs w:val="24"/>
      <w:lang w:bidi="en-US"/>
    </w:rPr>
  </w:style>
  <w:style w:type="paragraph" w:customStyle="1" w:styleId="786">
    <w:name w:val="表格文字1"/>
    <w:basedOn w:val="53"/>
    <w:qFormat/>
    <w:uiPriority w:val="0"/>
    <w:pPr>
      <w:topLinePunct w:val="0"/>
      <w:spacing w:before="0" w:after="0" w:line="240" w:lineRule="auto"/>
      <w:ind w:firstLine="0" w:firstLineChars="0"/>
      <w:jc w:val="left"/>
      <w:textAlignment w:val="baseline"/>
      <w:outlineLvl w:val="9"/>
    </w:pPr>
    <w:rPr>
      <w:rFonts w:ascii="Arial" w:hAnsi="Arial"/>
      <w:b w:val="0"/>
      <w:bCs w:val="0"/>
      <w:kern w:val="72"/>
      <w:sz w:val="21"/>
      <w:szCs w:val="72"/>
    </w:rPr>
  </w:style>
  <w:style w:type="paragraph" w:customStyle="1" w:styleId="787">
    <w:name w:val="表体"/>
    <w:basedOn w:val="1"/>
    <w:qFormat/>
    <w:uiPriority w:val="0"/>
    <w:pPr>
      <w:topLinePunct w:val="0"/>
      <w:snapToGrid w:val="0"/>
      <w:spacing w:line="240" w:lineRule="atLeast"/>
      <w:ind w:left="-63" w:leftChars="-30" w:right="-63" w:rightChars="-30" w:firstLine="0" w:firstLineChars="0"/>
      <w:jc w:val="center"/>
    </w:pPr>
    <w:rPr>
      <w:rFonts w:ascii="Times New Roman" w:cs="Times New Roman"/>
      <w:color w:val="000000"/>
      <w:sz w:val="18"/>
      <w:szCs w:val="18"/>
    </w:rPr>
  </w:style>
  <w:style w:type="paragraph" w:customStyle="1" w:styleId="788">
    <w:name w:val="正文11111111"/>
    <w:basedOn w:val="1"/>
    <w:qFormat/>
    <w:uiPriority w:val="0"/>
    <w:pPr>
      <w:topLinePunct w:val="0"/>
      <w:adjustRightInd/>
      <w:spacing w:line="440" w:lineRule="exact"/>
    </w:pPr>
    <w:rPr>
      <w:rFonts w:ascii="Times New Roman"/>
      <w:kern w:val="2"/>
    </w:rPr>
  </w:style>
  <w:style w:type="character" w:customStyle="1" w:styleId="789">
    <w:name w:val="search_content1"/>
    <w:qFormat/>
    <w:uiPriority w:val="0"/>
    <w:rPr>
      <w:sz w:val="16"/>
      <w:szCs w:val="16"/>
    </w:rPr>
  </w:style>
  <w:style w:type="paragraph" w:customStyle="1" w:styleId="790">
    <w:name w:val="L正文"/>
    <w:basedOn w:val="1"/>
    <w:qFormat/>
    <w:uiPriority w:val="0"/>
    <w:pPr>
      <w:topLinePunct w:val="0"/>
      <w:snapToGrid w:val="0"/>
    </w:pPr>
    <w:rPr>
      <w:rFonts w:ascii="Times New Roman" w:cs="Times New Roman"/>
      <w:kern w:val="2"/>
    </w:rPr>
  </w:style>
  <w:style w:type="paragraph" w:customStyle="1" w:styleId="791">
    <w:name w:val="表内容-L"/>
    <w:basedOn w:val="792"/>
    <w:qFormat/>
    <w:uiPriority w:val="0"/>
    <w:rPr>
      <w:kern w:val="0"/>
    </w:rPr>
  </w:style>
  <w:style w:type="paragraph" w:customStyle="1" w:styleId="792">
    <w:name w:val="表格内居中"/>
    <w:basedOn w:val="1"/>
    <w:qFormat/>
    <w:uiPriority w:val="0"/>
    <w:pPr>
      <w:topLinePunct w:val="0"/>
      <w:adjustRightInd/>
      <w:spacing w:line="240" w:lineRule="auto"/>
      <w:ind w:firstLine="0" w:firstLineChars="0"/>
      <w:jc w:val="center"/>
    </w:pPr>
    <w:rPr>
      <w:rFonts w:ascii="Times New Roman" w:cs="Times New Roman"/>
      <w:kern w:val="2"/>
      <w:sz w:val="21"/>
      <w:szCs w:val="20"/>
    </w:rPr>
  </w:style>
  <w:style w:type="paragraph" w:customStyle="1" w:styleId="793">
    <w:name w:val="表-表图题-L"/>
    <w:basedOn w:val="1"/>
    <w:qFormat/>
    <w:uiPriority w:val="0"/>
    <w:pPr>
      <w:topLinePunct w:val="0"/>
      <w:adjustRightInd/>
      <w:spacing w:line="240" w:lineRule="auto"/>
      <w:ind w:firstLine="0" w:firstLineChars="0"/>
      <w:jc w:val="center"/>
    </w:pPr>
    <w:rPr>
      <w:rFonts w:ascii="Times New Roman" w:cs="Times New Roman"/>
      <w:b/>
      <w:kern w:val="2"/>
      <w:sz w:val="21"/>
    </w:rPr>
  </w:style>
  <w:style w:type="paragraph" w:customStyle="1" w:styleId="794">
    <w:name w:val="样式 标题 3 + 小四 黑色"/>
    <w:basedOn w:val="4"/>
    <w:qFormat/>
    <w:uiPriority w:val="0"/>
    <w:pPr>
      <w:topLinePunct w:val="0"/>
      <w:adjustRightInd/>
      <w:spacing w:before="100" w:beforeAutospacing="1" w:after="100" w:afterAutospacing="1" w:line="240" w:lineRule="auto"/>
      <w:ind w:firstLine="472" w:firstLineChars="196"/>
    </w:pPr>
    <w:rPr>
      <w:rFonts w:ascii="Arial" w:hAnsi="Arial" w:eastAsia="仿宋_GB2312"/>
      <w:bCs/>
      <w:color w:val="000000"/>
      <w:sz w:val="28"/>
    </w:rPr>
  </w:style>
  <w:style w:type="paragraph" w:customStyle="1" w:styleId="795">
    <w:name w:val="HH"/>
    <w:basedOn w:val="1"/>
    <w:qFormat/>
    <w:uiPriority w:val="0"/>
    <w:pPr>
      <w:topLinePunct w:val="0"/>
      <w:adjustRightInd/>
      <w:ind w:firstLine="480"/>
    </w:pPr>
    <w:rPr>
      <w:rFonts w:ascii="Times New Roman"/>
      <w:kern w:val="2"/>
    </w:rPr>
  </w:style>
  <w:style w:type="paragraph" w:customStyle="1" w:styleId="796">
    <w:name w:val="首行缩进:2 字符"/>
    <w:basedOn w:val="1"/>
    <w:qFormat/>
    <w:uiPriority w:val="0"/>
    <w:pPr>
      <w:topLinePunct w:val="0"/>
      <w:adjustRightInd/>
      <w:ind w:firstLine="560"/>
    </w:pPr>
    <w:rPr>
      <w:rFonts w:ascii="Times New Roman" w:cs="Times New Roman"/>
      <w:kern w:val="2"/>
      <w:sz w:val="28"/>
      <w:szCs w:val="20"/>
    </w:rPr>
  </w:style>
  <w:style w:type="paragraph" w:customStyle="1" w:styleId="797">
    <w:name w:val="小表文居中"/>
    <w:basedOn w:val="798"/>
    <w:qFormat/>
    <w:uiPriority w:val="0"/>
    <w:pPr>
      <w:jc w:val="center"/>
    </w:pPr>
  </w:style>
  <w:style w:type="paragraph" w:customStyle="1" w:styleId="798">
    <w:name w:val="小表文"/>
    <w:basedOn w:val="1"/>
    <w:qFormat/>
    <w:uiPriority w:val="0"/>
    <w:pPr>
      <w:topLinePunct w:val="0"/>
      <w:adjustRightInd/>
      <w:spacing w:before="20" w:line="240" w:lineRule="auto"/>
      <w:ind w:firstLine="0" w:firstLineChars="0"/>
    </w:pPr>
    <w:rPr>
      <w:rFonts w:ascii="Times New Roman" w:cs="Times New Roman"/>
      <w:kern w:val="2"/>
      <w:sz w:val="18"/>
    </w:rPr>
  </w:style>
  <w:style w:type="paragraph" w:customStyle="1" w:styleId="799">
    <w:name w:val="最新表格"/>
    <w:basedOn w:val="1"/>
    <w:qFormat/>
    <w:uiPriority w:val="0"/>
    <w:pPr>
      <w:topLinePunct w:val="0"/>
      <w:adjustRightInd/>
      <w:snapToGrid w:val="0"/>
      <w:spacing w:line="240" w:lineRule="auto"/>
      <w:ind w:firstLine="0" w:firstLineChars="0"/>
      <w:jc w:val="center"/>
    </w:pPr>
    <w:rPr>
      <w:rFonts w:ascii="Times New Roman" w:cs="Times New Roman"/>
      <w:kern w:val="2"/>
      <w:sz w:val="21"/>
      <w:szCs w:val="21"/>
    </w:rPr>
  </w:style>
  <w:style w:type="paragraph" w:customStyle="1" w:styleId="800">
    <w:name w:val="1正文-L"/>
    <w:basedOn w:val="1"/>
    <w:qFormat/>
    <w:uiPriority w:val="0"/>
    <w:pPr>
      <w:topLinePunct w:val="0"/>
      <w:adjustRightInd/>
      <w:spacing w:line="240" w:lineRule="auto"/>
      <w:ind w:firstLine="480" w:firstLineChars="0"/>
    </w:pPr>
    <w:rPr>
      <w:rFonts w:ascii="Times New Roman" w:cs="Times New Roman"/>
      <w:kern w:val="2"/>
    </w:rPr>
  </w:style>
  <w:style w:type="paragraph" w:customStyle="1" w:styleId="801">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802">
    <w:name w:val="网格型3"/>
    <w:basedOn w:val="5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03">
    <w:name w:val="a表格字体"/>
    <w:basedOn w:val="1"/>
    <w:qFormat/>
    <w:uiPriority w:val="0"/>
    <w:pPr>
      <w:topLinePunct w:val="0"/>
      <w:adjustRightInd/>
      <w:spacing w:line="240" w:lineRule="auto"/>
      <w:ind w:firstLine="0" w:firstLineChars="0"/>
      <w:jc w:val="center"/>
    </w:pPr>
    <w:rPr>
      <w:rFonts w:ascii="Times New Roman" w:cs="Times New Roman"/>
      <w:kern w:val="2"/>
      <w:sz w:val="21"/>
      <w:szCs w:val="21"/>
    </w:rPr>
  </w:style>
  <w:style w:type="paragraph" w:customStyle="1" w:styleId="804">
    <w:name w:val="正文sun"/>
    <w:basedOn w:val="1"/>
    <w:semiHidden/>
    <w:qFormat/>
    <w:uiPriority w:val="0"/>
    <w:pPr>
      <w:topLinePunct w:val="0"/>
      <w:adjustRightInd/>
    </w:pPr>
    <w:rPr>
      <w:rFonts w:ascii="Times New Roman" w:cs="Times New Roman"/>
      <w:kern w:val="2"/>
    </w:rPr>
  </w:style>
  <w:style w:type="table" w:customStyle="1" w:styleId="805">
    <w:name w:val="网格型4"/>
    <w:basedOn w:val="5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6">
    <w:name w:val="网格型5"/>
    <w:basedOn w:val="57"/>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7">
    <w:name w:val="常用"/>
    <w:basedOn w:val="57"/>
    <w:qFormat/>
    <w:uiPriority w:val="99"/>
    <w:pPr>
      <w:jc w:val="center"/>
    </w:pPr>
    <w:rPr>
      <w:rFonts w:eastAsia="Times New Roman"/>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cPr>
      <w:vAlign w:val="center"/>
    </w:tcPr>
  </w:style>
  <w:style w:type="paragraph" w:customStyle="1" w:styleId="808">
    <w:name w:val="A表名格式"/>
    <w:basedOn w:val="1"/>
    <w:qFormat/>
    <w:uiPriority w:val="0"/>
    <w:pPr>
      <w:spacing w:line="400" w:lineRule="exact"/>
      <w:jc w:val="center"/>
    </w:pPr>
    <w:rPr>
      <w:rFonts w:eastAsia="黑体"/>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13.bin"/><Relationship Id="rId98" Type="http://schemas.openxmlformats.org/officeDocument/2006/relationships/image" Target="media/image42.wmf"/><Relationship Id="rId97" Type="http://schemas.openxmlformats.org/officeDocument/2006/relationships/oleObject" Target="embeddings/oleObject12.bin"/><Relationship Id="rId96" Type="http://schemas.openxmlformats.org/officeDocument/2006/relationships/image" Target="media/image41.wmf"/><Relationship Id="rId95" Type="http://schemas.openxmlformats.org/officeDocument/2006/relationships/oleObject" Target="embeddings/oleObject11.bin"/><Relationship Id="rId94" Type="http://schemas.openxmlformats.org/officeDocument/2006/relationships/image" Target="media/image40.wmf"/><Relationship Id="rId93" Type="http://schemas.openxmlformats.org/officeDocument/2006/relationships/oleObject" Target="embeddings/oleObject10.bin"/><Relationship Id="rId92" Type="http://schemas.openxmlformats.org/officeDocument/2006/relationships/image" Target="media/image39.wmf"/><Relationship Id="rId91" Type="http://schemas.openxmlformats.org/officeDocument/2006/relationships/oleObject" Target="embeddings/oleObject9.bin"/><Relationship Id="rId90" Type="http://schemas.openxmlformats.org/officeDocument/2006/relationships/image" Target="media/image38.wmf"/><Relationship Id="rId9" Type="http://schemas.openxmlformats.org/officeDocument/2006/relationships/footer" Target="footer2.xml"/><Relationship Id="rId89" Type="http://schemas.openxmlformats.org/officeDocument/2006/relationships/oleObject" Target="embeddings/oleObject8.bin"/><Relationship Id="rId88" Type="http://schemas.openxmlformats.org/officeDocument/2006/relationships/image" Target="media/image37.wmf"/><Relationship Id="rId87" Type="http://schemas.openxmlformats.org/officeDocument/2006/relationships/oleObject" Target="embeddings/oleObject7.bin"/><Relationship Id="rId86" Type="http://schemas.openxmlformats.org/officeDocument/2006/relationships/image" Target="media/image36.wmf"/><Relationship Id="rId85" Type="http://schemas.openxmlformats.org/officeDocument/2006/relationships/oleObject" Target="embeddings/oleObject6.bin"/><Relationship Id="rId84" Type="http://schemas.openxmlformats.org/officeDocument/2006/relationships/image" Target="media/image35.wmf"/><Relationship Id="rId83" Type="http://schemas.openxmlformats.org/officeDocument/2006/relationships/oleObject" Target="embeddings/oleObject5.bin"/><Relationship Id="rId82" Type="http://schemas.openxmlformats.org/officeDocument/2006/relationships/oleObject" Target="embeddings/oleObject4.bin"/><Relationship Id="rId81" Type="http://schemas.openxmlformats.org/officeDocument/2006/relationships/image" Target="media/image34.png"/><Relationship Id="rId80" Type="http://schemas.openxmlformats.org/officeDocument/2006/relationships/image" Target="media/image33.png"/><Relationship Id="rId8" Type="http://schemas.openxmlformats.org/officeDocument/2006/relationships/footer" Target="footer1.xml"/><Relationship Id="rId79" Type="http://schemas.openxmlformats.org/officeDocument/2006/relationships/image" Target="media/image32.wmf"/><Relationship Id="rId78" Type="http://schemas.openxmlformats.org/officeDocument/2006/relationships/oleObject" Target="embeddings/oleObject3.bin"/><Relationship Id="rId77" Type="http://schemas.openxmlformats.org/officeDocument/2006/relationships/image" Target="media/image31.wmf"/><Relationship Id="rId76" Type="http://schemas.openxmlformats.org/officeDocument/2006/relationships/oleObject" Target="embeddings/oleObject2.bin"/><Relationship Id="rId75" Type="http://schemas.openxmlformats.org/officeDocument/2006/relationships/image" Target="media/image30.jpeg"/><Relationship Id="rId74" Type="http://schemas.openxmlformats.org/officeDocument/2006/relationships/image" Target="media/image29.jpeg"/><Relationship Id="rId73" Type="http://schemas.openxmlformats.org/officeDocument/2006/relationships/image" Target="media/image28.jpeg"/><Relationship Id="rId72" Type="http://schemas.openxmlformats.org/officeDocument/2006/relationships/image" Target="media/image27.jpeg"/><Relationship Id="rId71" Type="http://schemas.openxmlformats.org/officeDocument/2006/relationships/image" Target="media/image26.jpeg"/><Relationship Id="rId70" Type="http://schemas.openxmlformats.org/officeDocument/2006/relationships/image" Target="media/image25.jpeg"/><Relationship Id="rId7" Type="http://schemas.openxmlformats.org/officeDocument/2006/relationships/header" Target="header3.xml"/><Relationship Id="rId69" Type="http://schemas.openxmlformats.org/officeDocument/2006/relationships/image" Target="media/image24.jpeg"/><Relationship Id="rId68" Type="http://schemas.openxmlformats.org/officeDocument/2006/relationships/image" Target="media/image23.jpeg"/><Relationship Id="rId67" Type="http://schemas.openxmlformats.org/officeDocument/2006/relationships/image" Target="media/image22.jpeg"/><Relationship Id="rId66" Type="http://schemas.openxmlformats.org/officeDocument/2006/relationships/image" Target="media/image21.jpeg"/><Relationship Id="rId65" Type="http://schemas.openxmlformats.org/officeDocument/2006/relationships/image" Target="media/image20.jpeg"/><Relationship Id="rId64" Type="http://schemas.openxmlformats.org/officeDocument/2006/relationships/image" Target="media/image19.jpeg"/><Relationship Id="rId63" Type="http://schemas.openxmlformats.org/officeDocument/2006/relationships/image" Target="media/image18.jpeg"/><Relationship Id="rId62" Type="http://schemas.openxmlformats.org/officeDocument/2006/relationships/image" Target="media/image17.jpeg"/><Relationship Id="rId61" Type="http://schemas.openxmlformats.org/officeDocument/2006/relationships/image" Target="media/image16.png"/><Relationship Id="rId60" Type="http://schemas.openxmlformats.org/officeDocument/2006/relationships/image" Target="media/image15.png"/><Relationship Id="rId6" Type="http://schemas.openxmlformats.org/officeDocument/2006/relationships/header" Target="header2.xml"/><Relationship Id="rId59" Type="http://schemas.openxmlformats.org/officeDocument/2006/relationships/image" Target="media/image14.png"/><Relationship Id="rId58" Type="http://schemas.openxmlformats.org/officeDocument/2006/relationships/image" Target="media/image13.png"/><Relationship Id="rId57" Type="http://schemas.openxmlformats.org/officeDocument/2006/relationships/image" Target="media/image12.png"/><Relationship Id="rId56" Type="http://schemas.openxmlformats.org/officeDocument/2006/relationships/image" Target="media/image11.png"/><Relationship Id="rId55" Type="http://schemas.openxmlformats.org/officeDocument/2006/relationships/image" Target="media/image10.jpeg"/><Relationship Id="rId54" Type="http://schemas.openxmlformats.org/officeDocument/2006/relationships/image" Target="media/image9.png"/><Relationship Id="rId53" Type="http://schemas.openxmlformats.org/officeDocument/2006/relationships/image" Target="media/image8.png"/><Relationship Id="rId52" Type="http://schemas.openxmlformats.org/officeDocument/2006/relationships/image" Target="media/image7.jpeg"/><Relationship Id="rId51" Type="http://schemas.openxmlformats.org/officeDocument/2006/relationships/image" Target="media/image6.jpeg"/><Relationship Id="rId50" Type="http://schemas.openxmlformats.org/officeDocument/2006/relationships/image" Target="media/image5.png"/><Relationship Id="rId5" Type="http://schemas.openxmlformats.org/officeDocument/2006/relationships/header" Target="header1.xml"/><Relationship Id="rId49" Type="http://schemas.openxmlformats.org/officeDocument/2006/relationships/image" Target="media/image4.png"/><Relationship Id="rId48" Type="http://schemas.openxmlformats.org/officeDocument/2006/relationships/image" Target="media/image3.jpeg"/><Relationship Id="rId47" Type="http://schemas.openxmlformats.org/officeDocument/2006/relationships/image" Target="media/image2.png"/><Relationship Id="rId46" Type="http://schemas.openxmlformats.org/officeDocument/2006/relationships/image" Target="media/image1.wmf"/><Relationship Id="rId45" Type="http://schemas.openxmlformats.org/officeDocument/2006/relationships/oleObject" Target="embeddings/oleObject1.bin"/><Relationship Id="rId44" Type="http://schemas.openxmlformats.org/officeDocument/2006/relationships/theme" Target="theme/theme1.xml"/><Relationship Id="rId43" Type="http://schemas.openxmlformats.org/officeDocument/2006/relationships/footer" Target="footer19.xml"/><Relationship Id="rId42" Type="http://schemas.openxmlformats.org/officeDocument/2006/relationships/footer" Target="footer18.xml"/><Relationship Id="rId41" Type="http://schemas.openxmlformats.org/officeDocument/2006/relationships/footer" Target="footer17.xml"/><Relationship Id="rId40" Type="http://schemas.openxmlformats.org/officeDocument/2006/relationships/header" Target="header20.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footer" Target="footer15.xml"/><Relationship Id="rId35" Type="http://schemas.openxmlformats.org/officeDocument/2006/relationships/footer" Target="footer14.xml"/><Relationship Id="rId34" Type="http://schemas.openxmlformats.org/officeDocument/2006/relationships/header" Target="header17.xml"/><Relationship Id="rId33" Type="http://schemas.openxmlformats.org/officeDocument/2006/relationships/header" Target="header16.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header" Target="header13.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footer" Target="footer9.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6" Type="http://schemas.openxmlformats.org/officeDocument/2006/relationships/fontTable" Target="fontTable.xml"/><Relationship Id="rId125" Type="http://schemas.openxmlformats.org/officeDocument/2006/relationships/numbering" Target="numbering.xml"/><Relationship Id="rId124" Type="http://schemas.openxmlformats.org/officeDocument/2006/relationships/customXml" Target="../customXml/item1.xml"/><Relationship Id="rId123" Type="http://schemas.openxmlformats.org/officeDocument/2006/relationships/image" Target="media/image60.png"/><Relationship Id="rId122" Type="http://schemas.openxmlformats.org/officeDocument/2006/relationships/image" Target="media/image59.png"/><Relationship Id="rId121" Type="http://schemas.openxmlformats.org/officeDocument/2006/relationships/image" Target="media/image58.jpeg"/><Relationship Id="rId120" Type="http://schemas.openxmlformats.org/officeDocument/2006/relationships/image" Target="media/image57.jpeg"/><Relationship Id="rId12" Type="http://schemas.openxmlformats.org/officeDocument/2006/relationships/header" Target="header5.xml"/><Relationship Id="rId119" Type="http://schemas.openxmlformats.org/officeDocument/2006/relationships/image" Target="media/image56.png"/><Relationship Id="rId118" Type="http://schemas.openxmlformats.org/officeDocument/2006/relationships/image" Target="media/image55.png"/><Relationship Id="rId117" Type="http://schemas.openxmlformats.org/officeDocument/2006/relationships/image" Target="media/image54.png"/><Relationship Id="rId116" Type="http://schemas.openxmlformats.org/officeDocument/2006/relationships/image" Target="media/image53.png"/><Relationship Id="rId115" Type="http://schemas.openxmlformats.org/officeDocument/2006/relationships/image" Target="media/image52.png"/><Relationship Id="rId114" Type="http://schemas.openxmlformats.org/officeDocument/2006/relationships/image" Target="media/image51.emf"/><Relationship Id="rId113" Type="http://schemas.openxmlformats.org/officeDocument/2006/relationships/image" Target="media/image50.emf"/><Relationship Id="rId112" Type="http://schemas.openxmlformats.org/officeDocument/2006/relationships/image" Target="media/image49.emf"/><Relationship Id="rId111" Type="http://schemas.openxmlformats.org/officeDocument/2006/relationships/image" Target="media/image48.png"/><Relationship Id="rId110" Type="http://schemas.openxmlformats.org/officeDocument/2006/relationships/image" Target="media/image47.png"/><Relationship Id="rId11" Type="http://schemas.openxmlformats.org/officeDocument/2006/relationships/header" Target="header4.xml"/><Relationship Id="rId109" Type="http://schemas.openxmlformats.org/officeDocument/2006/relationships/image" Target="media/image46.wmf"/><Relationship Id="rId108" Type="http://schemas.openxmlformats.org/officeDocument/2006/relationships/oleObject" Target="embeddings/oleObject19.bin"/><Relationship Id="rId107" Type="http://schemas.openxmlformats.org/officeDocument/2006/relationships/image" Target="media/image45.wmf"/><Relationship Id="rId106" Type="http://schemas.openxmlformats.org/officeDocument/2006/relationships/oleObject" Target="embeddings/oleObject18.bin"/><Relationship Id="rId105" Type="http://schemas.openxmlformats.org/officeDocument/2006/relationships/image" Target="media/image44.wmf"/><Relationship Id="rId104" Type="http://schemas.openxmlformats.org/officeDocument/2006/relationships/oleObject" Target="embeddings/oleObject17.bin"/><Relationship Id="rId103" Type="http://schemas.openxmlformats.org/officeDocument/2006/relationships/image" Target="media/image43.wmf"/><Relationship Id="rId102" Type="http://schemas.openxmlformats.org/officeDocument/2006/relationships/oleObject" Target="embeddings/oleObject16.bin"/><Relationship Id="rId101" Type="http://schemas.openxmlformats.org/officeDocument/2006/relationships/oleObject" Target="embeddings/oleObject15.bin"/><Relationship Id="rId100" Type="http://schemas.openxmlformats.org/officeDocument/2006/relationships/oleObject" Target="embeddings/oleObject14.bin"/><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31"/>
    <customShpInfo spid="_x0000_s1213"/>
    <customShpInfo spid="_x0000_s1212"/>
    <customShpInfo spid="_x0000_s1045"/>
    <customShpInfo spid="_x0000_s1077"/>
    <customShpInfo spid="_x0000_s1145"/>
    <customShpInfo spid="_x0000_s1146"/>
    <customShpInfo spid="_x0000_s1168"/>
    <customShpInfo spid="_x0000_s1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332</Pages>
  <Words>39456</Words>
  <Characters>224900</Characters>
  <Lines>1874</Lines>
  <Paragraphs>527</Paragraphs>
  <TotalTime>15</TotalTime>
  <ScaleCrop>false</ScaleCrop>
  <LinksUpToDate>false</LinksUpToDate>
  <CharactersWithSpaces>263829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2022-01-05T00:50:00Z</dcterms:created>
  <dc:creator>Windows 用户</dc:creator>
  <cp:lastModifiedBy>Administrator</cp:lastModifiedBy>
  <cp:lastPrinted>2024-03-05T03:31:00Z</cp:lastPrinted>
  <dcterms:modified xsi:type="dcterms:W3CDTF">2024-04-23T09:21:19Z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F511A40CA51A425FBDB5AA4DAEC55E0B_12</vt:lpwstr>
  </property>
</Properties>
</file>